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2"/>
        <w:rPr>
          <w:rFonts w:ascii="方正小标宋简体" w:hAnsi="Cambria" w:eastAsia="方正小标宋简体" w:cs="宋体"/>
          <w:color w:val="000000" w:themeColor="text1"/>
          <w:kern w:val="0"/>
          <w:sz w:val="44"/>
          <w:szCs w:val="36"/>
        </w:rPr>
      </w:pPr>
      <w:bookmarkStart w:id="0" w:name="OLE_LINK1"/>
      <w:bookmarkStart w:id="1" w:name="OLE_LINK2"/>
      <w:r>
        <w:rPr>
          <w:rFonts w:hint="eastAsia" w:ascii="方正小标宋简体" w:hAnsi="Cambria" w:eastAsia="方正小标宋简体" w:cs="宋体"/>
          <w:color w:val="000000" w:themeColor="text1"/>
          <w:kern w:val="0"/>
          <w:sz w:val="44"/>
          <w:szCs w:val="36"/>
        </w:rPr>
        <w:t>淮南市公共资源交易监</w:t>
      </w:r>
      <w:bookmarkStart w:id="2" w:name="_GoBack"/>
      <w:bookmarkEnd w:id="2"/>
      <w:r>
        <w:rPr>
          <w:rFonts w:hint="eastAsia" w:ascii="方正小标宋简体" w:hAnsi="Cambria" w:eastAsia="方正小标宋简体" w:cs="宋体"/>
          <w:color w:val="000000" w:themeColor="text1"/>
          <w:kern w:val="0"/>
          <w:sz w:val="44"/>
          <w:szCs w:val="36"/>
        </w:rPr>
        <w:t>督管理局2019年政府信息公开工作年度报告</w:t>
      </w:r>
    </w:p>
    <w:p>
      <w:pPr>
        <w:widowControl/>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本报告是根据《中华人民共和国政府信息公开条例》（以下简称《条例》）要求，由淮南市公共资源交易监督管理局编制。全文由政府信息公开总体情况、主动公开政府信息情况、收到和处理政府信息公开申请情况、政府信息公开行政复议和行政诉讼情况、存在主要问题和改进情况、其它需要报告事项等六部分组成。本报告中所列数据的统计期限自2019年1月1日起至2019年12月31日止。如有疑问，请与淮南市公共资源交易监督管理局办公室联系。（地址：淮南市政务服务中心F座，邮编：232000，电话:0554-6667490）</w:t>
      </w:r>
    </w:p>
    <w:p>
      <w:pPr>
        <w:widowControl/>
        <w:ind w:firstLine="640" w:firstLineChars="200"/>
        <w:jc w:val="left"/>
        <w:rPr>
          <w:rFonts w:ascii="仿宋_GB2312" w:hAnsi="宋体" w:eastAsia="仿宋_GB2312" w:cs="宋体"/>
          <w:color w:val="000000" w:themeColor="text1"/>
          <w:kern w:val="0"/>
          <w:sz w:val="32"/>
          <w:szCs w:val="32"/>
        </w:rPr>
      </w:pPr>
      <w:r>
        <w:rPr>
          <w:rFonts w:hint="eastAsia" w:ascii="宋体" w:hAnsi="宋体" w:eastAsia="宋体" w:cs="宋体"/>
          <w:color w:val="000000" w:themeColor="text1"/>
          <w:kern w:val="0"/>
          <w:sz w:val="32"/>
          <w:szCs w:val="32"/>
        </w:rPr>
        <w:t> </w:t>
      </w:r>
      <w:r>
        <w:rPr>
          <w:rFonts w:hint="eastAsia" w:ascii="黑体" w:hAnsi="黑体" w:eastAsia="黑体" w:cs="宋体"/>
          <w:color w:val="000000" w:themeColor="text1"/>
          <w:kern w:val="0"/>
          <w:sz w:val="32"/>
          <w:szCs w:val="32"/>
        </w:rPr>
        <w:t>一、总体情况</w:t>
      </w:r>
    </w:p>
    <w:p>
      <w:pPr>
        <w:ind w:firstLine="640" w:firstLineChars="200"/>
        <w:rPr>
          <w:rFonts w:ascii="仿宋_GB2312" w:hAnsi="宋体" w:eastAsia="仿宋_GB2312" w:cs="Tahoma"/>
          <w:color w:val="000000" w:themeColor="text1"/>
          <w:sz w:val="32"/>
          <w:szCs w:val="32"/>
        </w:rPr>
      </w:pPr>
      <w:r>
        <w:rPr>
          <w:rFonts w:hint="eastAsia" w:ascii="仿宋_GB2312" w:hAnsi="宋体" w:eastAsia="仿宋_GB2312" w:cs="宋体"/>
          <w:color w:val="000000" w:themeColor="text1"/>
          <w:kern w:val="0"/>
          <w:sz w:val="32"/>
          <w:szCs w:val="32"/>
        </w:rPr>
        <w:t>2019年，市公共资源交易监管局政务公开工作紧紧围绕市委、市政府决策部署，</w:t>
      </w:r>
      <w:r>
        <w:rPr>
          <w:rFonts w:hint="eastAsia" w:ascii="仿宋_GB2312" w:hAnsi="Times New Roman" w:eastAsia="仿宋_GB2312" w:cs="楷体_GB2312"/>
          <w:color w:val="000000" w:themeColor="text1"/>
          <w:sz w:val="32"/>
          <w:szCs w:val="32"/>
        </w:rPr>
        <w:t>贯彻落实《安徽省人民政府办公厅关于推进公共资源配置领域政府信息公开的实施意见》</w:t>
      </w:r>
      <w:r>
        <w:rPr>
          <w:rFonts w:hint="eastAsia" w:ascii="仿宋_GB2312" w:hAnsi="宋体" w:eastAsia="仿宋_GB2312" w:cs="宋体"/>
          <w:color w:val="000000" w:themeColor="text1"/>
          <w:kern w:val="0"/>
          <w:sz w:val="32"/>
          <w:szCs w:val="32"/>
        </w:rPr>
        <w:t>《淮南市人民政府办公室关于推进公共资源配置领域政府信息公开的实施意见》精神，进一步推进我市公共资源配置领域政府信息公开，</w:t>
      </w:r>
      <w:r>
        <w:rPr>
          <w:rFonts w:hint="eastAsia" w:ascii="仿宋_GB2312" w:hAnsi="宋体" w:eastAsia="仿宋_GB2312" w:cs="Tahoma"/>
          <w:color w:val="000000" w:themeColor="text1"/>
          <w:sz w:val="32"/>
          <w:szCs w:val="32"/>
        </w:rPr>
        <w:t>坚持以公开为常态、不公开为例外，除涉及国家秘密、商业秘密和个人隐私及其他依法不予公开的内容外，凡社会关注度高，具有公有性和公益性，对经济社会发展、民生改善有直接、广泛和重要影响的公共资源配置领域政府信息，都要依法及时予以公开，实现公共资源配置信息全程公开、全程留痕。</w:t>
      </w:r>
    </w:p>
    <w:p>
      <w:pPr>
        <w:ind w:firstLine="640" w:firstLineChars="200"/>
        <w:rPr>
          <w:rFonts w:ascii="楷体_GB2312" w:hAnsi="黑体" w:eastAsia="楷体_GB2312" w:cs="仿宋_GB2312"/>
          <w:color w:val="000000" w:themeColor="text1"/>
          <w:sz w:val="32"/>
          <w:szCs w:val="32"/>
        </w:rPr>
      </w:pPr>
      <w:r>
        <w:rPr>
          <w:rFonts w:hint="eastAsia" w:ascii="楷体_GB2312" w:hAnsi="黑体" w:eastAsia="楷体_GB2312" w:cs="Times New Roman"/>
          <w:bCs/>
          <w:color w:val="000000" w:themeColor="text1"/>
          <w:sz w:val="32"/>
          <w:szCs w:val="32"/>
        </w:rPr>
        <w:t>（一）主动公开情况</w:t>
      </w:r>
    </w:p>
    <w:p>
      <w:pPr>
        <w:pStyle w:val="4"/>
        <w:shd w:val="clear" w:color="auto" w:fill="FFFFFF"/>
        <w:spacing w:before="0" w:beforeAutospacing="0" w:after="0" w:afterAutospacing="0"/>
        <w:ind w:firstLine="640" w:firstLineChars="200"/>
        <w:jc w:val="both"/>
        <w:rPr>
          <w:rFonts w:ascii="仿宋" w:hAnsi="仿宋" w:eastAsia="仿宋" w:cs="Times New Roman"/>
          <w:color w:val="000000" w:themeColor="text1"/>
          <w:sz w:val="32"/>
          <w:szCs w:val="32"/>
          <w:shd w:val="clear" w:color="auto" w:fill="FFFFFF"/>
        </w:rPr>
      </w:pPr>
      <w:r>
        <w:rPr>
          <w:rFonts w:hint="eastAsia" w:ascii="仿宋" w:hAnsi="仿宋" w:eastAsia="仿宋" w:cs="Times New Roman"/>
          <w:color w:val="000000" w:themeColor="text1"/>
          <w:sz w:val="32"/>
          <w:szCs w:val="32"/>
          <w:shd w:val="clear" w:color="auto" w:fill="FFFFFF"/>
        </w:rPr>
        <w:t>2019年度，我局政府</w:t>
      </w:r>
      <w:r>
        <w:rPr>
          <w:rFonts w:hint="eastAsia" w:ascii="仿宋" w:hAnsi="仿宋" w:eastAsia="仿宋" w:cs="Times New Roman"/>
          <w:color w:val="000000" w:themeColor="text1"/>
          <w:sz w:val="32"/>
          <w:szCs w:val="32"/>
          <w:shd w:val="clear" w:color="auto" w:fill="FFFFFF"/>
          <w:lang w:eastAsia="zh-CN"/>
        </w:rPr>
        <w:t>信息公开</w:t>
      </w:r>
      <w:r>
        <w:rPr>
          <w:rFonts w:hint="eastAsia" w:ascii="仿宋" w:hAnsi="仿宋" w:eastAsia="仿宋" w:cs="Times New Roman"/>
          <w:color w:val="000000" w:themeColor="text1"/>
          <w:sz w:val="32"/>
          <w:szCs w:val="32"/>
          <w:shd w:val="clear" w:color="auto" w:fill="FFFFFF"/>
        </w:rPr>
        <w:t>平台目录下公开信息共计1784条。</w:t>
      </w:r>
    </w:p>
    <w:p>
      <w:pPr>
        <w:ind w:firstLine="640" w:firstLineChars="200"/>
        <w:rPr>
          <w:rFonts w:ascii="楷体_GB2312" w:hAnsi="黑体" w:eastAsia="楷体_GB2312" w:cs="Times New Roman"/>
          <w:bCs/>
          <w:color w:val="000000" w:themeColor="text1"/>
          <w:sz w:val="32"/>
          <w:szCs w:val="32"/>
        </w:rPr>
      </w:pPr>
      <w:r>
        <w:rPr>
          <w:rFonts w:hint="eastAsia" w:ascii="楷体_GB2312" w:hAnsi="黑体" w:eastAsia="楷体_GB2312" w:cs="Times New Roman"/>
          <w:bCs/>
          <w:color w:val="000000" w:themeColor="text1"/>
          <w:sz w:val="32"/>
          <w:szCs w:val="32"/>
        </w:rPr>
        <w:t>（二）受理依申请公开情况</w:t>
      </w:r>
      <w:r>
        <w:rPr>
          <w:rFonts w:ascii="楷体_GB2312" w:hAnsi="黑体" w:eastAsia="楷体_GB2312" w:cs="Times New Roman"/>
          <w:bCs/>
          <w:color w:val="000000" w:themeColor="text1"/>
          <w:sz w:val="32"/>
          <w:szCs w:val="32"/>
        </w:rPr>
        <w:t> </w:t>
      </w:r>
    </w:p>
    <w:p>
      <w:pPr>
        <w:pStyle w:val="4"/>
        <w:shd w:val="clear" w:color="auto" w:fill="FFFFFF"/>
        <w:spacing w:before="0" w:beforeAutospacing="0" w:after="0" w:afterAutospacing="0"/>
        <w:ind w:firstLine="640" w:firstLineChars="200"/>
        <w:jc w:val="both"/>
        <w:rPr>
          <w:color w:val="000000" w:themeColor="text1"/>
        </w:rPr>
      </w:pPr>
      <w:r>
        <w:rPr>
          <w:rFonts w:hint="eastAsia" w:ascii="仿宋" w:hAnsi="仿宋" w:eastAsia="仿宋"/>
          <w:color w:val="000000" w:themeColor="text1"/>
          <w:sz w:val="32"/>
          <w:szCs w:val="32"/>
        </w:rPr>
        <w:t>2019年我局无依申请公开的信息。</w:t>
      </w:r>
    </w:p>
    <w:p>
      <w:pPr>
        <w:ind w:firstLine="640" w:firstLineChars="200"/>
        <w:rPr>
          <w:rFonts w:ascii="楷体_GB2312" w:hAnsi="黑体" w:eastAsia="楷体_GB2312" w:cs="Times New Roman"/>
          <w:bCs/>
          <w:color w:val="000000" w:themeColor="text1"/>
          <w:sz w:val="32"/>
          <w:szCs w:val="32"/>
        </w:rPr>
      </w:pPr>
      <w:r>
        <w:rPr>
          <w:rFonts w:hint="eastAsia" w:ascii="楷体_GB2312" w:hAnsi="黑体" w:eastAsia="楷体_GB2312" w:cs="Times New Roman"/>
          <w:bCs/>
          <w:color w:val="000000" w:themeColor="text1"/>
          <w:sz w:val="32"/>
          <w:szCs w:val="32"/>
        </w:rPr>
        <w:t>（三）政务信息管理</w:t>
      </w:r>
    </w:p>
    <w:p>
      <w:pPr>
        <w:pStyle w:val="4"/>
        <w:shd w:val="clear" w:color="auto" w:fill="FFFFFF"/>
        <w:spacing w:before="0" w:beforeAutospacing="0" w:after="0" w:afterAutospacing="0"/>
        <w:ind w:firstLine="640" w:firstLineChars="200"/>
        <w:jc w:val="both"/>
        <w:rPr>
          <w:color w:val="000000" w:themeColor="text1"/>
        </w:rPr>
      </w:pPr>
      <w:r>
        <w:rPr>
          <w:rFonts w:hint="eastAsia" w:ascii="仿宋" w:hAnsi="仿宋" w:eastAsia="仿宋"/>
          <w:color w:val="000000" w:themeColor="text1"/>
          <w:sz w:val="32"/>
          <w:szCs w:val="32"/>
        </w:rPr>
        <w:t>为保证政府信息公开顺利实施，</w:t>
      </w:r>
      <w:r>
        <w:rPr>
          <w:rFonts w:hint="eastAsia" w:ascii="仿宋_GB2312" w:eastAsia="仿宋_GB2312" w:cs="Arial" w:hAnsiTheme="minorEastAsia"/>
          <w:color w:val="000000" w:themeColor="text1"/>
          <w:sz w:val="32"/>
          <w:szCs w:val="32"/>
        </w:rPr>
        <w:t>及时调整了局政务公开领导小组成员。我局根据信息公开栏目调整情况，对新增加的栏目明确负责科室和单位，对原有栏目实行高标准、严要求，学习先进经验，做到应公开，尽公开。</w:t>
      </w:r>
    </w:p>
    <w:p>
      <w:pPr>
        <w:ind w:firstLine="640" w:firstLineChars="200"/>
        <w:rPr>
          <w:rFonts w:ascii="楷体_GB2312" w:hAnsi="黑体" w:eastAsia="楷体_GB2312" w:cs="Times New Roman"/>
          <w:bCs/>
          <w:color w:val="000000" w:themeColor="text1"/>
          <w:sz w:val="32"/>
          <w:szCs w:val="32"/>
        </w:rPr>
      </w:pPr>
      <w:r>
        <w:rPr>
          <w:rFonts w:hint="eastAsia" w:ascii="楷体_GB2312" w:hAnsi="黑体" w:eastAsia="楷体_GB2312" w:cs="Times New Roman"/>
          <w:bCs/>
          <w:color w:val="000000" w:themeColor="text1"/>
          <w:sz w:val="32"/>
          <w:szCs w:val="32"/>
        </w:rPr>
        <w:t>（四）政府信息公开平台建设情况</w:t>
      </w:r>
    </w:p>
    <w:p>
      <w:pPr>
        <w:widowControl/>
        <w:shd w:val="clear" w:color="auto" w:fill="FFFFFF"/>
        <w:ind w:firstLine="640" w:firstLineChars="200"/>
        <w:jc w:val="left"/>
        <w:rPr>
          <w:rFonts w:ascii="仿宋_GB2312" w:eastAsia="仿宋_GB2312" w:cs="Arial" w:hAnsiTheme="minorEastAsia"/>
          <w:color w:val="000000" w:themeColor="text1"/>
          <w:kern w:val="0"/>
          <w:sz w:val="32"/>
          <w:szCs w:val="32"/>
        </w:rPr>
      </w:pPr>
      <w:r>
        <w:rPr>
          <w:rFonts w:hint="eastAsia" w:ascii="仿宋" w:hAnsi="仿宋" w:eastAsia="仿宋"/>
          <w:color w:val="000000" w:themeColor="text1"/>
          <w:sz w:val="32"/>
          <w:szCs w:val="32"/>
        </w:rPr>
        <w:t>1.加强网站平台建设。完成机构合并后原市公管局政府网站域名的清理及本局网站整合、改版、迁移等工作，</w:t>
      </w:r>
      <w:r>
        <w:rPr>
          <w:rFonts w:hint="eastAsia" w:ascii="仿宋_GB2312" w:eastAsia="仿宋_GB2312" w:cs="Arial" w:hAnsiTheme="minorEastAsia"/>
          <w:color w:val="000000" w:themeColor="text1"/>
          <w:kern w:val="0"/>
          <w:sz w:val="32"/>
          <w:szCs w:val="32"/>
        </w:rPr>
        <w:t>加强日常门户网站维护和建设，确保网站正常运行，各类信息链接有效。</w:t>
      </w:r>
      <w:r>
        <w:rPr>
          <w:rFonts w:hint="eastAsia" w:ascii="仿宋" w:hAnsi="仿宋" w:eastAsia="仿宋"/>
          <w:color w:val="000000" w:themeColor="text1"/>
          <w:sz w:val="32"/>
          <w:szCs w:val="32"/>
        </w:rPr>
        <w:t>大力推进网站平台建设，加大公共资源交易信息公开量，调整扩大公开范围，细化公开内容，不断完善政务公开平台建设。</w:t>
      </w:r>
    </w:p>
    <w:p>
      <w:pPr>
        <w:pStyle w:val="4"/>
        <w:shd w:val="clear" w:color="auto" w:fill="FFFFFF"/>
        <w:spacing w:before="0" w:beforeAutospacing="0" w:after="0" w:afterAutospacing="0"/>
        <w:ind w:firstLine="640" w:firstLineChars="200"/>
        <w:jc w:val="both"/>
        <w:rPr>
          <w:color w:val="000000" w:themeColor="text1"/>
        </w:rPr>
      </w:pPr>
      <w:r>
        <w:rPr>
          <w:rFonts w:hint="eastAsia" w:ascii="仿宋" w:hAnsi="仿宋" w:eastAsia="仿宋"/>
          <w:color w:val="000000" w:themeColor="text1"/>
          <w:sz w:val="32"/>
          <w:szCs w:val="32"/>
        </w:rPr>
        <w:t>2.保障政务新媒体维护。指定专人负责微信公众号的日常管理和维护。2019年，通过微信公众号发布信息100余条，按照新闻发布会计划，召开了新闻发布会3次。</w:t>
      </w:r>
    </w:p>
    <w:p>
      <w:pPr>
        <w:ind w:firstLine="640" w:firstLineChars="200"/>
        <w:rPr>
          <w:rFonts w:ascii="楷体_GB2312" w:hAnsi="黑体" w:eastAsia="楷体_GB2312" w:cs="Times New Roman"/>
          <w:bCs/>
          <w:color w:val="000000" w:themeColor="text1"/>
          <w:sz w:val="32"/>
          <w:szCs w:val="32"/>
        </w:rPr>
      </w:pPr>
      <w:r>
        <w:rPr>
          <w:rFonts w:hint="eastAsia" w:ascii="楷体_GB2312" w:hAnsi="黑体" w:eastAsia="楷体_GB2312" w:cs="Times New Roman"/>
          <w:bCs/>
          <w:color w:val="000000" w:themeColor="text1"/>
          <w:sz w:val="32"/>
          <w:szCs w:val="32"/>
        </w:rPr>
        <w:t>（五）监督保障情况</w:t>
      </w:r>
    </w:p>
    <w:p>
      <w:pPr>
        <w:pStyle w:val="4"/>
        <w:shd w:val="clear" w:color="auto" w:fill="FFFFFF"/>
        <w:spacing w:before="0" w:beforeAutospacing="0" w:after="0" w:afterAutospacing="0"/>
        <w:ind w:firstLine="640" w:firstLineChars="200"/>
        <w:jc w:val="both"/>
        <w:rPr>
          <w:color w:val="000000" w:themeColor="text1"/>
        </w:rPr>
      </w:pPr>
      <w:r>
        <w:rPr>
          <w:rFonts w:hint="eastAsia" w:ascii="仿宋" w:hAnsi="仿宋" w:eastAsia="仿宋"/>
          <w:color w:val="000000" w:themeColor="text1"/>
          <w:sz w:val="32"/>
          <w:szCs w:val="32"/>
        </w:rPr>
        <w:t>通过淮南市公共资源交易监督管理局门户网站、淮南市公共资源交易中心服务网、微信公众号等方式，</w:t>
      </w:r>
      <w:r>
        <w:rPr>
          <w:rFonts w:hint="eastAsia" w:ascii="仿宋_GB2312" w:eastAsia="仿宋_GB2312" w:cs="Arial" w:hAnsiTheme="minorEastAsia"/>
          <w:color w:val="000000" w:themeColor="text1"/>
          <w:sz w:val="32"/>
          <w:szCs w:val="32"/>
        </w:rPr>
        <w:t>进一步搭建与公众互动交流平台，拓宽社情民意的表达渠道，着重为公众和提供办事服务。</w:t>
      </w:r>
      <w:r>
        <w:rPr>
          <w:rFonts w:hint="eastAsia" w:ascii="仿宋" w:hAnsi="仿宋" w:eastAsia="仿宋"/>
          <w:color w:val="000000" w:themeColor="text1"/>
          <w:sz w:val="32"/>
          <w:szCs w:val="32"/>
        </w:rPr>
        <w:t>及时公开群众关注的热点难点问题、事关群众利益的重大事项等信息，增强信息公布的主动性、权威性和时效性。</w:t>
      </w:r>
    </w:p>
    <w:p>
      <w:pPr>
        <w:ind w:firstLine="640" w:firstLineChars="200"/>
        <w:rPr>
          <w:rFonts w:ascii="楷体_GB2312" w:hAnsi="黑体" w:eastAsia="楷体_GB2312" w:cs="Times New Roman"/>
          <w:bCs/>
          <w:color w:val="000000" w:themeColor="text1"/>
          <w:sz w:val="32"/>
          <w:szCs w:val="32"/>
        </w:rPr>
      </w:pPr>
      <w:r>
        <w:rPr>
          <w:rFonts w:hint="eastAsia" w:ascii="楷体_GB2312" w:hAnsi="黑体" w:eastAsia="楷体_GB2312" w:cs="Times New Roman"/>
          <w:bCs/>
          <w:color w:val="000000" w:themeColor="text1"/>
          <w:sz w:val="32"/>
          <w:szCs w:val="32"/>
        </w:rPr>
        <w:t>（六）贯彻落实新条例情况</w:t>
      </w:r>
    </w:p>
    <w:p>
      <w:pPr>
        <w:pStyle w:val="4"/>
        <w:shd w:val="clear" w:color="auto" w:fill="FFFFFF"/>
        <w:spacing w:before="0" w:beforeAutospacing="0" w:after="0" w:afterAutospacing="0"/>
        <w:ind w:firstLine="640" w:firstLineChars="200"/>
        <w:jc w:val="both"/>
        <w:rPr>
          <w:color w:val="000000" w:themeColor="text1"/>
        </w:rPr>
      </w:pPr>
      <w:r>
        <w:rPr>
          <w:rFonts w:hint="eastAsia" w:ascii="仿宋" w:hAnsi="仿宋" w:eastAsia="仿宋"/>
          <w:color w:val="000000" w:themeColor="text1"/>
          <w:sz w:val="32"/>
          <w:szCs w:val="32"/>
        </w:rPr>
        <w:t>积极宣传贯彻《中华人民共和国政府信息公开条例》，一是结合 市公管局政治业务学习暨“一月一法”学习会 ， 召开专题宣传贯彻会议，组织全体干部职工学习新《条例》，提高干部 职工对政府信息公开工作的认识，掌握政府信息公开工作的流程和要求 。二是充分利用单位 QQ 、 微信 工作 群， 引导广大干部职工 研 学熟知新 《条例》内容，并利用群发宣传短信的方式，多形式、多渠道展开宣传。三是充分利用各方主体到市公共资源交易中心现场进行业务办理的特性，在市公共资源 交易 监督管理局一楼大厅显示屏设置新 条例宣传标语，使群众了解到了新条例的主要内容及重要意义，为新条例的 实行营造 良好的社会氛围。四是通过淮南市人民政府信息公开网站 公开《中华人民共和国政府信息公开条例》 具体内容及在淮南市公共资源交易监督管理局网站上对《条例》内容以图文并茂的方式进行解读， 进一步浓厚宣传氛围。重新修订本局政府信息公开指南，并根据机构改革新要求，重新梳理政府信息公开目录。</w:t>
      </w:r>
    </w:p>
    <w:p>
      <w:pPr>
        <w:widowControl/>
        <w:ind w:firstLine="640" w:firstLineChars="200"/>
        <w:jc w:val="left"/>
        <w:rPr>
          <w:rFonts w:hint="eastAsia"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二、主动公开政府信息情况</w:t>
      </w:r>
    </w:p>
    <w:tbl>
      <w:tblPr>
        <w:tblStyle w:val="5"/>
        <w:tblW w:w="9690" w:type="dxa"/>
        <w:jc w:val="center"/>
        <w:tblLayout w:type="autofit"/>
        <w:tblCellMar>
          <w:top w:w="0" w:type="dxa"/>
          <w:left w:w="0" w:type="dxa"/>
          <w:bottom w:w="0" w:type="dxa"/>
          <w:right w:w="0" w:type="dxa"/>
        </w:tblCellMar>
      </w:tblPr>
      <w:tblGrid>
        <w:gridCol w:w="3113"/>
        <w:gridCol w:w="1875"/>
        <w:gridCol w:w="6"/>
        <w:gridCol w:w="1265"/>
        <w:gridCol w:w="3431"/>
      </w:tblGrid>
      <w:tr>
        <w:tblPrEx>
          <w:tblCellMar>
            <w:top w:w="0" w:type="dxa"/>
            <w:left w:w="0" w:type="dxa"/>
            <w:bottom w:w="0" w:type="dxa"/>
            <w:right w:w="0" w:type="dxa"/>
          </w:tblCellMar>
        </w:tblPrEx>
        <w:trPr>
          <w:trHeight w:val="495" w:hRule="atLeast"/>
          <w:jc w:val="center"/>
        </w:trPr>
        <w:tc>
          <w:tcPr>
            <w:tcW w:w="969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本年新</w:t>
            </w:r>
            <w:r>
              <w:rPr>
                <w:rFonts w:hint="eastAsia" w:ascii="宋体" w:hAnsi="宋体" w:eastAsia="宋体" w:cs="宋体"/>
                <w:color w:val="000000" w:themeColor="text1"/>
                <w:kern w:val="0"/>
                <w:sz w:val="20"/>
                <w:szCs w:val="20"/>
              </w:rPr>
              <w:br w:type="textWrapping"/>
            </w:r>
            <w:r>
              <w:rPr>
                <w:rFonts w:hint="eastAsia" w:ascii="宋体" w:hAnsi="宋体" w:eastAsia="宋体" w:cs="宋体"/>
                <w:color w:val="000000" w:themeColor="text1"/>
                <w:kern w:val="0"/>
                <w:sz w:val="20"/>
                <w:szCs w:val="20"/>
              </w:rPr>
              <w:t>制作数量</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本年新</w:t>
            </w:r>
            <w:r>
              <w:rPr>
                <w:rFonts w:hint="eastAsia" w:ascii="宋体" w:hAnsi="宋体" w:eastAsia="宋体" w:cs="宋体"/>
                <w:color w:val="000000" w:themeColor="text1"/>
                <w:kern w:val="0"/>
                <w:sz w:val="20"/>
                <w:szCs w:val="20"/>
              </w:rPr>
              <w:br w:type="textWrapping"/>
            </w:r>
            <w:r>
              <w:rPr>
                <w:rFonts w:hint="eastAsia" w:ascii="宋体" w:hAnsi="宋体" w:eastAsia="宋体" w:cs="宋体"/>
                <w:color w:val="000000" w:themeColor="text1"/>
                <w:kern w:val="0"/>
                <w:sz w:val="20"/>
                <w:szCs w:val="20"/>
              </w:rPr>
              <w:t>公开数量</w:t>
            </w:r>
          </w:p>
        </w:tc>
        <w:tc>
          <w:tcPr>
            <w:tcW w:w="343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0</w:t>
            </w:r>
          </w:p>
        </w:tc>
        <w:tc>
          <w:tcPr>
            <w:tcW w:w="343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10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10</w:t>
            </w:r>
          </w:p>
        </w:tc>
        <w:tc>
          <w:tcPr>
            <w:tcW w:w="343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65</w:t>
            </w:r>
          </w:p>
        </w:tc>
      </w:tr>
      <w:tr>
        <w:tblPrEx>
          <w:tblCellMar>
            <w:top w:w="0" w:type="dxa"/>
            <w:left w:w="0" w:type="dxa"/>
            <w:bottom w:w="0" w:type="dxa"/>
            <w:right w:w="0" w:type="dxa"/>
          </w:tblCellMar>
        </w:tblPrEx>
        <w:trPr>
          <w:trHeight w:val="480" w:hRule="atLeast"/>
          <w:jc w:val="center"/>
        </w:trPr>
        <w:tc>
          <w:tcPr>
            <w:tcW w:w="969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上一年项目数量</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本年增/减</w:t>
            </w:r>
          </w:p>
        </w:tc>
        <w:tc>
          <w:tcPr>
            <w:tcW w:w="343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0</w:t>
            </w:r>
          </w:p>
        </w:tc>
        <w:tc>
          <w:tcPr>
            <w:tcW w:w="343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0</w:t>
            </w:r>
          </w:p>
        </w:tc>
        <w:tc>
          <w:tcPr>
            <w:tcW w:w="343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w:t>
            </w:r>
          </w:p>
        </w:tc>
      </w:tr>
      <w:tr>
        <w:tblPrEx>
          <w:tblCellMar>
            <w:top w:w="0" w:type="dxa"/>
            <w:left w:w="0" w:type="dxa"/>
            <w:bottom w:w="0" w:type="dxa"/>
            <w:right w:w="0" w:type="dxa"/>
          </w:tblCellMar>
        </w:tblPrEx>
        <w:trPr>
          <w:trHeight w:val="406" w:hRule="atLeast"/>
          <w:jc w:val="center"/>
        </w:trPr>
        <w:tc>
          <w:tcPr>
            <w:tcW w:w="969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上一年项目数量</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本年增/减</w:t>
            </w:r>
          </w:p>
        </w:tc>
        <w:tc>
          <w:tcPr>
            <w:tcW w:w="343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10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0</w:t>
            </w:r>
          </w:p>
        </w:tc>
        <w:tc>
          <w:tcPr>
            <w:tcW w:w="343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10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0</w:t>
            </w:r>
          </w:p>
        </w:tc>
        <w:tc>
          <w:tcPr>
            <w:tcW w:w="343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0</w:t>
            </w:r>
          </w:p>
        </w:tc>
      </w:tr>
      <w:tr>
        <w:tblPrEx>
          <w:tblCellMar>
            <w:top w:w="0" w:type="dxa"/>
            <w:left w:w="0" w:type="dxa"/>
            <w:bottom w:w="0" w:type="dxa"/>
            <w:right w:w="0" w:type="dxa"/>
          </w:tblCellMar>
        </w:tblPrEx>
        <w:trPr>
          <w:trHeight w:val="474" w:hRule="atLeast"/>
          <w:jc w:val="center"/>
        </w:trPr>
        <w:tc>
          <w:tcPr>
            <w:tcW w:w="969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上一年项目数量</w:t>
            </w:r>
          </w:p>
        </w:tc>
        <w:tc>
          <w:tcPr>
            <w:tcW w:w="469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0</w:t>
            </w:r>
          </w:p>
        </w:tc>
        <w:tc>
          <w:tcPr>
            <w:tcW w:w="469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0 </w:t>
            </w:r>
          </w:p>
        </w:tc>
      </w:tr>
      <w:tr>
        <w:tblPrEx>
          <w:tblCellMar>
            <w:top w:w="0" w:type="dxa"/>
            <w:left w:w="0" w:type="dxa"/>
            <w:bottom w:w="0" w:type="dxa"/>
            <w:right w:w="0" w:type="dxa"/>
          </w:tblCellMar>
        </w:tblPrEx>
        <w:trPr>
          <w:trHeight w:val="476" w:hRule="atLeast"/>
          <w:jc w:val="center"/>
        </w:trPr>
        <w:tc>
          <w:tcPr>
            <w:tcW w:w="969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采购项目数量</w:t>
            </w:r>
          </w:p>
        </w:tc>
        <w:tc>
          <w:tcPr>
            <w:tcW w:w="469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　3</w:t>
            </w:r>
          </w:p>
        </w:tc>
        <w:tc>
          <w:tcPr>
            <w:tcW w:w="469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20000元</w:t>
            </w:r>
          </w:p>
        </w:tc>
      </w:tr>
      <w:tr>
        <w:tblPrEx>
          <w:tblCellMar>
            <w:top w:w="0" w:type="dxa"/>
            <w:left w:w="0" w:type="dxa"/>
            <w:bottom w:w="0" w:type="dxa"/>
            <w:right w:w="0" w:type="dxa"/>
          </w:tblCellMar>
        </w:tblPrEx>
        <w:trPr>
          <w:jc w:val="center"/>
        </w:trPr>
        <w:tc>
          <w:tcPr>
            <w:tcW w:w="3113" w:type="dxa"/>
            <w:vAlign w:val="center"/>
          </w:tcPr>
          <w:p>
            <w:pPr>
              <w:widowControl/>
              <w:ind w:firstLine="20" w:firstLineChars="200"/>
              <w:jc w:val="left"/>
              <w:rPr>
                <w:rFonts w:hint="eastAsia" w:ascii="微软雅黑" w:hAnsi="微软雅黑" w:eastAsia="宋体" w:cs="宋体"/>
                <w:color w:val="000000" w:themeColor="text1"/>
                <w:kern w:val="0"/>
                <w:sz w:val="1"/>
                <w:szCs w:val="21"/>
              </w:rPr>
            </w:pPr>
          </w:p>
        </w:tc>
        <w:tc>
          <w:tcPr>
            <w:tcW w:w="1875" w:type="dxa"/>
            <w:vAlign w:val="center"/>
          </w:tcPr>
          <w:p>
            <w:pPr>
              <w:widowControl/>
              <w:ind w:firstLine="20" w:firstLineChars="200"/>
              <w:jc w:val="left"/>
              <w:rPr>
                <w:rFonts w:hint="eastAsia" w:ascii="微软雅黑" w:hAnsi="微软雅黑" w:eastAsia="宋体" w:cs="宋体"/>
                <w:color w:val="000000" w:themeColor="text1"/>
                <w:kern w:val="0"/>
                <w:sz w:val="1"/>
                <w:szCs w:val="21"/>
              </w:rPr>
            </w:pPr>
          </w:p>
        </w:tc>
        <w:tc>
          <w:tcPr>
            <w:tcW w:w="6" w:type="dxa"/>
            <w:vAlign w:val="center"/>
          </w:tcPr>
          <w:p>
            <w:pPr>
              <w:widowControl/>
              <w:ind w:firstLine="20" w:firstLineChars="200"/>
              <w:jc w:val="left"/>
              <w:rPr>
                <w:rFonts w:hint="eastAsia" w:ascii="微软雅黑" w:hAnsi="微软雅黑" w:eastAsia="宋体" w:cs="宋体"/>
                <w:color w:val="000000" w:themeColor="text1"/>
                <w:kern w:val="0"/>
                <w:sz w:val="1"/>
                <w:szCs w:val="21"/>
              </w:rPr>
            </w:pPr>
          </w:p>
        </w:tc>
        <w:tc>
          <w:tcPr>
            <w:tcW w:w="1265" w:type="dxa"/>
            <w:vAlign w:val="center"/>
          </w:tcPr>
          <w:p>
            <w:pPr>
              <w:widowControl/>
              <w:ind w:firstLine="20" w:firstLineChars="200"/>
              <w:jc w:val="left"/>
              <w:rPr>
                <w:rFonts w:hint="eastAsia" w:ascii="微软雅黑" w:hAnsi="微软雅黑" w:eastAsia="宋体" w:cs="宋体"/>
                <w:color w:val="000000" w:themeColor="text1"/>
                <w:kern w:val="0"/>
                <w:sz w:val="1"/>
                <w:szCs w:val="21"/>
              </w:rPr>
            </w:pPr>
          </w:p>
        </w:tc>
        <w:tc>
          <w:tcPr>
            <w:tcW w:w="3431" w:type="dxa"/>
            <w:vAlign w:val="center"/>
          </w:tcPr>
          <w:p>
            <w:pPr>
              <w:widowControl/>
              <w:ind w:firstLine="20" w:firstLineChars="200"/>
              <w:jc w:val="left"/>
              <w:rPr>
                <w:rFonts w:hint="eastAsia" w:ascii="微软雅黑" w:hAnsi="微软雅黑" w:eastAsia="宋体" w:cs="宋体"/>
                <w:color w:val="000000" w:themeColor="text1"/>
                <w:kern w:val="0"/>
                <w:sz w:val="1"/>
                <w:szCs w:val="21"/>
              </w:rPr>
            </w:pPr>
          </w:p>
        </w:tc>
      </w:tr>
    </w:tbl>
    <w:p>
      <w:pPr>
        <w:widowControl/>
        <w:ind w:firstLine="480" w:firstLineChars="200"/>
        <w:jc w:val="left"/>
        <w:rPr>
          <w:rFonts w:ascii="宋体" w:hAnsi="宋体" w:eastAsia="宋体" w:cs="宋体"/>
          <w:color w:val="000000" w:themeColor="text1"/>
          <w:kern w:val="0"/>
          <w:sz w:val="24"/>
          <w:szCs w:val="24"/>
        </w:rPr>
      </w:pPr>
    </w:p>
    <w:p>
      <w:pPr>
        <w:widowControl/>
        <w:jc w:val="left"/>
        <w:rPr>
          <w:rFonts w:hint="eastAsia" w:ascii="黑体" w:hAnsi="黑体" w:eastAsia="黑体" w:cs="宋体"/>
          <w:color w:val="000000" w:themeColor="text1"/>
          <w:kern w:val="0"/>
          <w:sz w:val="32"/>
          <w:szCs w:val="32"/>
        </w:rPr>
      </w:pPr>
    </w:p>
    <w:tbl>
      <w:tblPr>
        <w:tblStyle w:val="5"/>
        <w:tblW w:w="9070" w:type="dxa"/>
        <w:tblCellSpacing w:w="0" w:type="dxa"/>
        <w:tblInd w:w="0" w:type="dxa"/>
        <w:shd w:val="clear" w:color="auto" w:fill="FFFFFF"/>
        <w:tblLayout w:type="autofit"/>
        <w:tblCellMar>
          <w:top w:w="0" w:type="dxa"/>
          <w:left w:w="0" w:type="dxa"/>
          <w:bottom w:w="0" w:type="dxa"/>
          <w:right w:w="0" w:type="dxa"/>
        </w:tblCellMar>
      </w:tblPr>
      <w:tblGrid>
        <w:gridCol w:w="9070"/>
      </w:tblGrid>
      <w:tr>
        <w:tblPrEx>
          <w:shd w:val="clear" w:color="auto" w:fill="FFFFFF"/>
        </w:tblPrEx>
        <w:trPr>
          <w:tblCellSpacing w:w="0" w:type="dxa"/>
        </w:trPr>
        <w:tc>
          <w:tcPr>
            <w:tcW w:w="0" w:type="auto"/>
            <w:shd w:val="clear" w:color="auto" w:fill="FFFFFF"/>
            <w:vAlign w:val="center"/>
          </w:tcPr>
          <w:p>
            <w:pPr>
              <w:widowControl/>
              <w:jc w:val="left"/>
              <w:rPr>
                <w:rFonts w:ascii="宋体" w:hAnsi="宋体" w:eastAsia="宋体" w:cs="宋体"/>
                <w:color w:val="000000" w:themeColor="text1"/>
                <w:kern w:val="0"/>
                <w:sz w:val="24"/>
                <w:szCs w:val="24"/>
              </w:rPr>
            </w:pPr>
          </w:p>
        </w:tc>
      </w:tr>
    </w:tbl>
    <w:p>
      <w:pPr>
        <w:widowControl/>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三、收到和处理政府信息公开申请情况</w:t>
      </w:r>
      <w:r>
        <w:rPr>
          <w:rFonts w:ascii="宋体" w:hAnsi="宋体" w:eastAsia="宋体" w:cs="宋体"/>
          <w:color w:val="000000" w:themeColor="text1"/>
          <w:kern w:val="0"/>
          <w:sz w:val="24"/>
          <w:szCs w:val="24"/>
        </w:rPr>
        <w:t> </w:t>
      </w:r>
    </w:p>
    <w:tbl>
      <w:tblPr>
        <w:tblStyle w:val="5"/>
        <w:tblW w:w="9488" w:type="dxa"/>
        <w:jc w:val="center"/>
        <w:tblLayout w:type="autofit"/>
        <w:tblCellMar>
          <w:top w:w="0" w:type="dxa"/>
          <w:left w:w="0" w:type="dxa"/>
          <w:bottom w:w="0" w:type="dxa"/>
          <w:right w:w="0" w:type="dxa"/>
        </w:tblCellMar>
      </w:tblPr>
      <w:tblGrid>
        <w:gridCol w:w="616"/>
        <w:gridCol w:w="1236"/>
        <w:gridCol w:w="1070"/>
        <w:gridCol w:w="936"/>
        <w:gridCol w:w="936"/>
        <w:gridCol w:w="936"/>
        <w:gridCol w:w="936"/>
        <w:gridCol w:w="943"/>
        <w:gridCol w:w="943"/>
        <w:gridCol w:w="936"/>
      </w:tblGrid>
      <w:tr>
        <w:tblPrEx>
          <w:tblCellMar>
            <w:top w:w="0" w:type="dxa"/>
            <w:left w:w="0" w:type="dxa"/>
            <w:bottom w:w="0" w:type="dxa"/>
            <w:right w:w="0" w:type="dxa"/>
          </w:tblCellMar>
        </w:tblPrEx>
        <w:trPr>
          <w:jc w:val="center"/>
        </w:trPr>
        <w:tc>
          <w:tcPr>
            <w:tcW w:w="3553"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（本列数据的勾稽关系为：第一项加第二项之和，等于第三项加第四项之和）</w:t>
            </w:r>
          </w:p>
        </w:tc>
        <w:tc>
          <w:tcPr>
            <w:tcW w:w="5935"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81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自然人</w:t>
            </w:r>
          </w:p>
        </w:tc>
        <w:tc>
          <w:tcPr>
            <w:tcW w:w="427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法人或其他组织</w:t>
            </w: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科研机构</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社会公益组织</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法律服务机构</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其他</w:t>
            </w: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jc w:val="center"/>
        </w:trPr>
        <w:tc>
          <w:tcPr>
            <w:tcW w:w="35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一、本年新收政府信息公开申请数量</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 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 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 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 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 0</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 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0 </w:t>
            </w:r>
          </w:p>
        </w:tc>
      </w:tr>
      <w:tr>
        <w:tblPrEx>
          <w:tblCellMar>
            <w:top w:w="0" w:type="dxa"/>
            <w:left w:w="0" w:type="dxa"/>
            <w:bottom w:w="0" w:type="dxa"/>
            <w:right w:w="0" w:type="dxa"/>
          </w:tblCellMar>
        </w:tblPrEx>
        <w:trPr>
          <w:jc w:val="center"/>
        </w:trPr>
        <w:tc>
          <w:tcPr>
            <w:tcW w:w="35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二、上年结转政府信息公开申请数量</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0 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 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 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 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 0</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0 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0"/>
                <w:szCs w:val="20"/>
              </w:rPr>
              <w:t> 0</w:t>
            </w:r>
          </w:p>
        </w:tc>
      </w:tr>
      <w:tr>
        <w:tblPrEx>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三、本年度办理结果</w:t>
            </w: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（一）予以公开</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（二）部分公开（区分处理的，只计这一情形，不计其他情形）</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85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（三）不予公开</w:t>
            </w: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1.属于国家秘密</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2.其他法律行政法规禁止公开</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3.危及“三安全一稳定”</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4.保护第三方合法权益</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5.属于三类内部事务信息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6.属于四类过程性信息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7.属于行政执法案卷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8.属于行政查询事项</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85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（四）无法提供</w:t>
            </w: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1.本机关不掌握相关政府信息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2.没有现成信息需要另行制作</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3.补正后申请内容仍不明确</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85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（五）不予处理</w:t>
            </w: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1.信访举报投诉类申请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2.重复申请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3.要求提供公开出版物</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4.无正当理由大量反复申请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62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5.要求行政机关确认或重新出具已获取信息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（六）其他处理</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ind w:firstLine="480" w:firstLineChars="200"/>
              <w:jc w:val="left"/>
              <w:rPr>
                <w:rFonts w:ascii="宋体" w:hAnsi="宋体" w:eastAsia="宋体" w:cs="宋体"/>
                <w:color w:val="000000" w:themeColor="text1"/>
                <w:kern w:val="0"/>
                <w:sz w:val="24"/>
                <w:szCs w:val="24"/>
              </w:rPr>
            </w:pP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楷体" w:hAnsi="楷体" w:eastAsia="楷体" w:cs="宋体"/>
                <w:color w:val="000000" w:themeColor="text1"/>
                <w:kern w:val="0"/>
                <w:sz w:val="20"/>
                <w:szCs w:val="20"/>
              </w:rPr>
              <w:t>（七）总计</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jc w:val="center"/>
        </w:trPr>
        <w:tc>
          <w:tcPr>
            <w:tcW w:w="35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0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四、结转下年度继续办理</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20" w:firstLineChars="200"/>
              <w:jc w:val="left"/>
              <w:rPr>
                <w:rFonts w:hint="eastAsia" w:ascii="微软雅黑" w:hAnsi="微软雅黑" w:eastAsia="宋体" w:cs="宋体"/>
                <w:color w:val="000000" w:themeColor="text1"/>
                <w:kern w:val="0"/>
                <w:szCs w:val="21"/>
              </w:rPr>
            </w:pPr>
          </w:p>
        </w:tc>
      </w:tr>
    </w:tbl>
    <w:p>
      <w:pPr>
        <w:widowControl/>
        <w:ind w:firstLine="640" w:firstLineChars="200"/>
        <w:jc w:val="left"/>
        <w:rPr>
          <w:rFonts w:hint="eastAsia" w:ascii="黑体" w:hAnsi="黑体" w:eastAsia="黑体" w:cs="宋体"/>
          <w:color w:val="000000" w:themeColor="text1"/>
          <w:kern w:val="0"/>
          <w:sz w:val="32"/>
          <w:szCs w:val="32"/>
        </w:rPr>
      </w:pPr>
    </w:p>
    <w:p>
      <w:pPr>
        <w:widowControl/>
        <w:ind w:firstLine="640" w:firstLineChars="200"/>
        <w:jc w:val="left"/>
        <w:rPr>
          <w:rFonts w:hint="eastAsia"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四、政府信息公开行政复议、行政诉讼情况</w:t>
      </w:r>
    </w:p>
    <w:tbl>
      <w:tblPr>
        <w:tblStyle w:val="5"/>
        <w:tblW w:w="9071" w:type="dxa"/>
        <w:jc w:val="center"/>
        <w:tblLayout w:type="autofit"/>
        <w:tblCellMar>
          <w:top w:w="0" w:type="dxa"/>
          <w:left w:w="0" w:type="dxa"/>
          <w:bottom w:w="0" w:type="dxa"/>
          <w:right w:w="0" w:type="dxa"/>
        </w:tblCellMar>
      </w:tblPr>
      <w:tblGrid>
        <w:gridCol w:w="579"/>
        <w:gridCol w:w="579"/>
        <w:gridCol w:w="579"/>
        <w:gridCol w:w="580"/>
        <w:gridCol w:w="627"/>
        <w:gridCol w:w="643"/>
        <w:gridCol w:w="836"/>
        <w:gridCol w:w="581"/>
        <w:gridCol w:w="581"/>
        <w:gridCol w:w="581"/>
        <w:gridCol w:w="581"/>
        <w:gridCol w:w="581"/>
        <w:gridCol w:w="581"/>
        <w:gridCol w:w="581"/>
        <w:gridCol w:w="581"/>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ind w:firstLine="40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ind w:firstLine="40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结果纠正</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其他结果</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尚未审结</w:t>
            </w:r>
          </w:p>
        </w:tc>
        <w:tc>
          <w:tcPr>
            <w:tcW w:w="658" w:type="dxa"/>
            <w:vMerge w:val="restart"/>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总计</w:t>
            </w:r>
          </w:p>
        </w:tc>
        <w:tc>
          <w:tcPr>
            <w:tcW w:w="2970" w:type="dxa"/>
            <w:gridSpan w:val="5"/>
            <w:tcBorders>
              <w:top w:val="nil"/>
              <w:left w:val="nil"/>
              <w:bottom w:val="single" w:color="auto" w:sz="8" w:space="0"/>
              <w:right w:val="single" w:color="auto" w:sz="8" w:space="0"/>
            </w:tcBorders>
            <w:tcMar>
              <w:top w:w="0" w:type="dxa"/>
              <w:left w:w="108" w:type="dxa"/>
              <w:bottom w:w="0" w:type="dxa"/>
              <w:right w:w="108" w:type="dxa"/>
            </w:tcMar>
          </w:tcPr>
          <w:p>
            <w:pPr>
              <w:widowControl/>
              <w:ind w:firstLine="40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未经复议直接起诉</w:t>
            </w:r>
          </w:p>
        </w:tc>
        <w:tc>
          <w:tcPr>
            <w:tcW w:w="3027" w:type="dxa"/>
            <w:gridSpan w:val="5"/>
            <w:tcBorders>
              <w:top w:val="nil"/>
              <w:left w:val="nil"/>
              <w:bottom w:val="single" w:color="auto" w:sz="8" w:space="0"/>
              <w:right w:val="single" w:color="auto" w:sz="8" w:space="0"/>
            </w:tcBorders>
            <w:tcMar>
              <w:top w:w="0" w:type="dxa"/>
              <w:left w:w="108" w:type="dxa"/>
              <w:bottom w:w="0" w:type="dxa"/>
              <w:right w:w="108" w:type="dxa"/>
            </w:tcMar>
          </w:tcPr>
          <w:p>
            <w:pPr>
              <w:widowControl/>
              <w:ind w:firstLine="40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Pr>
          <w:p>
            <w:pPr>
              <w:widowControl/>
              <w:ind w:firstLine="480" w:firstLineChars="200"/>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tcPr>
          <w:p>
            <w:pPr>
              <w:widowControl/>
              <w:ind w:firstLine="480" w:firstLineChars="200"/>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tcPr>
          <w:p>
            <w:pPr>
              <w:widowControl/>
              <w:ind w:firstLine="480" w:firstLineChars="200"/>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tcPr>
          <w:p>
            <w:pPr>
              <w:widowControl/>
              <w:ind w:firstLine="480" w:firstLineChars="200"/>
              <w:rPr>
                <w:rFonts w:ascii="宋体" w:hAnsi="宋体" w:eastAsia="宋体" w:cs="宋体"/>
                <w:color w:val="000000" w:themeColor="text1"/>
                <w:kern w:val="0"/>
                <w:sz w:val="24"/>
                <w:szCs w:val="24"/>
              </w:rPr>
            </w:pPr>
          </w:p>
        </w:tc>
        <w:tc>
          <w:tcPr>
            <w:tcW w:w="0" w:type="auto"/>
            <w:vMerge w:val="continue"/>
            <w:tcBorders>
              <w:top w:val="nil"/>
              <w:left w:val="nil"/>
              <w:bottom w:val="single" w:color="auto" w:sz="8" w:space="0"/>
              <w:right w:val="single" w:color="auto" w:sz="8" w:space="0"/>
            </w:tcBorders>
          </w:tcPr>
          <w:p>
            <w:pPr>
              <w:widowControl/>
              <w:ind w:firstLine="480" w:firstLineChars="200"/>
              <w:rPr>
                <w:rFonts w:ascii="宋体" w:hAnsi="宋体" w:eastAsia="宋体" w:cs="宋体"/>
                <w:color w:val="000000" w:themeColor="text1"/>
                <w:kern w:val="0"/>
                <w:sz w:val="24"/>
                <w:szCs w:val="24"/>
              </w:rPr>
            </w:pPr>
          </w:p>
        </w:tc>
        <w:tc>
          <w:tcPr>
            <w:tcW w:w="677"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结果维持</w:t>
            </w:r>
          </w:p>
        </w:tc>
        <w:tc>
          <w:tcPr>
            <w:tcW w:w="478"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40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结果纠正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其他结果</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尚未审结</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总计</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结果纠正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其他结果</w:t>
            </w:r>
          </w:p>
        </w:tc>
        <w:tc>
          <w:tcPr>
            <w:tcW w:w="606"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尚未审结</w:t>
            </w:r>
          </w:p>
        </w:tc>
        <w:tc>
          <w:tcPr>
            <w:tcW w:w="606"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677"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478"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tcPr>
          <w:p>
            <w:pPr>
              <w:widowControl/>
              <w:rPr>
                <w:rFonts w:ascii="宋体" w:hAnsi="宋体" w:eastAsia="宋体" w:cs="宋体"/>
                <w:color w:val="000000" w:themeColor="text1"/>
                <w:kern w:val="0"/>
                <w:sz w:val="24"/>
                <w:szCs w:val="24"/>
              </w:rPr>
            </w:pPr>
            <w:r>
              <w:rPr>
                <w:rFonts w:ascii="Times New Roman" w:hAnsi="Times New Roman" w:eastAsia="宋体" w:cs="Times New Roman"/>
                <w:color w:val="000000" w:themeColor="text1"/>
                <w:kern w:val="0"/>
                <w:sz w:val="22"/>
              </w:rPr>
              <w:t>0</w:t>
            </w:r>
          </w:p>
        </w:tc>
      </w:tr>
    </w:tbl>
    <w:p>
      <w:pPr>
        <w:widowControl/>
        <w:ind w:firstLine="480" w:firstLineChars="200"/>
        <w:jc w:val="left"/>
        <w:rPr>
          <w:rFonts w:ascii="宋体" w:hAnsi="宋体" w:eastAsia="宋体" w:cs="宋体"/>
          <w:color w:val="000000" w:themeColor="text1"/>
          <w:kern w:val="0"/>
          <w:sz w:val="24"/>
          <w:szCs w:val="24"/>
        </w:rPr>
      </w:pPr>
    </w:p>
    <w:p>
      <w:pPr>
        <w:widowControl/>
        <w:ind w:firstLine="640" w:firstLineChars="200"/>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五、存在的问题及下一步工作打算</w:t>
      </w:r>
    </w:p>
    <w:p>
      <w:pPr>
        <w:widowControl/>
        <w:ind w:firstLine="640" w:firstLineChars="200"/>
        <w:jc w:val="left"/>
        <w:rPr>
          <w:rFonts w:ascii="楷体_GB2312" w:hAnsi="宋体" w:eastAsia="楷体_GB2312" w:cs="宋体"/>
          <w:color w:val="000000" w:themeColor="text1"/>
          <w:kern w:val="0"/>
          <w:sz w:val="24"/>
          <w:szCs w:val="24"/>
        </w:rPr>
      </w:pPr>
      <w:r>
        <w:rPr>
          <w:rFonts w:hint="eastAsia" w:ascii="楷体_GB2312" w:hAnsi="宋体" w:eastAsia="楷体_GB2312" w:cs="宋体"/>
          <w:color w:val="000000" w:themeColor="text1"/>
          <w:kern w:val="0"/>
          <w:sz w:val="32"/>
          <w:szCs w:val="32"/>
        </w:rPr>
        <w:t>（一）存在的问题</w:t>
      </w:r>
    </w:p>
    <w:p>
      <w:pPr>
        <w:widowControl/>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市公共资源交易监管局在推进政务公开工作虽然取得了一定的成效，但也存在一些问题。主要表现在：一是从事政务公开工作的人员多数是兼职人员，工作力量不足；二是一些科室、部门工作人员对信息公开工作的重要性认识不足，工作的积极性、主动性有待加强；三是有些科室、部门主动公开的信息内容与群众需求还有一定差距，公开量、公开面、公开形式、公开深度等方面还不能满足群众的要求；四是信息发布内容不够全面，特别是解读信息不够、意见征求反馈不多。</w:t>
      </w:r>
    </w:p>
    <w:p>
      <w:pPr>
        <w:widowControl/>
        <w:ind w:firstLine="640" w:firstLineChars="200"/>
        <w:jc w:val="left"/>
        <w:rPr>
          <w:rFonts w:ascii="楷体_GB2312" w:hAnsi="宋体" w:eastAsia="楷体_GB2312" w:cs="宋体"/>
          <w:color w:val="000000" w:themeColor="text1"/>
          <w:kern w:val="0"/>
          <w:sz w:val="32"/>
          <w:szCs w:val="32"/>
        </w:rPr>
      </w:pPr>
      <w:r>
        <w:rPr>
          <w:rFonts w:hint="eastAsia" w:ascii="楷体_GB2312" w:hAnsi="宋体" w:eastAsia="楷体_GB2312" w:cs="宋体"/>
          <w:color w:val="000000" w:themeColor="text1"/>
          <w:kern w:val="0"/>
          <w:sz w:val="32"/>
          <w:szCs w:val="32"/>
        </w:rPr>
        <w:t>（二）下一步工作打算</w:t>
      </w:r>
    </w:p>
    <w:p>
      <w:pPr>
        <w:widowControl/>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一是健全完善政务公开制度，推进政务公开制度化、规范化。形成一套与之相适应的管理制度，加强政务信息公开工作制度化、规范化建设。强化责任意识，增加信息发布量，提高采集公共资源交易数据的及时性、准确性。</w:t>
      </w:r>
    </w:p>
    <w:p>
      <w:pPr>
        <w:widowControl/>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二是以社会公众需求为导向，丰富政务公开内容。重点推进公共资源交易领域政务信息公开工作；对涉及专业性强、公众关注度高的规范性文件、重大决定事项等认真做好公开工作，编写配套解读材料，方便公众知晓；以政务公开带动办事公开，以办事公开带动便民服务，大力推进政务公开与电子政务相结合，满足公众通过不同载体、不同形式、不同渠道公共资源交易信息的知情权、参与权、表达权和监督权。</w:t>
      </w:r>
    </w:p>
    <w:p>
      <w:pPr>
        <w:widowControl/>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三是以贯彻落实《条例》为抓手，加大政务公开力度。积极利用信息化手段，规范政务公开形式和载体，切实加强网站与网民互动工作，从网站设计、栏目设置及内容等方面进行改进，丰富政务公开内容和内涵，拓宽政务公开范围和渠道，加大政务公开深度和广度，重点推进公众关注度高的事项公开，着力抓好建设工程、民生保障、医疗卫生等方面交易信息公开。</w:t>
      </w:r>
    </w:p>
    <w:p>
      <w:pPr>
        <w:widowControl/>
        <w:ind w:firstLine="640" w:firstLineChars="200"/>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六、其他需要报告的事项</w:t>
      </w:r>
    </w:p>
    <w:p>
      <w:pPr>
        <w:ind w:firstLine="640" w:firstLineChars="200"/>
        <w:rPr>
          <w:color w:val="000000" w:themeColor="text1"/>
        </w:rPr>
      </w:pPr>
      <w:r>
        <w:rPr>
          <w:rFonts w:hint="eastAsia" w:ascii="仿宋_GB2312" w:hAnsi="宋体" w:eastAsia="仿宋_GB2312" w:cs="宋体"/>
          <w:color w:val="000000" w:themeColor="text1"/>
          <w:kern w:val="0"/>
          <w:sz w:val="32"/>
          <w:szCs w:val="32"/>
        </w:rPr>
        <w:t>无其他报告事项。</w:t>
      </w:r>
      <w:bookmarkEnd w:id="0"/>
      <w:bookmarkEnd w:id="1"/>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4MTBkN2E2MmVhYWYyODE2MWI4YTg0NDNiODA3OWUifQ=="/>
  </w:docVars>
  <w:rsids>
    <w:rsidRoot w:val="00CB6082"/>
    <w:rsid w:val="0029664E"/>
    <w:rsid w:val="00461B8F"/>
    <w:rsid w:val="00702CBE"/>
    <w:rsid w:val="00711DEA"/>
    <w:rsid w:val="009B50D0"/>
    <w:rsid w:val="00A75224"/>
    <w:rsid w:val="00B05D29"/>
    <w:rsid w:val="00B0748E"/>
    <w:rsid w:val="00B11209"/>
    <w:rsid w:val="00C11C0D"/>
    <w:rsid w:val="00CB6082"/>
    <w:rsid w:val="00CD7A9A"/>
    <w:rsid w:val="00D6234B"/>
    <w:rsid w:val="00E316DC"/>
    <w:rsid w:val="00E37B13"/>
    <w:rsid w:val="00FC12EC"/>
    <w:rsid w:val="79403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date4"/>
    <w:basedOn w:val="6"/>
    <w:uiPriority w:val="0"/>
  </w:style>
  <w:style w:type="character" w:customStyle="1" w:styleId="10">
    <w:name w:val="viewfont3"/>
    <w:basedOn w:val="6"/>
    <w:uiPriority w:val="0"/>
  </w:style>
  <w:style w:type="character" w:customStyle="1" w:styleId="11">
    <w:name w:val="a1"/>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1776</Words>
  <Characters>1812</Characters>
  <Lines>362</Lines>
  <Paragraphs>199</Paragraphs>
  <TotalTime>87</TotalTime>
  <ScaleCrop>false</ScaleCrop>
  <LinksUpToDate>false</LinksUpToDate>
  <CharactersWithSpaces>3389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2020-02-04T01:04:00Z</dcterms:created>
  <dc:creator>ll</dc:creator>
  <cp:lastModifiedBy>肉</cp:lastModifiedBy>
  <dcterms:modified xsi:type="dcterms:W3CDTF">2024-02-26T07:13:11Z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6B75B00274274062A03DE570DBD64C56_12</vt:lpwstr>
  </property>
</Properties>
</file>