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1"/>
          <w:szCs w:val="21"/>
        </w:rPr>
      </w:pPr>
      <w:r>
        <w:rPr>
          <w:rFonts w:hint="eastAsia" w:ascii="宋体" w:hAnsi="宋体" w:eastAsia="宋体" w:cs="宋体"/>
          <w:b/>
          <w:bCs/>
          <w:sz w:val="36"/>
          <w:szCs w:val="36"/>
          <w:lang w:val="en-US" w:eastAsia="zh-CN"/>
        </w:rPr>
        <w:t>2022年评标评审专家测试答题卡</w:t>
      </w:r>
    </w:p>
    <w:tbl>
      <w:tblPr>
        <w:tblStyle w:val="5"/>
        <w:tblpPr w:leftFromText="180" w:rightFromText="180" w:vertAnchor="text" w:horzAnchor="page" w:tblpX="1770" w:tblpY="7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956"/>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姓名</w:t>
            </w:r>
          </w:p>
        </w:tc>
        <w:tc>
          <w:tcPr>
            <w:tcW w:w="2956" w:type="dxa"/>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2735" w:type="dxa"/>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手机</w:t>
            </w:r>
          </w:p>
        </w:tc>
      </w:tr>
    </w:tbl>
    <w:tbl>
      <w:tblPr>
        <w:tblStyle w:val="5"/>
        <w:tblpPr w:leftFromText="180" w:rightFromText="180" w:vertAnchor="text" w:horzAnchor="page" w:tblpX="1792"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77"/>
        <w:gridCol w:w="532"/>
        <w:gridCol w:w="1093"/>
        <w:gridCol w:w="495"/>
        <w:gridCol w:w="1130"/>
        <w:gridCol w:w="601"/>
        <w:gridCol w:w="1024"/>
        <w:gridCol w:w="60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48" w:type="dxa"/>
          </w:tcPr>
          <w:p>
            <w:pPr>
              <w:spacing w:line="360" w:lineRule="auto"/>
              <w:rPr>
                <w:rFonts w:hint="eastAsia"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1</w:t>
            </w:r>
          </w:p>
        </w:tc>
        <w:tc>
          <w:tcPr>
            <w:tcW w:w="1077" w:type="dxa"/>
          </w:tcPr>
          <w:p>
            <w:pPr>
              <w:spacing w:line="360" w:lineRule="auto"/>
              <w:rPr>
                <w:rFonts w:hint="default" w:ascii="新宋体" w:hAnsi="新宋体" w:eastAsia="新宋体" w:cs="新宋体"/>
                <w:b w:val="0"/>
                <w:bCs w:val="0"/>
                <w:color w:val="000000"/>
                <w:sz w:val="24"/>
                <w:szCs w:val="24"/>
                <w:vertAlign w:val="baseline"/>
                <w:lang w:val="en-US" w:eastAsia="zh-CN"/>
              </w:rPr>
            </w:pPr>
          </w:p>
        </w:tc>
        <w:tc>
          <w:tcPr>
            <w:tcW w:w="532" w:type="dxa"/>
          </w:tcPr>
          <w:p>
            <w:pPr>
              <w:spacing w:line="360" w:lineRule="auto"/>
              <w:rPr>
                <w:rFonts w:hint="eastAsia"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2</w:t>
            </w:r>
          </w:p>
        </w:tc>
        <w:tc>
          <w:tcPr>
            <w:tcW w:w="1093" w:type="dxa"/>
          </w:tcPr>
          <w:p>
            <w:pPr>
              <w:spacing w:line="360" w:lineRule="auto"/>
              <w:rPr>
                <w:rFonts w:hint="default" w:ascii="新宋体" w:hAnsi="新宋体" w:eastAsia="新宋体" w:cs="新宋体"/>
                <w:b w:val="0"/>
                <w:bCs w:val="0"/>
                <w:color w:val="000000"/>
                <w:sz w:val="24"/>
                <w:szCs w:val="24"/>
                <w:vertAlign w:val="baseline"/>
                <w:lang w:val="en-US" w:eastAsia="zh-CN"/>
              </w:rPr>
            </w:pPr>
          </w:p>
        </w:tc>
        <w:tc>
          <w:tcPr>
            <w:tcW w:w="495" w:type="dxa"/>
          </w:tcPr>
          <w:p>
            <w:pPr>
              <w:spacing w:line="360" w:lineRule="auto"/>
              <w:rPr>
                <w:rFonts w:hint="eastAsia"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3</w:t>
            </w:r>
          </w:p>
        </w:tc>
        <w:tc>
          <w:tcPr>
            <w:tcW w:w="1130" w:type="dxa"/>
          </w:tcPr>
          <w:p>
            <w:pPr>
              <w:spacing w:line="360" w:lineRule="auto"/>
              <w:rPr>
                <w:rFonts w:hint="default" w:ascii="新宋体" w:hAnsi="新宋体" w:eastAsia="新宋体" w:cs="新宋体"/>
                <w:b w:val="0"/>
                <w:bCs w:val="0"/>
                <w:color w:val="000000"/>
                <w:sz w:val="24"/>
                <w:szCs w:val="24"/>
                <w:vertAlign w:val="baseline"/>
                <w:lang w:val="en-US" w:eastAsia="zh-CN"/>
              </w:rPr>
            </w:pPr>
          </w:p>
        </w:tc>
        <w:tc>
          <w:tcPr>
            <w:tcW w:w="601" w:type="dxa"/>
          </w:tcPr>
          <w:p>
            <w:pPr>
              <w:spacing w:line="360" w:lineRule="auto"/>
              <w:rPr>
                <w:rFonts w:hint="eastAsia"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4</w:t>
            </w:r>
          </w:p>
        </w:tc>
        <w:tc>
          <w:tcPr>
            <w:tcW w:w="1024" w:type="dxa"/>
          </w:tcPr>
          <w:p>
            <w:pPr>
              <w:spacing w:line="360" w:lineRule="auto"/>
              <w:rPr>
                <w:rFonts w:hint="default" w:ascii="新宋体" w:hAnsi="新宋体" w:eastAsia="新宋体" w:cs="新宋体"/>
                <w:b w:val="0"/>
                <w:bCs w:val="0"/>
                <w:color w:val="000000"/>
                <w:sz w:val="24"/>
                <w:szCs w:val="24"/>
                <w:vertAlign w:val="baseline"/>
                <w:lang w:val="en-US" w:eastAsia="zh-CN"/>
              </w:rPr>
            </w:pPr>
          </w:p>
        </w:tc>
        <w:tc>
          <w:tcPr>
            <w:tcW w:w="605" w:type="dxa"/>
          </w:tcPr>
          <w:p>
            <w:pPr>
              <w:spacing w:line="360" w:lineRule="auto"/>
              <w:rPr>
                <w:rFonts w:hint="eastAsia"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5</w:t>
            </w:r>
          </w:p>
        </w:tc>
        <w:tc>
          <w:tcPr>
            <w:tcW w:w="1129" w:type="dxa"/>
          </w:tcPr>
          <w:p>
            <w:pPr>
              <w:spacing w:line="360" w:lineRule="auto"/>
              <w:rPr>
                <w:rFonts w:hint="default" w:ascii="新宋体" w:hAnsi="新宋体" w:eastAsia="新宋体" w:cs="新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48" w:type="dxa"/>
          </w:tcPr>
          <w:p>
            <w:pPr>
              <w:spacing w:line="360" w:lineRule="auto"/>
              <w:rPr>
                <w:rFonts w:hint="eastAsia" w:ascii="新宋体" w:hAnsi="新宋体" w:eastAsia="新宋体" w:cs="新宋体"/>
                <w:color w:val="000000"/>
                <w:sz w:val="24"/>
                <w:szCs w:val="24"/>
                <w:vertAlign w:val="baseline"/>
                <w:lang w:val="en-US" w:eastAsia="zh-CN"/>
              </w:rPr>
            </w:pPr>
            <w:r>
              <w:rPr>
                <w:rFonts w:hint="eastAsia" w:ascii="新宋体" w:hAnsi="新宋体" w:eastAsia="新宋体" w:cs="新宋体"/>
                <w:color w:val="000000"/>
                <w:sz w:val="24"/>
                <w:szCs w:val="24"/>
                <w:vertAlign w:val="baseline"/>
                <w:lang w:val="en-US" w:eastAsia="zh-CN"/>
              </w:rPr>
              <w:t>6</w:t>
            </w:r>
          </w:p>
        </w:tc>
        <w:tc>
          <w:tcPr>
            <w:tcW w:w="1077" w:type="dxa"/>
          </w:tcPr>
          <w:p>
            <w:pPr>
              <w:spacing w:line="360" w:lineRule="auto"/>
              <w:rPr>
                <w:rFonts w:hint="default" w:ascii="新宋体" w:hAnsi="新宋体" w:eastAsia="新宋体" w:cs="新宋体"/>
                <w:color w:val="000000"/>
                <w:sz w:val="24"/>
                <w:szCs w:val="24"/>
                <w:vertAlign w:val="baseline"/>
                <w:lang w:val="en-US" w:eastAsia="zh-CN"/>
              </w:rPr>
            </w:pPr>
          </w:p>
        </w:tc>
        <w:tc>
          <w:tcPr>
            <w:tcW w:w="532" w:type="dxa"/>
          </w:tcPr>
          <w:p>
            <w:pPr>
              <w:spacing w:line="360" w:lineRule="auto"/>
              <w:rPr>
                <w:rFonts w:hint="eastAsia" w:ascii="新宋体" w:hAnsi="新宋体" w:eastAsia="新宋体" w:cs="新宋体"/>
                <w:color w:val="000000"/>
                <w:sz w:val="24"/>
                <w:szCs w:val="24"/>
                <w:vertAlign w:val="baseline"/>
                <w:lang w:val="en-US" w:eastAsia="zh-CN"/>
              </w:rPr>
            </w:pPr>
            <w:r>
              <w:rPr>
                <w:rFonts w:hint="eastAsia" w:ascii="新宋体" w:hAnsi="新宋体" w:eastAsia="新宋体" w:cs="新宋体"/>
                <w:color w:val="000000"/>
                <w:sz w:val="24"/>
                <w:szCs w:val="24"/>
                <w:vertAlign w:val="baseline"/>
                <w:lang w:val="en-US" w:eastAsia="zh-CN"/>
              </w:rPr>
              <w:t>7</w:t>
            </w:r>
          </w:p>
        </w:tc>
        <w:tc>
          <w:tcPr>
            <w:tcW w:w="1093" w:type="dxa"/>
          </w:tcPr>
          <w:p>
            <w:pPr>
              <w:spacing w:line="360" w:lineRule="auto"/>
              <w:rPr>
                <w:rFonts w:hint="default" w:ascii="新宋体" w:hAnsi="新宋体" w:eastAsia="新宋体" w:cs="新宋体"/>
                <w:color w:val="000000"/>
                <w:sz w:val="24"/>
                <w:szCs w:val="24"/>
                <w:vertAlign w:val="baseline"/>
                <w:lang w:val="en-US" w:eastAsia="zh-CN"/>
              </w:rPr>
            </w:pPr>
          </w:p>
        </w:tc>
        <w:tc>
          <w:tcPr>
            <w:tcW w:w="495" w:type="dxa"/>
          </w:tcPr>
          <w:p>
            <w:pPr>
              <w:spacing w:line="360" w:lineRule="auto"/>
              <w:rPr>
                <w:rFonts w:hint="eastAsia" w:ascii="新宋体" w:hAnsi="新宋体" w:eastAsia="新宋体" w:cs="新宋体"/>
                <w:color w:val="000000"/>
                <w:sz w:val="24"/>
                <w:szCs w:val="24"/>
                <w:vertAlign w:val="baseline"/>
                <w:lang w:val="en-US" w:eastAsia="zh-CN"/>
              </w:rPr>
            </w:pPr>
            <w:r>
              <w:rPr>
                <w:rFonts w:hint="eastAsia" w:ascii="新宋体" w:hAnsi="新宋体" w:eastAsia="新宋体" w:cs="新宋体"/>
                <w:color w:val="000000"/>
                <w:sz w:val="24"/>
                <w:szCs w:val="24"/>
                <w:vertAlign w:val="baseline"/>
                <w:lang w:val="en-US" w:eastAsia="zh-CN"/>
              </w:rPr>
              <w:t>8</w:t>
            </w:r>
          </w:p>
        </w:tc>
        <w:tc>
          <w:tcPr>
            <w:tcW w:w="1130" w:type="dxa"/>
          </w:tcPr>
          <w:p>
            <w:pPr>
              <w:spacing w:line="360" w:lineRule="auto"/>
              <w:rPr>
                <w:rFonts w:hint="default" w:ascii="新宋体" w:hAnsi="新宋体" w:eastAsia="新宋体" w:cs="新宋体"/>
                <w:color w:val="000000"/>
                <w:sz w:val="24"/>
                <w:szCs w:val="24"/>
                <w:vertAlign w:val="baseline"/>
                <w:lang w:val="en-US" w:eastAsia="zh-CN"/>
              </w:rPr>
            </w:pPr>
          </w:p>
        </w:tc>
        <w:tc>
          <w:tcPr>
            <w:tcW w:w="601" w:type="dxa"/>
          </w:tcPr>
          <w:p>
            <w:pPr>
              <w:spacing w:line="360" w:lineRule="auto"/>
              <w:rPr>
                <w:rFonts w:hint="default" w:ascii="新宋体" w:hAnsi="新宋体" w:eastAsia="新宋体" w:cs="新宋体"/>
                <w:color w:val="000000"/>
                <w:sz w:val="24"/>
                <w:szCs w:val="24"/>
                <w:vertAlign w:val="baseline"/>
                <w:lang w:val="en-US" w:eastAsia="zh-CN"/>
              </w:rPr>
            </w:pPr>
            <w:r>
              <w:rPr>
                <w:rFonts w:hint="eastAsia" w:ascii="新宋体" w:hAnsi="新宋体" w:eastAsia="新宋体" w:cs="新宋体"/>
                <w:color w:val="000000"/>
                <w:sz w:val="24"/>
                <w:szCs w:val="24"/>
                <w:vertAlign w:val="baseline"/>
                <w:lang w:val="en-US" w:eastAsia="zh-CN"/>
              </w:rPr>
              <w:t>9</w:t>
            </w:r>
          </w:p>
        </w:tc>
        <w:tc>
          <w:tcPr>
            <w:tcW w:w="1024" w:type="dxa"/>
          </w:tcPr>
          <w:p>
            <w:pPr>
              <w:spacing w:line="360" w:lineRule="auto"/>
              <w:rPr>
                <w:rFonts w:hint="eastAsia" w:ascii="新宋体" w:hAnsi="新宋体" w:eastAsia="新宋体" w:cs="新宋体"/>
                <w:color w:val="000000"/>
                <w:sz w:val="24"/>
                <w:szCs w:val="24"/>
                <w:vertAlign w:val="baseline"/>
              </w:rPr>
            </w:pPr>
          </w:p>
        </w:tc>
        <w:tc>
          <w:tcPr>
            <w:tcW w:w="605" w:type="dxa"/>
          </w:tcPr>
          <w:p>
            <w:pPr>
              <w:spacing w:line="360" w:lineRule="auto"/>
              <w:rPr>
                <w:rFonts w:hint="default" w:ascii="新宋体" w:hAnsi="新宋体" w:eastAsia="新宋体" w:cs="新宋体"/>
                <w:color w:val="000000"/>
                <w:sz w:val="24"/>
                <w:szCs w:val="24"/>
                <w:vertAlign w:val="baseline"/>
                <w:lang w:val="en-US" w:eastAsia="zh-CN"/>
              </w:rPr>
            </w:pPr>
            <w:r>
              <w:rPr>
                <w:rFonts w:hint="eastAsia" w:ascii="新宋体" w:hAnsi="新宋体" w:eastAsia="新宋体" w:cs="新宋体"/>
                <w:color w:val="000000"/>
                <w:sz w:val="24"/>
                <w:szCs w:val="24"/>
                <w:vertAlign w:val="baseline"/>
                <w:lang w:val="en-US" w:eastAsia="zh-CN"/>
              </w:rPr>
              <w:t>10</w:t>
            </w:r>
          </w:p>
        </w:tc>
        <w:tc>
          <w:tcPr>
            <w:tcW w:w="1129" w:type="dxa"/>
          </w:tcPr>
          <w:p>
            <w:pPr>
              <w:spacing w:line="360" w:lineRule="auto"/>
              <w:rPr>
                <w:rFonts w:hint="default" w:ascii="新宋体" w:hAnsi="新宋体" w:eastAsia="新宋体" w:cs="新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48" w:type="dxa"/>
          </w:tcPr>
          <w:p>
            <w:pPr>
              <w:spacing w:line="360" w:lineRule="auto"/>
              <w:rPr>
                <w:rFonts w:hint="default"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11</w:t>
            </w:r>
          </w:p>
        </w:tc>
        <w:tc>
          <w:tcPr>
            <w:tcW w:w="1077" w:type="dxa"/>
          </w:tcPr>
          <w:p>
            <w:pPr>
              <w:spacing w:line="360" w:lineRule="auto"/>
              <w:rPr>
                <w:rFonts w:hint="default" w:ascii="新宋体" w:hAnsi="新宋体" w:eastAsia="新宋体" w:cs="新宋体"/>
                <w:b w:val="0"/>
                <w:bCs w:val="0"/>
                <w:color w:val="000000"/>
                <w:sz w:val="24"/>
                <w:szCs w:val="24"/>
                <w:vertAlign w:val="baseline"/>
                <w:lang w:val="en-US" w:eastAsia="zh-CN"/>
              </w:rPr>
            </w:pPr>
          </w:p>
        </w:tc>
        <w:tc>
          <w:tcPr>
            <w:tcW w:w="532" w:type="dxa"/>
          </w:tcPr>
          <w:p>
            <w:pPr>
              <w:spacing w:line="360" w:lineRule="auto"/>
              <w:rPr>
                <w:rFonts w:hint="default"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12</w:t>
            </w:r>
          </w:p>
        </w:tc>
        <w:tc>
          <w:tcPr>
            <w:tcW w:w="1093" w:type="dxa"/>
          </w:tcPr>
          <w:p>
            <w:pPr>
              <w:spacing w:line="360" w:lineRule="auto"/>
              <w:rPr>
                <w:rFonts w:hint="default" w:ascii="新宋体" w:hAnsi="新宋体" w:eastAsia="新宋体" w:cs="新宋体"/>
                <w:b w:val="0"/>
                <w:bCs w:val="0"/>
                <w:color w:val="000000"/>
                <w:sz w:val="24"/>
                <w:szCs w:val="24"/>
                <w:vertAlign w:val="baseline"/>
                <w:lang w:val="en-US" w:eastAsia="zh-CN"/>
              </w:rPr>
            </w:pPr>
          </w:p>
        </w:tc>
        <w:tc>
          <w:tcPr>
            <w:tcW w:w="495" w:type="dxa"/>
          </w:tcPr>
          <w:p>
            <w:pPr>
              <w:spacing w:line="360" w:lineRule="auto"/>
              <w:rPr>
                <w:rFonts w:hint="default"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13</w:t>
            </w:r>
          </w:p>
        </w:tc>
        <w:tc>
          <w:tcPr>
            <w:tcW w:w="1130" w:type="dxa"/>
          </w:tcPr>
          <w:p>
            <w:pPr>
              <w:spacing w:line="360" w:lineRule="auto"/>
              <w:rPr>
                <w:rFonts w:hint="default" w:ascii="新宋体" w:hAnsi="新宋体" w:eastAsia="新宋体" w:cs="新宋体"/>
                <w:b w:val="0"/>
                <w:bCs w:val="0"/>
                <w:color w:val="000000"/>
                <w:sz w:val="24"/>
                <w:szCs w:val="24"/>
                <w:vertAlign w:val="baseline"/>
                <w:lang w:val="en-US" w:eastAsia="zh-CN"/>
              </w:rPr>
            </w:pPr>
          </w:p>
        </w:tc>
        <w:tc>
          <w:tcPr>
            <w:tcW w:w="601" w:type="dxa"/>
          </w:tcPr>
          <w:p>
            <w:pPr>
              <w:spacing w:line="360" w:lineRule="auto"/>
              <w:rPr>
                <w:rFonts w:hint="default"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14</w:t>
            </w:r>
          </w:p>
        </w:tc>
        <w:tc>
          <w:tcPr>
            <w:tcW w:w="1024" w:type="dxa"/>
          </w:tcPr>
          <w:p>
            <w:pPr>
              <w:spacing w:line="360" w:lineRule="auto"/>
              <w:rPr>
                <w:rFonts w:hint="default" w:ascii="新宋体" w:hAnsi="新宋体" w:eastAsia="新宋体" w:cs="新宋体"/>
                <w:b w:val="0"/>
                <w:bCs w:val="0"/>
                <w:color w:val="000000"/>
                <w:sz w:val="24"/>
                <w:szCs w:val="24"/>
                <w:vertAlign w:val="baseline"/>
                <w:lang w:val="en-US" w:eastAsia="zh-CN"/>
              </w:rPr>
            </w:pPr>
          </w:p>
        </w:tc>
        <w:tc>
          <w:tcPr>
            <w:tcW w:w="605" w:type="dxa"/>
          </w:tcPr>
          <w:p>
            <w:pPr>
              <w:spacing w:line="360" w:lineRule="auto"/>
              <w:rPr>
                <w:rFonts w:hint="default"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15</w:t>
            </w:r>
          </w:p>
        </w:tc>
        <w:tc>
          <w:tcPr>
            <w:tcW w:w="1129" w:type="dxa"/>
          </w:tcPr>
          <w:p>
            <w:pPr>
              <w:spacing w:line="360" w:lineRule="auto"/>
              <w:rPr>
                <w:rFonts w:hint="default" w:ascii="新宋体" w:hAnsi="新宋体" w:eastAsia="新宋体" w:cs="新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48" w:type="dxa"/>
          </w:tcPr>
          <w:p>
            <w:pPr>
              <w:spacing w:line="360" w:lineRule="auto"/>
              <w:rPr>
                <w:rFonts w:hint="default"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16</w:t>
            </w:r>
          </w:p>
        </w:tc>
        <w:tc>
          <w:tcPr>
            <w:tcW w:w="1077" w:type="dxa"/>
          </w:tcPr>
          <w:p>
            <w:pPr>
              <w:spacing w:line="360" w:lineRule="auto"/>
              <w:rPr>
                <w:rFonts w:hint="eastAsia" w:ascii="新宋体" w:hAnsi="新宋体" w:eastAsia="新宋体" w:cs="新宋体"/>
                <w:b w:val="0"/>
                <w:bCs w:val="0"/>
                <w:color w:val="000000"/>
                <w:sz w:val="24"/>
                <w:szCs w:val="24"/>
                <w:vertAlign w:val="baseline"/>
                <w:lang w:val="en-US" w:eastAsia="zh-CN"/>
              </w:rPr>
            </w:pPr>
          </w:p>
        </w:tc>
        <w:tc>
          <w:tcPr>
            <w:tcW w:w="532" w:type="dxa"/>
            <w:vAlign w:val="top"/>
          </w:tcPr>
          <w:p>
            <w:pPr>
              <w:spacing w:line="360" w:lineRule="auto"/>
              <w:rPr>
                <w:rFonts w:hint="default"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17</w:t>
            </w:r>
          </w:p>
        </w:tc>
        <w:tc>
          <w:tcPr>
            <w:tcW w:w="1093" w:type="dxa"/>
          </w:tcPr>
          <w:p>
            <w:pPr>
              <w:spacing w:line="360" w:lineRule="auto"/>
              <w:rPr>
                <w:rFonts w:hint="eastAsia" w:ascii="新宋体" w:hAnsi="新宋体" w:eastAsia="新宋体" w:cs="新宋体"/>
                <w:b w:val="0"/>
                <w:bCs w:val="0"/>
                <w:color w:val="000000"/>
                <w:sz w:val="24"/>
                <w:szCs w:val="24"/>
                <w:vertAlign w:val="baseline"/>
                <w:lang w:val="en-US" w:eastAsia="zh-CN"/>
              </w:rPr>
            </w:pPr>
          </w:p>
        </w:tc>
        <w:tc>
          <w:tcPr>
            <w:tcW w:w="495" w:type="dxa"/>
          </w:tcPr>
          <w:p>
            <w:pPr>
              <w:spacing w:line="360" w:lineRule="auto"/>
              <w:rPr>
                <w:rFonts w:hint="default"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18</w:t>
            </w:r>
          </w:p>
        </w:tc>
        <w:tc>
          <w:tcPr>
            <w:tcW w:w="1130" w:type="dxa"/>
            <w:vAlign w:val="top"/>
          </w:tcPr>
          <w:p>
            <w:pPr>
              <w:spacing w:line="360" w:lineRule="auto"/>
              <w:rPr>
                <w:rFonts w:hint="eastAsia" w:ascii="新宋体" w:hAnsi="新宋体" w:eastAsia="新宋体" w:cs="新宋体"/>
                <w:b w:val="0"/>
                <w:bCs w:val="0"/>
                <w:color w:val="000000"/>
                <w:kern w:val="2"/>
                <w:sz w:val="24"/>
                <w:szCs w:val="24"/>
                <w:vertAlign w:val="baseline"/>
                <w:lang w:val="en-US" w:eastAsia="zh-CN" w:bidi="ar-SA"/>
              </w:rPr>
            </w:pPr>
          </w:p>
        </w:tc>
        <w:tc>
          <w:tcPr>
            <w:tcW w:w="601" w:type="dxa"/>
          </w:tcPr>
          <w:p>
            <w:pPr>
              <w:spacing w:line="360" w:lineRule="auto"/>
              <w:rPr>
                <w:rFonts w:hint="default"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19</w:t>
            </w:r>
          </w:p>
        </w:tc>
        <w:tc>
          <w:tcPr>
            <w:tcW w:w="1024" w:type="dxa"/>
          </w:tcPr>
          <w:p>
            <w:pPr>
              <w:spacing w:line="360" w:lineRule="auto"/>
              <w:rPr>
                <w:rFonts w:hint="default" w:ascii="新宋体" w:hAnsi="新宋体" w:eastAsia="新宋体" w:cs="新宋体"/>
                <w:b w:val="0"/>
                <w:bCs w:val="0"/>
                <w:color w:val="000000"/>
                <w:sz w:val="24"/>
                <w:szCs w:val="24"/>
                <w:vertAlign w:val="baseline"/>
                <w:lang w:val="en-US" w:eastAsia="zh-CN"/>
              </w:rPr>
            </w:pPr>
          </w:p>
        </w:tc>
        <w:tc>
          <w:tcPr>
            <w:tcW w:w="605" w:type="dxa"/>
          </w:tcPr>
          <w:p>
            <w:pPr>
              <w:spacing w:line="360" w:lineRule="auto"/>
              <w:rPr>
                <w:rFonts w:hint="default" w:ascii="新宋体" w:hAnsi="新宋体" w:eastAsia="新宋体" w:cs="新宋体"/>
                <w:b w:val="0"/>
                <w:bCs w:val="0"/>
                <w:color w:val="000000"/>
                <w:sz w:val="24"/>
                <w:szCs w:val="24"/>
                <w:vertAlign w:val="baseline"/>
                <w:lang w:val="en-US" w:eastAsia="zh-CN"/>
              </w:rPr>
            </w:pPr>
            <w:r>
              <w:rPr>
                <w:rFonts w:hint="eastAsia" w:ascii="新宋体" w:hAnsi="新宋体" w:eastAsia="新宋体" w:cs="新宋体"/>
                <w:b w:val="0"/>
                <w:bCs w:val="0"/>
                <w:color w:val="000000"/>
                <w:sz w:val="24"/>
                <w:szCs w:val="24"/>
                <w:vertAlign w:val="baseline"/>
                <w:lang w:val="en-US" w:eastAsia="zh-CN"/>
              </w:rPr>
              <w:t>20</w:t>
            </w:r>
          </w:p>
        </w:tc>
        <w:tc>
          <w:tcPr>
            <w:tcW w:w="1129" w:type="dxa"/>
          </w:tcPr>
          <w:p>
            <w:pPr>
              <w:spacing w:line="360" w:lineRule="auto"/>
              <w:rPr>
                <w:rFonts w:hint="eastAsia" w:ascii="新宋体" w:hAnsi="新宋体" w:eastAsia="新宋体" w:cs="新宋体"/>
                <w:b w:val="0"/>
                <w:bCs w:val="0"/>
                <w:color w:val="000000"/>
                <w:sz w:val="24"/>
                <w:szCs w:val="24"/>
                <w:vertAlign w:val="baseline"/>
                <w:lang w:val="en-US" w:eastAsia="zh-CN"/>
              </w:rPr>
            </w:pPr>
          </w:p>
        </w:tc>
      </w:tr>
    </w:tbl>
    <w:p>
      <w:pPr>
        <w:spacing w:line="360" w:lineRule="auto"/>
        <w:rPr>
          <w:rFonts w:hint="eastAsia" w:ascii="方正粗黑宋简体" w:hAnsi="方正粗黑宋简体" w:eastAsia="方正粗黑宋简体" w:cs="方正粗黑宋简体"/>
          <w:color w:val="000000"/>
          <w:sz w:val="32"/>
          <w:szCs w:val="32"/>
        </w:rPr>
      </w:pP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二、简答题</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道,每题2</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.评标过程中，评标委员会成员应当恪尽职守，履行自己应尽的职责，为了实现有效评标，评标委员会成员至少应了解和熟悉评标文件中的哪些内容？</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ascii="方正小标宋简体" w:eastAsia="方正小标宋简体"/>
          <w:color w:val="000000" w:themeColor="text1"/>
          <w:sz w:val="44"/>
          <w:szCs w:val="4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.请简述在评标过程中属于细微偏差的情形。</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both"/>
        <w:textAlignment w:val="auto"/>
        <w:outlineLvl w:val="9"/>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both"/>
        <w:textAlignment w:val="auto"/>
        <w:outlineLvl w:val="9"/>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both"/>
        <w:textAlignment w:val="auto"/>
        <w:outlineLvl w:val="9"/>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both"/>
        <w:textAlignment w:val="auto"/>
        <w:outlineLvl w:val="9"/>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eastAsia" w:ascii="方正粗黑宋简体" w:hAnsi="方正粗黑宋简体" w:eastAsia="方正粗黑宋简体" w:cs="方正粗黑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eastAsia" w:ascii="方正粗黑宋简体" w:hAnsi="方正粗黑宋简体" w:eastAsia="方正粗黑宋简体" w:cs="方正粗黑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eastAsia" w:ascii="方正粗黑宋简体" w:hAnsi="方正粗黑宋简体" w:eastAsia="方正粗黑宋简体" w:cs="方正粗黑宋简体"/>
          <w:color w:val="000000" w:themeColor="text1"/>
          <w:sz w:val="36"/>
          <w:szCs w:val="36"/>
          <w14:textFill>
            <w14:solidFill>
              <w14:schemeClr w14:val="tx1"/>
            </w14:solidFill>
          </w14:textFill>
        </w:rPr>
      </w:pPr>
      <w:r>
        <w:rPr>
          <w:rFonts w:hint="eastAsia" w:ascii="方正粗黑宋简体" w:hAnsi="方正粗黑宋简体" w:eastAsia="方正粗黑宋简体" w:cs="方正粗黑宋简体"/>
          <w:color w:val="000000" w:themeColor="text1"/>
          <w:sz w:val="36"/>
          <w:szCs w:val="36"/>
          <w14:textFill>
            <w14:solidFill>
              <w14:schemeClr w14:val="tx1"/>
            </w14:solidFill>
          </w14:textFill>
        </w:rPr>
        <w:t>202</w:t>
      </w:r>
      <w:r>
        <w:rPr>
          <w:rFonts w:hint="eastAsia" w:ascii="方正粗黑宋简体" w:hAnsi="方正粗黑宋简体" w:eastAsia="方正粗黑宋简体" w:cs="方正粗黑宋简体"/>
          <w:color w:val="000000" w:themeColor="text1"/>
          <w:sz w:val="36"/>
          <w:szCs w:val="36"/>
          <w:lang w:val="en-US" w:eastAsia="zh-CN"/>
          <w14:textFill>
            <w14:solidFill>
              <w14:schemeClr w14:val="tx1"/>
            </w14:solidFill>
          </w14:textFill>
        </w:rPr>
        <w:t>2</w:t>
      </w:r>
      <w:r>
        <w:rPr>
          <w:rFonts w:hint="eastAsia" w:ascii="方正粗黑宋简体" w:hAnsi="方正粗黑宋简体" w:eastAsia="方正粗黑宋简体" w:cs="方正粗黑宋简体"/>
          <w:color w:val="000000" w:themeColor="text1"/>
          <w:sz w:val="36"/>
          <w:szCs w:val="36"/>
          <w14:textFill>
            <w14:solidFill>
              <w14:schemeClr w14:val="tx1"/>
            </w14:solidFill>
          </w14:textFill>
        </w:rPr>
        <w:t>年评标评审专家测试题</w:t>
      </w:r>
    </w:p>
    <w:p>
      <w:pPr>
        <w:spacing w:line="360" w:lineRule="auto"/>
        <w:ind w:firstLine="320" w:firstLineChars="100"/>
        <w:rPr>
          <w:rFonts w:hint="eastAsia" w:ascii="方正粗黑宋简体" w:hAnsi="方正粗黑宋简体" w:eastAsia="方正粗黑宋简体" w:cs="方正粗黑宋简体"/>
          <w:color w:val="000000"/>
          <w:sz w:val="32"/>
          <w:szCs w:val="32"/>
        </w:rPr>
      </w:pPr>
    </w:p>
    <w:p>
      <w:pPr>
        <w:spacing w:line="360" w:lineRule="auto"/>
        <w:ind w:firstLine="280" w:firstLineChars="100"/>
        <w:rPr>
          <w:rFonts w:hint="eastAsia" w:ascii="方正粗黑宋简体" w:hAnsi="方正粗黑宋简体" w:eastAsia="方正粗黑宋简体" w:cs="方正粗黑宋简体"/>
          <w:color w:val="FF0000"/>
          <w:sz w:val="28"/>
          <w:szCs w:val="28"/>
        </w:rPr>
      </w:pPr>
      <w:r>
        <w:rPr>
          <w:rFonts w:hint="eastAsia" w:ascii="方正粗黑宋简体" w:hAnsi="方正粗黑宋简体" w:eastAsia="方正粗黑宋简体" w:cs="方正粗黑宋简体"/>
          <w:color w:val="000000"/>
          <w:sz w:val="28"/>
          <w:szCs w:val="28"/>
        </w:rPr>
        <w:t>一、</w:t>
      </w:r>
      <w:r>
        <w:rPr>
          <w:rFonts w:hint="eastAsia" w:ascii="方正粗黑宋简体" w:hAnsi="方正粗黑宋简体" w:eastAsia="方正粗黑宋简体" w:cs="方正粗黑宋简体"/>
          <w:color w:val="000000"/>
          <w:sz w:val="28"/>
          <w:szCs w:val="28"/>
          <w:shd w:val="clear" w:color="auto" w:fill="FFFFFF"/>
        </w:rPr>
        <w:t>多</w:t>
      </w:r>
      <w:r>
        <w:rPr>
          <w:rFonts w:hint="eastAsia" w:ascii="方正粗黑宋简体" w:hAnsi="方正粗黑宋简体" w:eastAsia="方正粗黑宋简体" w:cs="方正粗黑宋简体"/>
          <w:color w:val="000000"/>
          <w:sz w:val="28"/>
          <w:szCs w:val="28"/>
        </w:rPr>
        <w:t>选题</w:t>
      </w:r>
      <w:r>
        <w:rPr>
          <w:rFonts w:hint="eastAsia" w:ascii="方正粗黑宋简体" w:hAnsi="方正粗黑宋简体" w:eastAsia="方正粗黑宋简体" w:cs="方正粗黑宋简体"/>
          <w:color w:val="000000"/>
          <w:sz w:val="28"/>
          <w:szCs w:val="28"/>
          <w:lang w:val="en-US" w:eastAsia="zh-CN"/>
        </w:rPr>
        <w:t>20</w:t>
      </w:r>
      <w:r>
        <w:rPr>
          <w:rFonts w:hint="eastAsia" w:ascii="方正粗黑宋简体" w:hAnsi="方正粗黑宋简体" w:eastAsia="方正粗黑宋简体" w:cs="方正粗黑宋简体"/>
          <w:color w:val="000000"/>
          <w:sz w:val="28"/>
          <w:szCs w:val="28"/>
        </w:rPr>
        <w:t>道,每题</w:t>
      </w:r>
      <w:r>
        <w:rPr>
          <w:rFonts w:hint="eastAsia" w:ascii="方正粗黑宋简体" w:hAnsi="方正粗黑宋简体" w:eastAsia="方正粗黑宋简体" w:cs="方正粗黑宋简体"/>
          <w:color w:val="000000"/>
          <w:sz w:val="28"/>
          <w:szCs w:val="28"/>
          <w:lang w:val="en-US" w:eastAsia="zh-CN"/>
        </w:rPr>
        <w:t>3</w:t>
      </w:r>
      <w:r>
        <w:rPr>
          <w:rFonts w:hint="eastAsia" w:ascii="方正粗黑宋简体" w:hAnsi="方正粗黑宋简体" w:eastAsia="方正粗黑宋简体" w:cs="方正粗黑宋简体"/>
          <w:color w:val="000000"/>
          <w:sz w:val="28"/>
          <w:szCs w:val="28"/>
        </w:rPr>
        <w:t>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.评标专家甲在参加某市项目评标时，在前期已经参加过全流程电子化评标培训后，依然不能熟练操作电子评标系统，导致评标时间滞后。针对专家甲的行为，以下评价正确的是？（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A.专家甲在参与了培训后，依然不能熟练操作电子评标系统，应直接取消其评标专家资格，清除出专家库</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B.依据法律法规的相关规定，可以给予评标专家甲日常考评扣</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sz w:val="24"/>
          <w:szCs w:val="24"/>
        </w:rPr>
        <w:t>的处理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C.参加日常的培训很有必要，对于电子系统的熟悉有利于提高工作效率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D.评标专家应不断提高业务水平，紧跟法律法规的变化，及时适应新情况新问题</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 xml:space="preserve">.某市气象局多功能超声波检测仪等设备采购项目的评标评审活动中，评标专家甲、乙、丙、丁等几位专家组成了该项目的评标委员会。评标专家甲在评标活动开始后一小时才到场。专家乙在评标时指出了招标文件中的错误。专家丙向招标人征询确定中标人的意见。专家丁仅向招标人提交一份情况说明即退出评标，造成该项目需要重新组织评标的严重后果。在该评标项目中，以上哪些专家的行为违反了工作纪律？（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A.专家甲</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B.专家乙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C.专家丙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D.专家丁</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.评标专家甲在某图书馆建设项目中未按规定时间到达评标现场，迟到约</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分钟，并且在评审过程中以投标人投标文件有问题为理由，故意拖延评审时间。在项目评审结束后，以废标为由向招标代理机构索取高额评审费用，不接受依据相关规定发放的评审费用。在评审费用未能满足的情况下私自带走评审报告，擅自离场，导致该项目重新组建评标委员会，严重影响了该项目招投标活动正常进行。针对该专家的行为，以下评价正确的是？（</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A.该专家迟到</w:t>
      </w:r>
      <w:r>
        <w:rPr>
          <w:rFonts w:ascii="宋体" w:hAnsi="宋体" w:eastAsia="宋体" w:cs="宋体"/>
          <w:sz w:val="24"/>
          <w:szCs w:val="24"/>
        </w:rPr>
        <w:t>4</w:t>
      </w:r>
      <w:r>
        <w:rPr>
          <w:rFonts w:hint="eastAsia" w:ascii="宋体" w:hAnsi="宋体" w:eastAsia="宋体" w:cs="宋体"/>
          <w:sz w:val="24"/>
          <w:szCs w:val="24"/>
        </w:rPr>
        <w:t>0分钟行为，未达到扣分标准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B.该专家在评标时故意拖延评审时间，依据法律法规的相关规定，应给予扣</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sz w:val="24"/>
          <w:szCs w:val="24"/>
        </w:rPr>
        <w:t>的处罚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C.该专家在评审费用未能满足的情况下私自带走评审报告，针对该违规行为，应给予扣</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分的</w:t>
      </w:r>
      <w:r>
        <w:rPr>
          <w:rFonts w:hint="eastAsia" w:ascii="宋体" w:hAnsi="宋体" w:eastAsia="宋体" w:cs="宋体"/>
          <w:sz w:val="24"/>
          <w:szCs w:val="24"/>
        </w:rPr>
        <w:t>处罚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D.针对该专家的一系列违规行为，若累计被扣40分，应将其清退出专家库</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 xml:space="preserve">.依据法律法规的相关规定，以下哪些专家的行为违反了评标评审的相关工作纪律？（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A.评标专家甲携带两部手机进入评审区域，并在评审过程中对外发短信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B.评标专家乙私自带走招标文件和评审报告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C.评标专家丙在评标过程进行中，私自离开评标现场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D.评标专家丁在将手机存入指定区域前接打电话</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 xml:space="preserve">.在某学院设备采购项目中，专家甲经随机抽取被确定为该项目的评标专家。在评标过程中，甲携带通讯工具进入评标区域，且在评标区内使用，对项目招标活动造成不良影响。针对评标专家甲的行为，以下评价正确的是？（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A.专家只要经系统随机抽取为某项目评标专家后，就不得拒绝，不得请假，必须参加该项目的评标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B.依据法律法规的相关规定，可以对专家甲作出日常考评分扣</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sz w:val="24"/>
          <w:szCs w:val="24"/>
        </w:rPr>
        <w:t>的处罚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C.专家甲不按规定存放通讯工具，该行为违反了工作纪律，影响了正常的公共资源交易秩序，损害了评标评审的严肃性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D.专家甲在评标区内使用通讯工具的行为属于违反工作纪律</w:t>
      </w:r>
    </w:p>
    <w:p>
      <w:pPr>
        <w:spacing w:line="360" w:lineRule="auto"/>
        <w:ind w:firstLine="480" w:firstLineChars="200"/>
        <w:rPr>
          <w:rFonts w:ascii="宋体" w:hAnsi="宋体" w:eastAsia="宋体" w:cs="宋体"/>
          <w:sz w:val="24"/>
          <w:szCs w:val="24"/>
        </w:rPr>
      </w:pPr>
      <w:r>
        <w:rPr>
          <w:rFonts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依据相关法律法规的规定，下列哪些行为可能会被处以扣分处罚？（</w:t>
      </w:r>
      <w:r>
        <w:rPr>
          <w:rFonts w:hint="eastAsia" w:ascii="宋体" w:hAnsi="宋体" w:eastAsia="宋体" w:cs="宋体"/>
          <w:sz w:val="24"/>
          <w:szCs w:val="24"/>
          <w:lang w:val="en-US" w:eastAsia="zh-CN"/>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lang w:val="en-US" w:eastAsia="zh-CN"/>
        </w:rPr>
        <w:t xml:space="preserve"> </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A.专家甲在参加某工程项目评标时，与投标人存在利害关系，且明知回避制度却没有申请回避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B.专家乙在参加某市评标活动中，迟到半小时以内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C.专家丙在参与评标活动中没有熟练掌握电子辅助评标操作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D.专家丁在参与某县的评标活动中发现违法违规行为，及时向有关监管部门反映和举报</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.评标专家甲在某市人民检察院办案区改造项目评标过程中，向招标代理机构征询中标人意向，并违反评标区管理规定，擅自将通讯工具带入评标现场。针对该专家的行为，以下选项中说法正确的是？（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A.依据《中华人民共和国招标投标法实施条例》，评标委员会成员出现“向招标人征询确定中标人的意向”的行为，情节严重的，应禁止其在一定期限内参加依法必须进行招标的项目的评标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B.评标专家进入评标区后应当自觉服从评标区的具体管理规定，不得带入和使用任何具有通讯功能的工具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C.在某些情况下，评标专家可以向招标人征询确定中标人的意向或者排斥特定投标人的要求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D.营造良好的评标环境离不开各位专家对法律法规相关规定的有效遵守，不按规定存放通讯工具，该行为违反了工作纪律，影响了正常的公共资源交易秩序</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 xml:space="preserve">.依据《安徽省评标评审专家考评办法》的相关规定，下列哪些说法是错误的？（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A.日常考评累计扣分周期为6个月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B.累计扣分周期从专家证书印发之日起计算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C.每个扣分周期期满后分数不会自动清零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D.日常考评采用一项目一考评的方法</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 xml:space="preserve">.农村公路养护水平提升施工在某市公共资源交易中心开标，评标专家赵某、李某、王某、刘某等几位专家组成该项目的评标委员会，评标专家赵某在明知自己公司参与投标的情况下，仍然继续参与评标；专家李某已经接受评标的邀请，无故不参加活动；评标专家王某接受竞争主体主动提出澄清、说明；专家刘某拒绝接受他人委托参加评标。在上述情况中，哪些评标专家存在违法违规行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A.专家赵某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B.专家李某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C.专家王某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D.专家刘某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0</w:t>
      </w:r>
      <w:r>
        <w:rPr>
          <w:rFonts w:hint="eastAsia" w:ascii="宋体" w:hAnsi="宋体" w:eastAsia="宋体" w:cs="宋体"/>
          <w:sz w:val="24"/>
          <w:szCs w:val="24"/>
        </w:rPr>
        <w:t>.专家评审是评标活动的关键环节，因此只有通过规范专家评审过程和行为，才能从源头上加强对评审行为的监督，避免因评审失误引起质疑投诉。下列针对规范专家评标行为的说法哪些是正确的？（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A.评标专家在评标过程中能否认真、负责、公平、公正、客观地进行评审，直接影响评标结果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B.在对评标专家进行管理和考评时，要细化对评标专家的考评，要强化监督管理，加大责任追究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C.客观公正地评审是对评标专家依法评标的基本要求，也是招标评标活动健康开展的重要保障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D.单纯凭借相关法律法规来规范专家行为，尚不足以完全避免违规行为，保证评标活动的顺利进行，评标专家也应当严格自律，遵守评标、评审工作纪律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1</w:t>
      </w:r>
      <w:r>
        <w:rPr>
          <w:rFonts w:hint="eastAsia" w:ascii="宋体" w:hAnsi="宋体" w:eastAsia="宋体" w:cs="宋体"/>
          <w:sz w:val="24"/>
          <w:szCs w:val="24"/>
        </w:rPr>
        <w:t>.下列哪些情形视为投标人相互串通投标？（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A.不同投标人的投标文件由同一单位或者个人编制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B.不同投标人委托同一单位或者个人办理投标事宜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C.不同投标人的投标文件载明的项目管理成员为同一人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D.不同投标人的投标文件异常一致或者投标报价呈规律性差异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2</w:t>
      </w:r>
      <w:r>
        <w:rPr>
          <w:rFonts w:hint="eastAsia" w:ascii="宋体" w:hAnsi="宋体" w:eastAsia="宋体" w:cs="宋体"/>
          <w:sz w:val="24"/>
          <w:szCs w:val="24"/>
        </w:rPr>
        <w:t xml:space="preserve">.下列哪些行为，可能导致评标委员会成员在一定期限内禁止参加依法必须进行招标的项目的评标或被取消其担任评标委员会成员的资格？（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A.应当回避而不回避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B.擅自接听电话</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C.不按照招标文件规定的评标标准和方法评标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D.向招标人征询确定中标人的意向或者接受任何单位或者个人明示或者暗示提出的倾向或者排斥特定投标人的要求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3</w:t>
      </w:r>
      <w:r>
        <w:rPr>
          <w:rFonts w:hint="eastAsia" w:ascii="宋体" w:hAnsi="宋体" w:eastAsia="宋体" w:cs="宋体"/>
          <w:sz w:val="24"/>
          <w:szCs w:val="24"/>
        </w:rPr>
        <w:t xml:space="preserve">.入选安徽省综合评标评审专家库的专家，应当具备下列哪些条件？（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A.从事相关专业领域工作满8年，并具有高级专业技术职称或者同等专业水平</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B.熟悉招标投标、政府采购等有关法律、法规、规章和政策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C.能够认真、公正诚实、廉洁地履行评标评审工作职责，遵纪守法</w:t>
      </w:r>
    </w:p>
    <w:p>
      <w:pPr>
        <w:spacing w:line="360" w:lineRule="auto"/>
        <w:ind w:left="479" w:leftChars="228" w:firstLine="0" w:firstLineChars="0"/>
        <w:rPr>
          <w:rFonts w:hint="eastAsia" w:ascii="宋体" w:hAnsi="宋体" w:eastAsia="宋体" w:cs="宋体"/>
          <w:sz w:val="24"/>
          <w:szCs w:val="24"/>
          <w:lang w:eastAsia="zh-CN"/>
        </w:rPr>
      </w:pPr>
      <w:r>
        <w:rPr>
          <w:rFonts w:hint="eastAsia" w:ascii="宋体" w:hAnsi="宋体" w:eastAsia="宋体" w:cs="宋体"/>
          <w:sz w:val="24"/>
          <w:szCs w:val="24"/>
        </w:rPr>
        <w:t>D.身体健康，年龄不超过65周岁，本人愿意并且能够胜任评标评审工作</w:t>
      </w:r>
    </w:p>
    <w:p>
      <w:pPr>
        <w:spacing w:line="360" w:lineRule="auto"/>
        <w:ind w:left="479" w:leftChars="228" w:firstLine="0" w:firstLineChars="0"/>
        <w:rPr>
          <w:rFonts w:hint="eastAsia" w:ascii="宋体" w:hAnsi="宋体" w:eastAsia="宋体" w:cs="宋体"/>
          <w:sz w:val="24"/>
          <w:szCs w:val="24"/>
          <w:lang w:eastAsia="zh-CN"/>
        </w:rPr>
      </w:pPr>
      <w:r>
        <w:rPr>
          <w:rFonts w:hint="eastAsia" w:ascii="宋体" w:hAnsi="宋体" w:eastAsia="宋体" w:cs="宋体"/>
          <w:kern w:val="0"/>
          <w:sz w:val="24"/>
          <w:szCs w:val="24"/>
          <w:shd w:val="clear" w:color="auto" w:fill="FFFFFF"/>
          <w:lang w:val="en-US" w:eastAsia="zh-CN" w:bidi="ar"/>
        </w:rPr>
        <w:t>1</w:t>
      </w:r>
      <w:r>
        <w:rPr>
          <w:rFonts w:ascii="宋体" w:hAnsi="宋体" w:eastAsia="宋体" w:cs="宋体"/>
          <w:sz w:val="24"/>
          <w:szCs w:val="24"/>
        </w:rPr>
        <w:t>4</w:t>
      </w:r>
      <w:r>
        <w:rPr>
          <w:rFonts w:hint="eastAsia" w:ascii="宋体" w:hAnsi="宋体" w:eastAsia="宋体" w:cs="宋体"/>
          <w:sz w:val="24"/>
          <w:szCs w:val="24"/>
        </w:rPr>
        <w:t>.存在下列哪些情形的人员，不得入选安徽省综合评标评审专家库？（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spacing w:line="360" w:lineRule="auto"/>
        <w:ind w:left="479" w:leftChars="228" w:firstLine="0" w:firstLineChars="0"/>
        <w:rPr>
          <w:rFonts w:hint="eastAsia" w:ascii="宋体" w:hAnsi="宋体" w:eastAsia="宋体" w:cs="宋体"/>
          <w:sz w:val="24"/>
          <w:szCs w:val="24"/>
          <w:lang w:eastAsia="zh-CN"/>
        </w:rPr>
      </w:pPr>
      <w:r>
        <w:rPr>
          <w:rFonts w:hint="eastAsia" w:ascii="宋体" w:hAnsi="宋体" w:eastAsia="宋体" w:cs="宋体"/>
          <w:sz w:val="24"/>
          <w:szCs w:val="24"/>
        </w:rPr>
        <w:t>A.无民事行为能力或者限制民事行为能力的</w:t>
      </w:r>
    </w:p>
    <w:p>
      <w:pPr>
        <w:spacing w:line="360" w:lineRule="auto"/>
        <w:ind w:left="479" w:leftChars="228" w:firstLine="0" w:firstLineChars="0"/>
        <w:rPr>
          <w:rFonts w:ascii="宋体" w:hAnsi="宋体" w:eastAsia="宋体" w:cs="宋体"/>
          <w:sz w:val="24"/>
          <w:szCs w:val="24"/>
        </w:rPr>
      </w:pPr>
      <w:r>
        <w:rPr>
          <w:rFonts w:hint="eastAsia" w:ascii="宋体" w:hAnsi="宋体" w:eastAsia="宋体" w:cs="宋体"/>
          <w:sz w:val="24"/>
          <w:szCs w:val="24"/>
        </w:rPr>
        <w:t>B.有违纪违法等不良记录的</w:t>
      </w:r>
    </w:p>
    <w:p>
      <w:pPr>
        <w:spacing w:line="360" w:lineRule="auto"/>
        <w:ind w:left="479" w:leftChars="228" w:firstLine="0" w:firstLineChars="0"/>
        <w:rPr>
          <w:rFonts w:hint="eastAsia" w:ascii="宋体" w:hAnsi="宋体" w:eastAsia="宋体" w:cs="宋体"/>
          <w:sz w:val="24"/>
          <w:szCs w:val="24"/>
          <w:lang w:eastAsia="zh-CN"/>
        </w:rPr>
      </w:pPr>
      <w:r>
        <w:rPr>
          <w:rFonts w:hint="eastAsia" w:ascii="宋体" w:hAnsi="宋体" w:eastAsia="宋体" w:cs="宋体"/>
          <w:sz w:val="24"/>
          <w:szCs w:val="24"/>
        </w:rPr>
        <w:t>C.曾被清退出专家库的</w:t>
      </w:r>
    </w:p>
    <w:p>
      <w:pPr>
        <w:spacing w:line="360" w:lineRule="auto"/>
        <w:ind w:left="479" w:leftChars="228" w:firstLine="0" w:firstLineChars="0"/>
        <w:rPr>
          <w:rFonts w:ascii="宋体" w:hAnsi="宋体" w:eastAsia="宋体" w:cs="宋体"/>
          <w:sz w:val="24"/>
          <w:szCs w:val="24"/>
        </w:rPr>
      </w:pPr>
      <w:r>
        <w:rPr>
          <w:rFonts w:hint="eastAsia" w:ascii="宋体" w:hAnsi="宋体" w:eastAsia="宋体" w:cs="宋体"/>
          <w:sz w:val="24"/>
          <w:szCs w:val="24"/>
        </w:rPr>
        <w:t>D.存在轻微健康问题的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5</w:t>
      </w:r>
      <w:r>
        <w:rPr>
          <w:rFonts w:hint="eastAsia" w:ascii="宋体" w:hAnsi="宋体" w:eastAsia="宋体" w:cs="宋体"/>
          <w:sz w:val="24"/>
          <w:szCs w:val="24"/>
        </w:rPr>
        <w:t xml:space="preserve">.评标报告应当如实记载下列哪些内容？（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A.基本情况和数据表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B.评标委员会成员名单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C.开标记录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D.符合要求的投标一览表</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xml:space="preserve">.根据《安徽省评标评审专家考评办法》的相关规定，下列哪些行为应被处以扣5分的处罚？（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A.专家孙某在参加评标、评审活动中，迟到15分钟以内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B.专家臧某在参与评标活动中，不按规定提交身份证明、登记录检</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C.专家丁某在参加评标、评审活动时，无故迟到半个小时（含）以上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D.专家蔡某在参与评标活动中，无故拖延评标、评审时间</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 xml:space="preserve">.根据《安徽省评标评审专家考评办法》的相关规定，下列哪些说法是正确的？（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A.专家罗某在参加“美丽乡村.村村路通二期项目”评标活动中无正当理由缺席评标活动，应在日常考评中扣除10分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B.专家邓某在参加评标活动中无故迟到40分钟，应在日常考评中扣除</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5分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C.专家詹某在某设备采购项目专家抽取阶段已接受评标、评审邀请，不参与评标评审活动又不及时请假，应当在日常考评中扣除</w:t>
      </w:r>
      <w:r>
        <w:rPr>
          <w:rFonts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D.评标专家郑某在参加某县公共资源交易的评标活动中，不能熟练进行电子辅助评标操作，应在郑某的日常考评中扣</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1</w:t>
      </w:r>
      <w:r>
        <w:rPr>
          <w:rFonts w:ascii="宋体" w:hAnsi="宋体" w:eastAsia="宋体" w:cs="宋体"/>
          <w:color w:val="000000" w:themeColor="text1"/>
          <w:kern w:val="0"/>
          <w:sz w:val="24"/>
          <w:szCs w:val="24"/>
          <w:shd w:val="clear" w:color="auto" w:fill="FFFFFF"/>
          <w:lang w:bidi="ar"/>
          <w14:textFill>
            <w14:solidFill>
              <w14:schemeClr w14:val="tx1"/>
            </w14:solidFill>
          </w14:textFill>
        </w:rPr>
        <w:t>8</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专家戴某在作为某市2019年度《职业技能参考书》刊物印刷出版项目评标评审专家时，迟到55分钟，且未携带身份证明文件，造成不良影响。根据相关法律法规的规定，下列哪些说法是正确的？（</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A.依据《安徽省评标评审专家考评办法》的规定，针对戴某迟到55分钟行为，应在日常考评中给予戴某扣除</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sz w:val="24"/>
          <w:szCs w:val="24"/>
        </w:rPr>
        <w:t>的决定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B.根据《安徽省评标评审专家考评办法》的规定，针对戴某未带身份证明文件的行为，应在日常考评中给予戴某扣除5分的决定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C.根据《安徽省评标评审专家考评办法》的规定，评标专家戴某对考评结果提出异议，有关监督部门应当自收到异议之日起7个工作日内做出答复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D.在评标活动中，</w:t>
      </w:r>
      <w:r>
        <w:rPr>
          <w:rFonts w:hint="eastAsia" w:ascii="宋体" w:hAnsi="宋体" w:eastAsia="宋体" w:cs="宋体"/>
          <w:kern w:val="0"/>
          <w:sz w:val="24"/>
          <w:szCs w:val="24"/>
        </w:rPr>
        <w:t>未携带有效的身份证明文件不利于核实身份的有效信息，耽误评标活动的时间，增加评标活动的工作量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9</w:t>
      </w:r>
      <w:r>
        <w:rPr>
          <w:rFonts w:hint="eastAsia" w:ascii="宋体" w:hAnsi="宋体" w:eastAsia="宋体" w:cs="宋体"/>
          <w:sz w:val="24"/>
          <w:szCs w:val="24"/>
        </w:rPr>
        <w:t xml:space="preserve">.依据《安徽省评标评审专家考评办法》的相关规定，下列哪些说法是正确的？（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A.专家考评工作应遵循依法、客观、公正、公开的原则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B.专家考评分为日常考评和季度考评两种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C.评标专家遇到法定回避情形，应当主动提出回避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D.评标专家享有获取参加评标、评审活动劳务报酬的权利</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.依据</w:t>
      </w:r>
      <w:r>
        <w:rPr>
          <w:rFonts w:hint="eastAsia" w:ascii="宋体" w:hAnsi="宋体" w:eastAsia="宋体" w:cs="宋体"/>
          <w:sz w:val="24"/>
          <w:szCs w:val="24"/>
        </w:rPr>
        <w:t xml:space="preserve">《安徽省评标评审专家考评办法》的相关规定，下列哪些行为是符合规定的？（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A.评标专家孙某在评标活动中发现与投标人有利害关系，主动申请回避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B.评标专家陈某在评标活动中未按照规定时间迟到超过30分钟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C.评标专家李某在评标活动中私下接触投标人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D.评标专家王某在评标活动中因故不能参加评标、评审活动，提前及时请假</w:t>
      </w:r>
    </w:p>
    <w:p>
      <w:pPr>
        <w:spacing w:line="360" w:lineRule="auto"/>
        <w:ind w:left="360"/>
        <w:rPr>
          <w:rFonts w:hint="eastAsia" w:ascii="方正粗黑宋简体" w:hAnsi="方正粗黑宋简体" w:eastAsia="方正粗黑宋简体" w:cs="方正粗黑宋简体"/>
          <w:color w:val="000000"/>
          <w:sz w:val="28"/>
          <w:szCs w:val="28"/>
        </w:rPr>
      </w:pPr>
      <w:r>
        <w:rPr>
          <w:rFonts w:hint="eastAsia" w:ascii="方正粗黑宋简体" w:hAnsi="方正粗黑宋简体" w:eastAsia="方正粗黑宋简体" w:cs="方正粗黑宋简体"/>
          <w:color w:val="000000"/>
          <w:sz w:val="28"/>
          <w:szCs w:val="28"/>
        </w:rPr>
        <w:t>二、简答题</w:t>
      </w:r>
      <w:r>
        <w:rPr>
          <w:rFonts w:hint="eastAsia" w:ascii="方正粗黑宋简体" w:hAnsi="方正粗黑宋简体" w:eastAsia="方正粗黑宋简体" w:cs="方正粗黑宋简体"/>
          <w:color w:val="000000"/>
          <w:sz w:val="28"/>
          <w:szCs w:val="28"/>
          <w:lang w:val="en-US" w:eastAsia="zh-CN"/>
        </w:rPr>
        <w:t>2</w:t>
      </w:r>
      <w:r>
        <w:rPr>
          <w:rFonts w:hint="eastAsia" w:ascii="方正粗黑宋简体" w:hAnsi="方正粗黑宋简体" w:eastAsia="方正粗黑宋简体" w:cs="方正粗黑宋简体"/>
          <w:color w:val="000000"/>
          <w:sz w:val="28"/>
          <w:szCs w:val="28"/>
        </w:rPr>
        <w:t>道,每题2</w:t>
      </w:r>
      <w:r>
        <w:rPr>
          <w:rFonts w:hint="eastAsia" w:ascii="方正粗黑宋简体" w:hAnsi="方正粗黑宋简体" w:eastAsia="方正粗黑宋简体" w:cs="方正粗黑宋简体"/>
          <w:color w:val="000000"/>
          <w:sz w:val="28"/>
          <w:szCs w:val="28"/>
          <w:lang w:val="en-US" w:eastAsia="zh-CN"/>
        </w:rPr>
        <w:t>0</w:t>
      </w:r>
      <w:r>
        <w:rPr>
          <w:rFonts w:hint="eastAsia" w:ascii="方正粗黑宋简体" w:hAnsi="方正粗黑宋简体" w:eastAsia="方正粗黑宋简体" w:cs="方正粗黑宋简体"/>
          <w:color w:val="000000"/>
          <w:sz w:val="28"/>
          <w:szCs w:val="28"/>
        </w:rPr>
        <w:t>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.评标过程中，评标委员会成员应当恪尽职守，履行自己应尽的职责，为了实现有效评标，评标委员会成员至少应了解和熟悉评标文件中的哪些内容？</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bookmarkStart w:id="0" w:name="_GoBack"/>
      <w:bookmarkEnd w:id="0"/>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.请简述在评标过程中属于细微偏差的情形。</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ZmZkNjVhNGU2NWU5YWQxYmY5OGVlOTUxNzJmNTkifQ=="/>
  </w:docVars>
  <w:rsids>
    <w:rsidRoot w:val="00000000"/>
    <w:rsid w:val="0A784A55"/>
    <w:rsid w:val="10B72C41"/>
    <w:rsid w:val="130A3AF2"/>
    <w:rsid w:val="15C108A6"/>
    <w:rsid w:val="334C78B7"/>
    <w:rsid w:val="34234E91"/>
    <w:rsid w:val="38EB23F9"/>
    <w:rsid w:val="3988552D"/>
    <w:rsid w:val="40FF4366"/>
    <w:rsid w:val="5A5D70D4"/>
    <w:rsid w:val="76622ABB"/>
    <w:rsid w:val="76B9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3988</Words>
  <Characters>4144</Characters>
  <Lines>0</Lines>
  <Paragraphs>0</Paragraphs>
  <TotalTime>28</TotalTime>
  <ScaleCrop>false</ScaleCrop>
  <LinksUpToDate>false</LinksUpToDate>
  <CharactersWithSpaces>4225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2022-08-09T00:29:00Z</dcterms:created>
  <dc:creator>Administrator.USER-20180906OO</dc:creator>
  <cp:lastModifiedBy>Administrator</cp:lastModifiedBy>
  <cp:lastPrinted>2022-08-15T07:49:00Z</cp:lastPrinted>
  <dcterms:modified xsi:type="dcterms:W3CDTF">2022-08-29T06:48:31Z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3797F3E969CC4CEBAB9A596F2F7A8FCC</vt:lpwstr>
  </property>
</Properties>
</file>