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ascii="仿宋_GB2312" w:hAnsi="宋体" w:eastAsia="仿宋_GB2312"/>
          <w:color w:val="00000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ascii="方正小标宋简体" w:hAnsi="黑体" w:eastAsia="方正小标宋简体" w:cs="黑体"/>
          <w:sz w:val="44"/>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淮南市公管局</w:t>
      </w:r>
      <w:r>
        <w:rPr>
          <w:rFonts w:hint="eastAsia" w:ascii="方正小标宋简体" w:eastAsia="方正小标宋简体"/>
          <w:sz w:val="44"/>
          <w:szCs w:val="44"/>
          <w:lang w:val="en-US" w:eastAsia="zh-CN"/>
        </w:rPr>
        <w:t>2024年度</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“双随机、一公开”</w:t>
      </w:r>
      <w:r>
        <w:rPr>
          <w:rFonts w:hint="eastAsia" w:ascii="方正小标宋简体" w:eastAsia="方正小标宋简体"/>
          <w:sz w:val="44"/>
          <w:szCs w:val="44"/>
          <w:lang w:eastAsia="zh-CN"/>
        </w:rPr>
        <w:t>监管</w:t>
      </w:r>
      <w:r>
        <w:rPr>
          <w:rFonts w:hint="eastAsia" w:ascii="方正小标宋简体" w:eastAsia="方正小标宋简体"/>
          <w:sz w:val="44"/>
          <w:szCs w:val="44"/>
        </w:rPr>
        <w:t>工作计划</w:t>
      </w:r>
    </w:p>
    <w:p>
      <w:pPr>
        <w:pStyle w:val="8"/>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宋体"/>
          <w:sz w:val="32"/>
          <w:szCs w:val="32"/>
          <w:lang w:eastAsia="zh-CN"/>
        </w:rPr>
      </w:pPr>
    </w:p>
    <w:p>
      <w:pPr>
        <w:pStyle w:val="8"/>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寿县公管局，凤台县公管局，机关各科室，市交易中心：</w:t>
      </w:r>
    </w:p>
    <w:p>
      <w:pPr>
        <w:pStyle w:val="8"/>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0"/>
        <w:jc w:val="both"/>
        <w:textAlignment w:val="auto"/>
        <w:outlineLvl w:val="9"/>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为进一步压实建设单位合同履约管理主体责任，完善交易市场与履约现场“两场联动”机制，健全合同履约“季度抽查+专项通报”机制，加强对招标人制定的招标文件、代理机构和中标人的“双随机、一公开”监督检查，特制定2024年度“双随机、一公开”监管工作计划。</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0" w:firstLineChars="0"/>
        <w:jc w:val="both"/>
        <w:textAlignment w:val="auto"/>
        <w:outlineLvl w:val="9"/>
        <w:rPr>
          <w:rFonts w:hint="eastAsia" w:ascii="国标黑体" w:hAnsi="国标黑体" w:eastAsia="国标黑体" w:cs="国标黑体"/>
          <w:sz w:val="32"/>
          <w:szCs w:val="32"/>
          <w:lang w:val="en-US" w:eastAsia="zh-CN"/>
        </w:rPr>
      </w:pPr>
      <w:r>
        <w:rPr>
          <w:rFonts w:hint="eastAsia" w:ascii="黑体" w:hAnsi="黑体" w:eastAsia="黑体" w:cs="黑体"/>
          <w:sz w:val="32"/>
          <w:szCs w:val="32"/>
          <w:lang w:val="en-US" w:eastAsia="zh-CN"/>
        </w:rPr>
        <w:t xml:space="preserve">   </w:t>
      </w:r>
      <w:r>
        <w:rPr>
          <w:rFonts w:hint="eastAsia" w:ascii="国标黑体" w:hAnsi="国标黑体" w:eastAsia="国标黑体" w:cs="国标黑体"/>
          <w:sz w:val="32"/>
          <w:szCs w:val="32"/>
          <w:lang w:val="en-US" w:eastAsia="zh-CN"/>
        </w:rPr>
        <w:t xml:space="preserve"> 一、监督检查</w:t>
      </w:r>
      <w:r>
        <w:rPr>
          <w:rFonts w:hint="eastAsia" w:ascii="国标黑体" w:hAnsi="国标黑体" w:eastAsia="国标黑体" w:cs="国标黑体"/>
          <w:b w:val="0"/>
          <w:bCs w:val="0"/>
          <w:sz w:val="32"/>
          <w:szCs w:val="32"/>
          <w:lang w:val="en-US" w:eastAsia="zh-CN"/>
        </w:rPr>
        <w:t>对象</w:t>
      </w:r>
    </w:p>
    <w:p>
      <w:pPr>
        <w:pStyle w:val="8"/>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在市公共资源交易平台交易的项目招标文件，</w:t>
      </w:r>
      <w:r>
        <w:rPr>
          <w:rFonts w:hint="eastAsia" w:ascii="仿宋_GB2312" w:hAnsi="仿宋_GB2312" w:eastAsia="仿宋_GB2312" w:cs="仿宋_GB2312"/>
          <w:sz w:val="32"/>
          <w:szCs w:val="32"/>
          <w:vertAlign w:val="baseline"/>
          <w:lang w:val="en-US" w:eastAsia="zh-CN"/>
        </w:rPr>
        <w:t>在市内从事代理业务的代理机构</w:t>
      </w:r>
      <w:r>
        <w:rPr>
          <w:rFonts w:hint="eastAsia" w:ascii="仿宋_GB2312" w:hAnsi="仿宋_GB2312" w:eastAsia="仿宋_GB2312" w:cs="仿宋_GB2312"/>
          <w:sz w:val="32"/>
          <w:szCs w:val="32"/>
          <w:lang w:val="en-US" w:eastAsia="zh-CN"/>
        </w:rPr>
        <w:t>，通过市公共资源交易平台交易的项目中标人。</w:t>
      </w:r>
    </w:p>
    <w:p>
      <w:pPr>
        <w:pStyle w:val="8"/>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0"/>
        <w:jc w:val="both"/>
        <w:textAlignment w:val="auto"/>
        <w:outlineLvl w:val="9"/>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二、</w:t>
      </w:r>
      <w:r>
        <w:rPr>
          <w:rFonts w:hint="eastAsia" w:ascii="国标黑体" w:hAnsi="国标黑体" w:eastAsia="国标黑体" w:cs="国标黑体"/>
          <w:sz w:val="32"/>
          <w:szCs w:val="32"/>
          <w:lang w:val="en-US" w:eastAsia="zh-CN"/>
        </w:rPr>
        <w:t>监督检查</w:t>
      </w:r>
      <w:r>
        <w:rPr>
          <w:rFonts w:hint="eastAsia" w:ascii="国标黑体" w:hAnsi="国标黑体" w:eastAsia="国标黑体" w:cs="国标黑体"/>
          <w:b w:val="0"/>
          <w:bCs w:val="0"/>
          <w:sz w:val="32"/>
          <w:szCs w:val="32"/>
          <w:lang w:val="en-US" w:eastAsia="zh-CN"/>
        </w:rPr>
        <w:t>内容</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0"/>
        <w:jc w:val="both"/>
        <w:textAlignment w:val="auto"/>
        <w:outlineLvl w:val="9"/>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lang w:val="en-US" w:eastAsia="zh-CN"/>
        </w:rPr>
        <w:t>（一）审查招标人制定的招标文件的合法性、规范性</w:t>
      </w:r>
      <w:r>
        <w:rPr>
          <w:rFonts w:hint="eastAsia" w:ascii="楷体_GB2312" w:hAnsi="楷体_GB2312" w:eastAsia="楷体_GB2312" w:cs="楷体_GB2312"/>
          <w:b w:val="0"/>
          <w:bCs w:val="0"/>
          <w:sz w:val="32"/>
          <w:szCs w:val="32"/>
          <w:vertAlign w:val="baseline"/>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vertAlign w:val="baseline"/>
          <w:lang w:eastAsia="zh-CN"/>
        </w:rPr>
        <w:t>主要包括招标公告、资格条件、信誉要求、招标文件评标办法、实质性条款约定等是否合法合规。督促招标人全面履行项目建设管理职责，严格执行招标投标法律法规和规章制度，规范招标文件编制，严禁随意改变招标程序，不得在招标文件中要求中标企业在当地设立子公司（分公司），提出注册地址、所有制性质、市场占有率、特定行政区域或者特定行业的业绩或奖项、取得非强制资质认证、设立本地分支机构、本地缴纳税收社保等要求，或套用特定生产供应者的条件设定投标人资格、技术、商务条件等。将国家已经明令取消的</w:t>
      </w:r>
      <w:r>
        <w:rPr>
          <w:rFonts w:hint="eastAsia" w:ascii="仿宋_GB2312" w:hAnsi="仿宋_GB2312" w:eastAsia="仿宋_GB2312" w:cs="宋体"/>
          <w:sz w:val="32"/>
          <w:szCs w:val="32"/>
          <w:vertAlign w:val="baseline"/>
          <w:lang w:val="en-US" w:eastAsia="zh-CN"/>
        </w:rPr>
        <w:t>资质资格作为投标条件、加分条件、中标条件；在国家已明令取消资质资格的领域，将其他资质资格作为投标条件、加分条件、中标条件；将外地企业与本地企业组成联合体作为投标条件、加分条件、中标条件；</w:t>
      </w:r>
      <w:r>
        <w:rPr>
          <w:rFonts w:hint="eastAsia" w:ascii="仿宋_GB2312" w:hAnsi="仿宋_GB2312" w:eastAsia="仿宋_GB2312" w:cs="宋体"/>
          <w:sz w:val="32"/>
          <w:szCs w:val="32"/>
          <w:vertAlign w:val="baseline"/>
          <w:lang w:eastAsia="zh-CN"/>
        </w:rPr>
        <w:t>不得简单套用特定产品评标标准、技术参数排斥、差别对待或限制潜在投标人。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仿宋_GB2312" w:hAnsi="仿宋_GB2312" w:eastAsia="仿宋_GB2312" w:cs="宋体"/>
          <w:sz w:val="32"/>
          <w:szCs w:val="32"/>
          <w:lang w:val="en-US" w:eastAsia="zh-CN"/>
        </w:rPr>
        <w:t xml:space="preserve"> </w:t>
      </w:r>
      <w:r>
        <w:rPr>
          <w:rFonts w:hint="eastAsia" w:ascii="仿宋_GB2312" w:hAnsi="仿宋_GB2312" w:eastAsia="仿宋_GB2312" w:cs="宋体"/>
          <w:b w:val="0"/>
          <w:bCs w:val="0"/>
          <w:sz w:val="32"/>
          <w:szCs w:val="32"/>
          <w:lang w:val="en-US" w:eastAsia="zh-CN"/>
        </w:rPr>
        <w:t xml:space="preserve"> </w:t>
      </w:r>
      <w:r>
        <w:rPr>
          <w:rFonts w:hint="eastAsia" w:ascii="楷体_GB2312" w:hAnsi="楷体_GB2312" w:eastAsia="楷体_GB2312" w:cs="楷体_GB2312"/>
          <w:b w:val="0"/>
          <w:bCs w:val="0"/>
          <w:i w:val="0"/>
          <w:iCs w:val="0"/>
          <w:sz w:val="32"/>
          <w:szCs w:val="32"/>
          <w:lang w:val="en-US" w:eastAsia="zh-CN"/>
        </w:rPr>
        <w:t xml:space="preserve"> （二）检查代理机构的服务能力和行为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 xml:space="preserve">    主要包括代理机构办公条件以及文件编制、信息公告、中标手续办理、保证金退还、质疑回复、资料归档等服务能力，以及招标代理机构是否存在与招标人、投标人、评标专家、交易平台运行服务机构等串通损害国家利益、社会公共利益和招标投标活动当事人的合法权益的违法违规行为。</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宋体"/>
          <w:sz w:val="32"/>
          <w:szCs w:val="32"/>
          <w:lang w:val="en-US" w:eastAsia="zh-CN"/>
        </w:rPr>
        <w:t xml:space="preserve"> </w:t>
      </w:r>
      <w:r>
        <w:rPr>
          <w:rFonts w:hint="eastAsia" w:ascii="仿宋_GB2312" w:hAnsi="仿宋_GB2312" w:eastAsia="仿宋_GB2312"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（三）检查中标人的标后履约情况</w:t>
      </w:r>
    </w:p>
    <w:p>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default"/>
          <w:lang w:val="en-US"/>
        </w:rPr>
      </w:pPr>
      <w:r>
        <w:rPr>
          <w:rFonts w:hint="eastAsia" w:ascii="仿宋_GB2312" w:hAnsi="仿宋_GB2312" w:eastAsia="仿宋_GB2312" w:cs="宋体"/>
          <w:sz w:val="32"/>
          <w:szCs w:val="32"/>
          <w:lang w:val="en-US" w:eastAsia="zh-CN"/>
        </w:rPr>
        <w:t>建立健全合同履约“季度抽查+专项通报”机制。定期开展检查，检查项目主要包括合同签订、依据投标文件承诺组成施工项目部和监理部情况、项目中标后或施工期间项目经理、总监理工程师等关键岗位人员变更情况、施工项目部和监理部关键岗位人员到岗履责情况、施工总承包单位或专业承包单位派驻项目负责人、技术负责人、质量管理负责人、安全管理负责人等主要管理人员情况，以及派驻的项目负责人、技术负责人、质量管理负责人、安全管理负责人与施工单位订立劳动合同、建立劳动工资和社会养老保险关系情况情况</w:t>
      </w:r>
      <w:r>
        <w:rPr>
          <w:rFonts w:hint="eastAsia" w:ascii="仿宋_GB2312" w:hAnsi="宋体" w:eastAsia="仿宋_GB2312" w:cs="仿宋_GB2312"/>
          <w:i w:val="0"/>
          <w:caps w:val="0"/>
          <w:color w:val="000000"/>
          <w:spacing w:val="0"/>
          <w:kern w:val="0"/>
          <w:sz w:val="32"/>
          <w:szCs w:val="32"/>
          <w:shd w:val="clear" w:color="auto" w:fill="FFFFFF"/>
          <w:lang w:val="en-US" w:eastAsia="zh-CN" w:bidi="ar"/>
        </w:rPr>
        <w:t>等。检查结果公开，每季度末将项目标后履约检查发现的问题及问题整改情况，在市交易平台门户网站依法同步公开，接受社会监督。</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宋体"/>
          <w:sz w:val="32"/>
          <w:szCs w:val="32"/>
          <w:lang w:val="en-US" w:eastAsia="zh-CN"/>
        </w:rPr>
        <w:t xml:space="preserve">   </w:t>
      </w:r>
      <w:r>
        <w:rPr>
          <w:rFonts w:hint="eastAsia" w:ascii="仿宋_GB2312" w:hAnsi="仿宋_GB2312" w:eastAsia="仿宋_GB2312" w:cs="宋体"/>
          <w:b w:val="0"/>
          <w:bCs w:val="0"/>
          <w:sz w:val="32"/>
          <w:szCs w:val="32"/>
          <w:lang w:val="en-US" w:eastAsia="zh-CN"/>
        </w:rPr>
        <w:t xml:space="preserve"> </w:t>
      </w:r>
      <w:r>
        <w:rPr>
          <w:rFonts w:hint="eastAsia" w:ascii="黑体" w:hAnsi="黑体" w:eastAsia="黑体" w:cs="黑体"/>
          <w:b w:val="0"/>
          <w:bCs w:val="0"/>
          <w:sz w:val="32"/>
          <w:szCs w:val="32"/>
          <w:lang w:val="en-US" w:eastAsia="zh-CN"/>
        </w:rPr>
        <w:t>三、有关文件依据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1.《中华人民共和国招标投标法》</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2.《中华人民共和国招标投标法实施条例》</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3.《中华人民共和国政府采购法》</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4.《中华人民共和国政府</w:t>
      </w:r>
      <w:bookmarkStart w:id="0" w:name="_GoBack"/>
      <w:bookmarkEnd w:id="0"/>
      <w:r>
        <w:rPr>
          <w:rFonts w:hint="eastAsia" w:ascii="仿宋_GB2312" w:hAnsi="仿宋_GB2312" w:eastAsia="仿宋_GB2312" w:cs="宋体"/>
          <w:sz w:val="32"/>
          <w:szCs w:val="32"/>
          <w:lang w:val="en-US" w:eastAsia="zh-CN"/>
        </w:rPr>
        <w:t>采购法实施条例》</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5.《中华人民共和国建筑法》</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6.《中华人民共和国民法典》</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pacing w:val="-20"/>
          <w:sz w:val="32"/>
          <w:szCs w:val="32"/>
          <w:lang w:val="en-US" w:eastAsia="zh-CN"/>
        </w:rPr>
        <w:t>《安徽省公共资源交易监督管理办法》（省政府令第225号）</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pacing w:val="-20"/>
          <w:sz w:val="32"/>
          <w:szCs w:val="32"/>
          <w:lang w:val="en-US" w:eastAsia="zh-CN"/>
        </w:rPr>
        <w:t>《安徽省建筑工程招标投标管理办法》（省政府令第301号）</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9.《淮南市公共资源交易管理条例》</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淮南市人民政府办公室关于印发进一步规范政府性投资项目招投标及标后监管办法的通知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（淮府办〔2023〕12号）</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宋体"/>
          <w:sz w:val="32"/>
          <w:szCs w:val="32"/>
          <w:lang w:val="en-US" w:eastAsia="zh-CN"/>
        </w:rPr>
        <w:t>安徽省公共资源交易联席会议办公室关于印发2024年全省公共资源交易工作要点的通知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宋体"/>
          <w:sz w:val="32"/>
          <w:szCs w:val="32"/>
          <w:lang w:val="en-US" w:eastAsia="zh-CN"/>
        </w:rPr>
        <w:t>（皖公管联办〔2024〕1号）</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12.国家、省、市其它规范性文件规定</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四、其他相关要求 </w:t>
      </w:r>
    </w:p>
    <w:p>
      <w:pPr>
        <w:keepNext w:val="0"/>
        <w:keepLines w:val="0"/>
        <w:pageBreakBefore w:val="0"/>
        <w:widowControl w:val="0"/>
        <w:kinsoku/>
        <w:wordWrap/>
        <w:overflowPunct/>
        <w:topLinePunct w:val="0"/>
        <w:bidi w:val="0"/>
        <w:snapToGrid/>
        <w:spacing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加强对“双随机、一公开”监管工作的组织领导，</w:t>
      </w:r>
      <w:r>
        <w:rPr>
          <w:rFonts w:hint="eastAsia" w:ascii="仿宋_GB2312" w:hAnsi="仿宋_GB2312" w:eastAsia="仿宋_GB2312" w:cs="仿宋_GB2312"/>
          <w:sz w:val="32"/>
          <w:szCs w:val="32"/>
          <w:lang w:eastAsia="zh-CN"/>
        </w:rPr>
        <w:t>确保工作高质高效推进。</w:t>
      </w:r>
    </w:p>
    <w:p>
      <w:pPr>
        <w:keepNext w:val="0"/>
        <w:keepLines w:val="0"/>
        <w:pageBreakBefore w:val="0"/>
        <w:widowControl w:val="0"/>
        <w:kinsoku/>
        <w:wordWrap/>
        <w:overflowPunct/>
        <w:topLinePunct w:val="0"/>
        <w:bidi w:val="0"/>
        <w:snapToGrid/>
        <w:spacing w:line="560" w:lineRule="exact"/>
        <w:ind w:left="0" w:leftChars="0" w:right="0" w:rightChars="0" w:firstLine="64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持续发挥</w:t>
      </w:r>
      <w:r>
        <w:rPr>
          <w:rFonts w:hint="eastAsia" w:ascii="仿宋_GB2312" w:hAnsi="仿宋_GB2312" w:eastAsia="仿宋_GB2312" w:cs="仿宋_GB2312"/>
          <w:sz w:val="32"/>
          <w:szCs w:val="32"/>
        </w:rPr>
        <w:t>“双随机、一公开”日常监管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基本手段</w:t>
      </w:r>
      <w:r>
        <w:rPr>
          <w:rFonts w:hint="eastAsia" w:ascii="仿宋_GB2312" w:hAnsi="仿宋_GB2312" w:eastAsia="仿宋_GB2312" w:cs="仿宋_GB2312"/>
          <w:sz w:val="32"/>
          <w:szCs w:val="32"/>
          <w:lang w:val="en-US" w:eastAsia="zh-CN"/>
        </w:rPr>
        <w:t>作用</w:t>
      </w:r>
      <w:r>
        <w:rPr>
          <w:rFonts w:hint="eastAsia" w:ascii="仿宋_GB2312" w:hAnsi="仿宋_GB2312" w:eastAsia="仿宋_GB2312" w:cs="仿宋_GB2312"/>
          <w:sz w:val="32"/>
          <w:szCs w:val="32"/>
        </w:rPr>
        <w:t>，强化与审批许可、信用监管、重点监管的</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衔接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（三）年度抽查工作计划中的各项抽查任务，原则上于本年度11月底前完成，</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需要可进行</w:t>
      </w:r>
      <w:r>
        <w:rPr>
          <w:rFonts w:hint="eastAsia" w:ascii="仿宋_GB2312" w:hAnsi="仿宋_GB2312" w:eastAsia="仿宋_GB2312" w:cs="仿宋_GB2312"/>
          <w:sz w:val="32"/>
          <w:szCs w:val="32"/>
        </w:rPr>
        <w:t>动态调整</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寿县公管局、凤台县公管局参照执行。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1.部门联合双随机抽查工作计划</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双随机、一公开”</w:t>
      </w:r>
      <w:r>
        <w:rPr>
          <w:rFonts w:hint="eastAsia" w:ascii="仿宋_GB2312" w:hAnsi="仿宋_GB2312" w:eastAsia="仿宋_GB2312" w:cs="仿宋_GB2312"/>
          <w:sz w:val="32"/>
          <w:szCs w:val="32"/>
          <w:lang w:eastAsia="zh-CN"/>
        </w:rPr>
        <w:t>抽查年度</w:t>
      </w:r>
      <w:r>
        <w:rPr>
          <w:rFonts w:hint="eastAsia" w:ascii="仿宋_GB2312" w:hAnsi="仿宋_GB2312" w:eastAsia="仿宋_GB2312" w:cs="仿宋_GB2312"/>
          <w:sz w:val="32"/>
          <w:szCs w:val="32"/>
        </w:rPr>
        <w:t>工作计划</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任务开展情况统计表</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420" w:leftChars="200" w:right="0" w:rightChars="0" w:firstLine="640" w:firstLineChars="200"/>
        <w:jc w:val="left"/>
        <w:textAlignment w:val="auto"/>
        <w:outlineLvl w:val="9"/>
        <w:rPr>
          <w:rFonts w:hint="eastAsia" w:ascii="仿宋_GB2312" w:hAnsi="仿宋_GB2312" w:eastAsia="仿宋_GB2312" w:cs="宋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宋体"/>
          <w:sz w:val="32"/>
          <w:szCs w:val="32"/>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420" w:leftChars="200" w:right="0" w:rightChars="0" w:firstLine="640" w:firstLineChars="200"/>
        <w:jc w:val="left"/>
        <w:textAlignment w:val="auto"/>
        <w:outlineLvl w:val="9"/>
        <w:rPr>
          <w:rFonts w:hint="eastAsia" w:ascii="仿宋_GB2312" w:hAnsi="仿宋_GB2312" w:eastAsia="仿宋_GB2312" w:cs="宋体"/>
          <w:sz w:val="32"/>
          <w:szCs w:val="32"/>
          <w:lang w:val="en-US" w:eastAsia="zh-CN"/>
        </w:rPr>
      </w:pPr>
    </w:p>
    <w:p>
      <w:pPr>
        <w:keepNext w:val="0"/>
        <w:keepLines w:val="0"/>
        <w:pageBreakBefore w:val="0"/>
        <w:kinsoku/>
        <w:wordWrap/>
        <w:overflowPunct/>
        <w:topLinePunct w:val="0"/>
        <w:bidi w:val="0"/>
        <w:spacing w:line="560" w:lineRule="exact"/>
        <w:jc w:val="center"/>
        <w:textAlignment w:val="auto"/>
        <w:rPr>
          <w:rFonts w:ascii="仿宋_GB2312" w:hAnsi="仿宋" w:eastAsia="仿宋_GB2312" w:cs="华文彩云"/>
          <w:sz w:val="32"/>
          <w:szCs w:val="32"/>
        </w:rPr>
      </w:pPr>
      <w:r>
        <w:rPr>
          <w:rFonts w:hint="eastAsia" w:ascii="仿宋_GB2312" w:hAnsi="仿宋_GB2312" w:eastAsia="仿宋_GB2312" w:cs="宋体"/>
          <w:sz w:val="32"/>
          <w:szCs w:val="32"/>
          <w:lang w:val="en-US" w:eastAsia="zh-CN"/>
        </w:rPr>
        <w:t xml:space="preserve">                              2024年3月13日</w:t>
      </w:r>
    </w:p>
    <w:p>
      <w:pPr>
        <w:jc w:val="left"/>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pStyle w:val="2"/>
        <w:rPr>
          <w:rFonts w:hint="eastAsia" w:ascii="仿宋_GB2312" w:hAnsi="仿宋_GB2312" w:eastAsia="仿宋_GB2312" w:cs="宋体"/>
          <w:sz w:val="32"/>
          <w:szCs w:val="32"/>
          <w:lang w:val="en-US" w:eastAsia="zh-CN"/>
        </w:rPr>
      </w:pPr>
    </w:p>
    <w:p>
      <w:pPr>
        <w:keepNext/>
        <w:keepLines/>
        <w:pageBreakBefore w:val="0"/>
        <w:widowControl w:val="0"/>
        <w:kinsoku/>
        <w:wordWrap/>
        <w:overflowPunct/>
        <w:topLinePunct w:val="0"/>
        <w:autoSpaceDE/>
        <w:autoSpaceDN/>
        <w:bidi w:val="0"/>
        <w:adjustRightInd/>
        <w:snapToGrid/>
        <w:spacing w:before="0" w:after="0" w:line="540" w:lineRule="exact"/>
        <w:jc w:val="both"/>
        <w:textAlignment w:val="auto"/>
        <w:outlineLvl w:val="9"/>
        <w:rPr>
          <w:rFonts w:hint="eastAsia" w:ascii="仿宋_GB2312" w:hAnsi="仿宋_GB2312" w:eastAsia="仿宋_GB2312" w:cs="仿宋_GB2312"/>
          <w:b w:val="0"/>
          <w:bCs w:val="0"/>
          <w:sz w:val="32"/>
          <w:szCs w:val="32"/>
          <w:lang w:val="en-US" w:eastAsia="zh-CN"/>
        </w:rPr>
      </w:pPr>
    </w:p>
    <w:p>
      <w:pPr>
        <w:keepNext/>
        <w:keepLines/>
        <w:pageBreakBefore w:val="0"/>
        <w:widowControl w:val="0"/>
        <w:kinsoku/>
        <w:wordWrap/>
        <w:overflowPunct/>
        <w:topLinePunct w:val="0"/>
        <w:autoSpaceDE/>
        <w:autoSpaceDN/>
        <w:bidi w:val="0"/>
        <w:adjustRightInd/>
        <w:snapToGrid/>
        <w:spacing w:before="0" w:after="0" w:line="540" w:lineRule="exact"/>
        <w:ind w:firstLine="320" w:firstLineChars="1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53340</wp:posOffset>
                </wp:positionV>
                <wp:extent cx="5751830" cy="635"/>
                <wp:effectExtent l="0" t="0" r="0" b="0"/>
                <wp:wrapNone/>
                <wp:docPr id="2" name="直线 10"/>
                <wp:cNvGraphicFramePr/>
                <a:graphic xmlns:a="http://schemas.openxmlformats.org/drawingml/2006/main">
                  <a:graphicData uri="http://schemas.microsoft.com/office/word/2010/wordprocessingShape">
                    <wps:wsp>
                      <wps:cNvCnPr/>
                      <wps:spPr>
                        <a:xfrm>
                          <a:off x="0" y="0"/>
                          <a:ext cx="5751830"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4pt;margin-top:4.2pt;height:0.05pt;width:452.9pt;z-index:251659264;mso-width-relative:page;mso-height-relative:page;" filled="f" stroked="t" coordsize="21600,21600" o:gfxdata="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TTZPI0QAAAAUBAAAPAAAA&#10;AAAAAAEAIAAAADgAAABkcnMvZG93bnJldi54bWxQSwECFAAUAAAACACHTuJAtrzVg80BAACTAwAA&#10;DgAAAAAAAAABACAAAAA2AQAAZHJzL2Uyb0RvYy54bWxQSwUGAAAAAAYABgBZAQAAdQUAAAAA&#10;">
                <v:fill on="f" focussize="0,0"/>
                <v:stroke weight="0.5pt" color="#000000"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抄送：市市场监管局</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320" w:firstLineChars="100"/>
        <w:jc w:val="both"/>
        <w:textAlignment w:val="auto"/>
        <w:outlineLvl w:val="9"/>
        <w:rPr>
          <w:rFonts w:hint="eastAsia" w:ascii="仿宋_GB2312" w:hAnsi="仿宋_GB2312" w:eastAsia="仿宋_GB2312" w:cs="仿宋_GB2312"/>
          <w:color w:val="000000"/>
          <w:spacing w:val="-6"/>
          <w:sz w:val="28"/>
          <w:szCs w:val="28"/>
          <w:lang w:val="en-US" w:eastAsia="zh-CN"/>
        </w:rPr>
      </w:pPr>
      <w:r>
        <w:rPr>
          <w:rFonts w:hint="eastAsia" w:ascii="仿宋_GB2312" w:hAnsi="仿宋_GB2312" w:eastAsia="仿宋_GB2312" w:cs="仿宋_GB2312"/>
          <w:color w:val="000000"/>
          <w:sz w:val="32"/>
          <w:szCs w:val="32"/>
          <w:lang w:eastAsia="zh-CN"/>
        </w:rPr>
        <w:t>市</w:t>
      </w:r>
      <w:r>
        <w:rPr>
          <w:sz w:val="15"/>
          <w:szCs w:val="15"/>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432435</wp:posOffset>
                </wp:positionV>
                <wp:extent cx="5751830" cy="635"/>
                <wp:effectExtent l="0" t="0" r="0" b="0"/>
                <wp:wrapNone/>
                <wp:docPr id="3" name="直线 11"/>
                <wp:cNvGraphicFramePr/>
                <a:graphic xmlns:a="http://schemas.openxmlformats.org/drawingml/2006/main">
                  <a:graphicData uri="http://schemas.microsoft.com/office/word/2010/wordprocessingShape">
                    <wps:wsp>
                      <wps:cNvCnPr/>
                      <wps:spPr>
                        <a:xfrm>
                          <a:off x="0" y="0"/>
                          <a:ext cx="5751830"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0.95pt;margin-top:34.05pt;height:0.05pt;width:452.9pt;z-index:251660288;mso-width-relative:page;mso-height-relative:page;" filled="f" stroked="t" coordsize="21600,21600" o:gfxdata="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cTs0A0wAAAAcBAAAP&#10;AAAAAAAAAAEAIAAAADgAAABkcnMvZG93bnJldi54bWxQSwECFAAUAAAACACHTuJABpsJX84BAACT&#10;AwAADgAAAAAAAAABACAAAAA4AQAAZHJzL2Uyb0RvYy54bWxQSwUGAAAAAAYABgBZAQAAeAUAAAAA&#10;">
                <v:fill on="f" focussize="0,0"/>
                <v:stroke weight="0.5pt" color="#000000" joinstyle="round"/>
                <v:imagedata o:title=""/>
                <o:lock v:ext="edit" aspectratio="f"/>
              </v:line>
            </w:pict>
          </mc:Fallback>
        </mc:AlternateContent>
      </w:r>
      <w:r>
        <w:rPr>
          <w:sz w:val="15"/>
          <w:szCs w:val="15"/>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32385</wp:posOffset>
                </wp:positionV>
                <wp:extent cx="5751830" cy="635"/>
                <wp:effectExtent l="0" t="0" r="0" b="0"/>
                <wp:wrapNone/>
                <wp:docPr id="1" name="直线 9"/>
                <wp:cNvGraphicFramePr/>
                <a:graphic xmlns:a="http://schemas.openxmlformats.org/drawingml/2006/main">
                  <a:graphicData uri="http://schemas.microsoft.com/office/word/2010/wordprocessingShape">
                    <wps:wsp>
                      <wps:cNvCnPr/>
                      <wps:spPr>
                        <a:xfrm>
                          <a:off x="0" y="0"/>
                          <a:ext cx="5751830"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25pt;margin-top:2.55pt;height:0.05pt;width:452.9pt;z-index:251658240;mso-width-relative:page;mso-height-relative:page;" filled="f" stroked="t" coordsize="21600,21600" o:gfxdata="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p/fgd0QAAAAUBAAAPAAAA&#10;AAAAAAEAIAAAADgAAABkcnMvZG93bnJldi54bWxQSwECFAAUAAAACACHTuJATcZIVM0BAACSAwAA&#10;DgAAAAAAAAABACAAAAA2AQAAZHJzL2Uyb0RvYy54bWxQSwUGAAAAAAYABgBZAQAAdQU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000000"/>
          <w:sz w:val="32"/>
          <w:szCs w:val="32"/>
          <w:lang w:eastAsia="zh-CN"/>
        </w:rPr>
        <w:t>公共资源交易监督管理局综合科</w:t>
      </w:r>
      <w:r>
        <w:rPr>
          <w:rFonts w:hint="eastAsia" w:ascii="仿宋_GB2312" w:hAnsi="仿宋_GB2312" w:eastAsia="仿宋_GB2312" w:cs="仿宋_GB2312"/>
          <w:color w:val="000000"/>
          <w:spacing w:val="-6"/>
          <w:sz w:val="28"/>
          <w:szCs w:val="28"/>
          <w:lang w:val="en-US" w:eastAsia="zh-CN"/>
        </w:rPr>
        <w:t xml:space="preserve">         2024年3月15日印发</w:t>
      </w:r>
    </w:p>
    <w:p>
      <w:pPr>
        <w:pStyle w:val="2"/>
        <w:rPr>
          <w:rFonts w:hint="eastAsia" w:ascii="仿宋_GB2312" w:hAnsi="仿宋_GB2312" w:eastAsia="仿宋_GB2312" w:cs="宋体"/>
          <w:sz w:val="32"/>
          <w:szCs w:val="32"/>
          <w:lang w:val="en-US" w:eastAsia="zh-CN"/>
        </w:rPr>
        <w:sectPr>
          <w:footerReference r:id="rId3" w:type="default"/>
          <w:footerReference r:id="rId4" w:type="even"/>
          <w:pgSz w:w="11906" w:h="16838"/>
          <w:pgMar w:top="1134" w:right="1418" w:bottom="1077" w:left="1418" w:header="851" w:footer="992" w:gutter="0"/>
          <w:pgNumType w:fmt="numberInDash"/>
          <w:cols w:space="720" w:num="1"/>
          <w:docGrid w:type="linesAndChars" w:linePitch="312" w:charSpace="0"/>
        </w:sectPr>
      </w:pPr>
    </w:p>
    <w:p>
      <w:pPr>
        <w:rPr>
          <w:rFonts w:ascii="黑体" w:hAnsi="黑体" w:eastAsia="黑体"/>
          <w:szCs w:val="32"/>
        </w:rPr>
      </w:pPr>
      <w:r>
        <w:rPr>
          <w:rFonts w:hint="eastAsia" w:ascii="黑体" w:hAnsi="黑体" w:eastAsia="黑体"/>
          <w:szCs w:val="32"/>
        </w:rPr>
        <w:t>附件1</w:t>
      </w:r>
    </w:p>
    <w:p>
      <w:pPr>
        <w:keepNext w:val="0"/>
        <w:keepLines w:val="0"/>
        <w:pageBreakBefore w:val="0"/>
        <w:widowControl w:val="0"/>
        <w:kinsoku/>
        <w:wordWrap/>
        <w:overflowPunct/>
        <w:topLinePunct w:val="0"/>
        <w:bidi w:val="0"/>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部门联合双随机抽查工作计划</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tbl>
      <w:tblPr>
        <w:tblStyle w:val="1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539"/>
        <w:gridCol w:w="2046"/>
        <w:gridCol w:w="1791"/>
        <w:gridCol w:w="1818"/>
        <w:gridCol w:w="1581"/>
        <w:gridCol w:w="1972"/>
        <w:gridCol w:w="148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top"/>
          </w:tcPr>
          <w:p>
            <w:pPr>
              <w:jc w:val="center"/>
              <w:rPr>
                <w:rFonts w:ascii="黑体" w:hAnsi="黑体" w:eastAsia="黑体"/>
                <w:szCs w:val="32"/>
              </w:rPr>
            </w:pPr>
            <w:r>
              <w:rPr>
                <w:rFonts w:hint="eastAsia" w:ascii="黑体" w:hAnsi="黑体" w:eastAsia="黑体"/>
                <w:szCs w:val="32"/>
              </w:rPr>
              <w:t>任务名称</w:t>
            </w:r>
          </w:p>
        </w:tc>
        <w:tc>
          <w:tcPr>
            <w:tcW w:w="519" w:type="pct"/>
            <w:noWrap w:val="0"/>
            <w:vAlign w:val="top"/>
          </w:tcPr>
          <w:p>
            <w:pPr>
              <w:jc w:val="center"/>
              <w:rPr>
                <w:rFonts w:ascii="黑体" w:hAnsi="黑体" w:eastAsia="黑体"/>
                <w:szCs w:val="32"/>
              </w:rPr>
            </w:pPr>
            <w:r>
              <w:rPr>
                <w:rFonts w:hint="eastAsia" w:ascii="黑体" w:hAnsi="黑体" w:eastAsia="黑体"/>
                <w:szCs w:val="32"/>
              </w:rPr>
              <w:t>联查部门</w:t>
            </w:r>
          </w:p>
        </w:tc>
        <w:tc>
          <w:tcPr>
            <w:tcW w:w="690" w:type="pct"/>
            <w:noWrap w:val="0"/>
            <w:vAlign w:val="top"/>
          </w:tcPr>
          <w:p>
            <w:pPr>
              <w:jc w:val="center"/>
              <w:rPr>
                <w:rFonts w:ascii="黑体" w:hAnsi="黑体" w:eastAsia="黑体"/>
                <w:szCs w:val="32"/>
              </w:rPr>
            </w:pPr>
            <w:r>
              <w:rPr>
                <w:rFonts w:hint="eastAsia" w:ascii="黑体" w:hAnsi="黑体" w:eastAsia="黑体"/>
                <w:szCs w:val="32"/>
                <w:lang w:val="en-US" w:eastAsia="zh-CN"/>
              </w:rPr>
              <w:t>抽查</w:t>
            </w:r>
            <w:r>
              <w:rPr>
                <w:rFonts w:hint="eastAsia" w:ascii="黑体" w:hAnsi="黑体" w:eastAsia="黑体"/>
                <w:szCs w:val="32"/>
              </w:rPr>
              <w:t>事项</w:t>
            </w:r>
          </w:p>
        </w:tc>
        <w:tc>
          <w:tcPr>
            <w:tcW w:w="604" w:type="pct"/>
            <w:noWrap w:val="0"/>
            <w:vAlign w:val="top"/>
          </w:tcPr>
          <w:p>
            <w:pPr>
              <w:jc w:val="center"/>
              <w:rPr>
                <w:rFonts w:ascii="黑体" w:hAnsi="黑体" w:eastAsia="黑体"/>
                <w:szCs w:val="32"/>
              </w:rPr>
            </w:pPr>
            <w:r>
              <w:rPr>
                <w:rFonts w:hint="eastAsia" w:ascii="黑体" w:hAnsi="黑体" w:eastAsia="黑体"/>
                <w:szCs w:val="32"/>
              </w:rPr>
              <w:t>联查对象</w:t>
            </w:r>
          </w:p>
        </w:tc>
        <w:tc>
          <w:tcPr>
            <w:tcW w:w="613" w:type="pct"/>
            <w:noWrap w:val="0"/>
            <w:vAlign w:val="top"/>
          </w:tcPr>
          <w:p>
            <w:pPr>
              <w:jc w:val="center"/>
              <w:rPr>
                <w:rFonts w:ascii="黑体" w:hAnsi="黑体" w:eastAsia="黑体"/>
                <w:szCs w:val="32"/>
              </w:rPr>
            </w:pPr>
            <w:r>
              <w:rPr>
                <w:rFonts w:hint="eastAsia" w:ascii="黑体" w:hAnsi="黑体" w:eastAsia="黑体"/>
                <w:szCs w:val="32"/>
              </w:rPr>
              <w:t>检查主体</w:t>
            </w:r>
          </w:p>
        </w:tc>
        <w:tc>
          <w:tcPr>
            <w:tcW w:w="533" w:type="pct"/>
            <w:noWrap w:val="0"/>
            <w:vAlign w:val="top"/>
          </w:tcPr>
          <w:p>
            <w:pPr>
              <w:jc w:val="center"/>
              <w:rPr>
                <w:rFonts w:ascii="黑体" w:hAnsi="黑体" w:eastAsia="黑体"/>
                <w:szCs w:val="32"/>
              </w:rPr>
            </w:pPr>
            <w:r>
              <w:rPr>
                <w:rFonts w:hint="eastAsia" w:ascii="黑体" w:hAnsi="黑体" w:eastAsia="黑体"/>
                <w:szCs w:val="32"/>
              </w:rPr>
              <w:t>责任分工</w:t>
            </w:r>
          </w:p>
        </w:tc>
        <w:tc>
          <w:tcPr>
            <w:tcW w:w="665" w:type="pct"/>
            <w:noWrap w:val="0"/>
            <w:vAlign w:val="top"/>
          </w:tcPr>
          <w:p>
            <w:pPr>
              <w:jc w:val="center"/>
              <w:rPr>
                <w:rFonts w:ascii="黑体" w:hAnsi="黑体" w:eastAsia="黑体"/>
                <w:szCs w:val="32"/>
              </w:rPr>
            </w:pPr>
            <w:r>
              <w:rPr>
                <w:rFonts w:hint="eastAsia" w:ascii="黑体" w:hAnsi="黑体" w:eastAsia="黑体"/>
                <w:szCs w:val="32"/>
              </w:rPr>
              <w:t>基数和比例</w:t>
            </w:r>
          </w:p>
        </w:tc>
        <w:tc>
          <w:tcPr>
            <w:tcW w:w="499" w:type="pct"/>
            <w:noWrap w:val="0"/>
            <w:vAlign w:val="top"/>
          </w:tcPr>
          <w:p>
            <w:pPr>
              <w:jc w:val="center"/>
              <w:rPr>
                <w:rFonts w:ascii="黑体" w:hAnsi="黑体" w:eastAsia="黑体"/>
                <w:szCs w:val="32"/>
              </w:rPr>
            </w:pPr>
            <w:r>
              <w:rPr>
                <w:rFonts w:hint="eastAsia" w:ascii="黑体" w:hAnsi="黑体" w:eastAsia="黑体"/>
                <w:szCs w:val="32"/>
              </w:rPr>
              <w:t>时间安排</w:t>
            </w:r>
          </w:p>
        </w:tc>
        <w:tc>
          <w:tcPr>
            <w:tcW w:w="339" w:type="pct"/>
            <w:noWrap w:val="0"/>
            <w:vAlign w:val="top"/>
          </w:tcPr>
          <w:p>
            <w:pPr>
              <w:jc w:val="center"/>
              <w:rPr>
                <w:rFonts w:ascii="黑体" w:hAnsi="黑体" w:eastAsia="黑体"/>
                <w:szCs w:val="32"/>
              </w:rPr>
            </w:pPr>
            <w:r>
              <w:rPr>
                <w:rFonts w:hint="eastAsia" w:ascii="黑体" w:hAnsi="黑体" w:eastAsia="黑体"/>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34" w:type="pct"/>
            <w:vMerge w:val="restart"/>
            <w:noWrap w:val="0"/>
            <w:vAlign w:val="center"/>
          </w:tcPr>
          <w:p>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202</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eastAsia="zh-CN"/>
              </w:rPr>
              <w:t>招标代理</w:t>
            </w:r>
            <w:r>
              <w:rPr>
                <w:rFonts w:hint="eastAsia" w:ascii="宋体" w:hAnsi="宋体" w:eastAsia="宋体" w:cs="宋体"/>
                <w:color w:val="000000"/>
                <w:kern w:val="0"/>
                <w:sz w:val="24"/>
                <w:szCs w:val="24"/>
              </w:rPr>
              <w:t>市场部门联合抽查</w:t>
            </w:r>
          </w:p>
        </w:tc>
        <w:tc>
          <w:tcPr>
            <w:tcW w:w="519" w:type="pct"/>
            <w:noWrap w:val="0"/>
            <w:vAlign w:val="center"/>
          </w:tcPr>
          <w:p>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市公共资源监管部门</w:t>
            </w:r>
          </w:p>
        </w:tc>
        <w:tc>
          <w:tcPr>
            <w:tcW w:w="690" w:type="pct"/>
            <w:noWrap w:val="0"/>
            <w:vAlign w:val="center"/>
          </w:tcPr>
          <w:p>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w:t>
            </w:r>
            <w:r>
              <w:rPr>
                <w:rFonts w:hint="eastAsia" w:ascii="宋体" w:hAnsi="宋体" w:eastAsia="宋体" w:cs="宋体"/>
                <w:color w:val="000000"/>
                <w:kern w:val="0"/>
                <w:sz w:val="24"/>
                <w:szCs w:val="24"/>
                <w:lang w:eastAsia="zh-CN"/>
              </w:rPr>
              <w:t>代理机构服务能力</w:t>
            </w:r>
            <w:r>
              <w:rPr>
                <w:rFonts w:hint="eastAsia" w:ascii="宋体" w:hAnsi="宋体" w:eastAsia="宋体" w:cs="宋体"/>
                <w:color w:val="000000"/>
                <w:kern w:val="0"/>
                <w:sz w:val="24"/>
                <w:szCs w:val="24"/>
              </w:rPr>
              <w:t>进行检查</w:t>
            </w:r>
          </w:p>
        </w:tc>
        <w:tc>
          <w:tcPr>
            <w:tcW w:w="604"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招标代理</w:t>
            </w:r>
            <w:r>
              <w:rPr>
                <w:rFonts w:hint="eastAsia" w:ascii="宋体" w:hAnsi="宋体" w:eastAsia="宋体" w:cs="宋体"/>
                <w:color w:val="000000"/>
                <w:kern w:val="0"/>
                <w:sz w:val="24"/>
                <w:szCs w:val="24"/>
              </w:rPr>
              <w:t>企业</w:t>
            </w:r>
          </w:p>
        </w:tc>
        <w:tc>
          <w:tcPr>
            <w:tcW w:w="613"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市公管局、市市场监管局</w:t>
            </w:r>
          </w:p>
        </w:tc>
        <w:tc>
          <w:tcPr>
            <w:tcW w:w="533"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w:t>
            </w:r>
            <w:r>
              <w:rPr>
                <w:rFonts w:hint="eastAsia" w:ascii="宋体" w:hAnsi="宋体" w:eastAsia="宋体" w:cs="宋体"/>
                <w:color w:val="000000"/>
                <w:kern w:val="0"/>
                <w:sz w:val="24"/>
                <w:szCs w:val="24"/>
                <w:lang w:eastAsia="zh-CN"/>
              </w:rPr>
              <w:t>公管局</w:t>
            </w:r>
            <w:r>
              <w:rPr>
                <w:rFonts w:hint="eastAsia" w:ascii="宋体" w:hAnsi="宋体" w:eastAsia="宋体" w:cs="宋体"/>
                <w:color w:val="000000"/>
                <w:kern w:val="0"/>
                <w:sz w:val="24"/>
                <w:szCs w:val="24"/>
              </w:rPr>
              <w:t>牵头发起，</w:t>
            </w:r>
            <w:r>
              <w:rPr>
                <w:rFonts w:hint="eastAsia" w:ascii="宋体" w:hAnsi="宋体" w:eastAsia="宋体" w:cs="宋体"/>
                <w:color w:val="000000"/>
                <w:kern w:val="0"/>
                <w:sz w:val="24"/>
                <w:szCs w:val="24"/>
                <w:lang w:eastAsia="zh-CN"/>
              </w:rPr>
              <w:t>市市场监管局</w:t>
            </w:r>
            <w:r>
              <w:rPr>
                <w:rFonts w:hint="eastAsia" w:ascii="宋体" w:hAnsi="宋体" w:eastAsia="宋体" w:cs="宋体"/>
                <w:color w:val="000000"/>
                <w:kern w:val="0"/>
                <w:sz w:val="24"/>
                <w:szCs w:val="24"/>
              </w:rPr>
              <w:t>按职责分工负责</w:t>
            </w:r>
          </w:p>
        </w:tc>
        <w:tc>
          <w:tcPr>
            <w:tcW w:w="665"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w:t>
            </w:r>
            <w:r>
              <w:rPr>
                <w:rFonts w:hint="eastAsia" w:ascii="宋体" w:hAnsi="宋体" w:eastAsia="宋体" w:cs="宋体"/>
                <w:color w:val="000000"/>
                <w:kern w:val="0"/>
                <w:sz w:val="24"/>
                <w:szCs w:val="24"/>
                <w:lang w:eastAsia="zh-CN"/>
              </w:rPr>
              <w:t>监管平台</w:t>
            </w:r>
            <w:r>
              <w:rPr>
                <w:rFonts w:hint="eastAsia" w:ascii="宋体" w:hAnsi="宋体" w:eastAsia="宋体" w:cs="宋体"/>
                <w:color w:val="000000"/>
                <w:kern w:val="0"/>
                <w:sz w:val="24"/>
                <w:szCs w:val="24"/>
              </w:rPr>
              <w:t>实时数据</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lang w:eastAsia="zh-CN"/>
              </w:rPr>
              <w:t>联合抽查任务不低于</w:t>
            </w:r>
            <w:r>
              <w:rPr>
                <w:rFonts w:hint="eastAsia" w:ascii="宋体" w:hAnsi="宋体" w:eastAsia="宋体" w:cs="宋体"/>
                <w:sz w:val="24"/>
                <w:szCs w:val="24"/>
                <w:lang w:val="en-US" w:eastAsia="zh-CN"/>
              </w:rPr>
              <w:t>60%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rPr>
            </w:pPr>
          </w:p>
        </w:tc>
        <w:tc>
          <w:tcPr>
            <w:tcW w:w="499"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202</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年11月</w:t>
            </w:r>
            <w:r>
              <w:rPr>
                <w:rFonts w:hint="eastAsia" w:ascii="宋体" w:hAnsi="宋体" w:eastAsia="宋体" w:cs="宋体"/>
                <w:color w:val="000000"/>
                <w:kern w:val="0"/>
                <w:sz w:val="24"/>
                <w:szCs w:val="24"/>
                <w:lang w:eastAsia="zh-CN"/>
              </w:rPr>
              <w:t>底前</w:t>
            </w:r>
          </w:p>
        </w:tc>
        <w:tc>
          <w:tcPr>
            <w:tcW w:w="339" w:type="pct"/>
            <w:vMerge w:val="restart"/>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exact"/>
        </w:trPr>
        <w:tc>
          <w:tcPr>
            <w:tcW w:w="534" w:type="pct"/>
            <w:vMerge w:val="continue"/>
            <w:noWrap w:val="0"/>
            <w:vAlign w:val="center"/>
          </w:tcPr>
          <w:p>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ascii="宋体" w:hAnsi="宋体" w:eastAsia="宋体" w:cs="宋体"/>
                <w:sz w:val="24"/>
                <w:szCs w:val="24"/>
              </w:rPr>
            </w:pPr>
          </w:p>
        </w:tc>
        <w:tc>
          <w:tcPr>
            <w:tcW w:w="519" w:type="pct"/>
            <w:noWrap w:val="0"/>
            <w:vAlign w:val="center"/>
          </w:tcPr>
          <w:p>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市</w:t>
            </w:r>
            <w:r>
              <w:rPr>
                <w:rFonts w:hint="eastAsia" w:ascii="宋体" w:hAnsi="宋体" w:eastAsia="宋体" w:cs="宋体"/>
                <w:color w:val="000000"/>
                <w:kern w:val="0"/>
                <w:sz w:val="24"/>
                <w:szCs w:val="24"/>
              </w:rPr>
              <w:t>市场监管</w:t>
            </w:r>
            <w:r>
              <w:rPr>
                <w:rFonts w:hint="eastAsia" w:ascii="宋体" w:hAnsi="宋体" w:eastAsia="宋体" w:cs="宋体"/>
                <w:color w:val="000000"/>
                <w:kern w:val="0"/>
                <w:sz w:val="24"/>
                <w:szCs w:val="24"/>
                <w:lang w:eastAsia="zh-CN"/>
              </w:rPr>
              <w:t>部门</w:t>
            </w:r>
          </w:p>
        </w:tc>
        <w:tc>
          <w:tcPr>
            <w:tcW w:w="690" w:type="pct"/>
            <w:noWrap w:val="0"/>
            <w:vAlign w:val="center"/>
          </w:tcPr>
          <w:p>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合同行为检查；企业登记事项检查；公示信息检查</w:t>
            </w:r>
          </w:p>
        </w:tc>
        <w:tc>
          <w:tcPr>
            <w:tcW w:w="604" w:type="pct"/>
            <w:vMerge w:val="continue"/>
            <w:noWrap w:val="0"/>
            <w:vAlign w:val="top"/>
          </w:tcPr>
          <w:p>
            <w:pPr>
              <w:rPr>
                <w:rFonts w:hint="eastAsia" w:ascii="宋体" w:hAnsi="宋体" w:eastAsia="宋体" w:cs="宋体"/>
                <w:color w:val="000000"/>
                <w:kern w:val="0"/>
                <w:sz w:val="24"/>
                <w:szCs w:val="24"/>
              </w:rPr>
            </w:pPr>
          </w:p>
        </w:tc>
        <w:tc>
          <w:tcPr>
            <w:tcW w:w="613" w:type="pct"/>
            <w:vMerge w:val="continue"/>
            <w:noWrap w:val="0"/>
            <w:vAlign w:val="center"/>
          </w:tcPr>
          <w:p>
            <w:pPr>
              <w:rPr>
                <w:rFonts w:hint="eastAsia" w:ascii="宋体" w:hAnsi="宋体" w:eastAsia="宋体" w:cs="宋体"/>
                <w:color w:val="000000"/>
                <w:kern w:val="0"/>
                <w:sz w:val="24"/>
                <w:szCs w:val="24"/>
              </w:rPr>
            </w:pPr>
          </w:p>
        </w:tc>
        <w:tc>
          <w:tcPr>
            <w:tcW w:w="533" w:type="pct"/>
            <w:vMerge w:val="continue"/>
            <w:noWrap w:val="0"/>
            <w:vAlign w:val="top"/>
          </w:tcPr>
          <w:p>
            <w:pPr>
              <w:rPr>
                <w:rFonts w:hint="eastAsia" w:ascii="宋体" w:hAnsi="宋体" w:eastAsia="宋体" w:cs="宋体"/>
                <w:color w:val="000000"/>
                <w:kern w:val="0"/>
                <w:sz w:val="24"/>
                <w:szCs w:val="24"/>
              </w:rPr>
            </w:pPr>
          </w:p>
        </w:tc>
        <w:tc>
          <w:tcPr>
            <w:tcW w:w="665" w:type="pct"/>
            <w:vMerge w:val="continue"/>
            <w:noWrap w:val="0"/>
            <w:vAlign w:val="top"/>
          </w:tcPr>
          <w:p>
            <w:pPr>
              <w:rPr>
                <w:rFonts w:hint="eastAsia" w:ascii="宋体" w:hAnsi="宋体" w:eastAsia="宋体" w:cs="宋体"/>
                <w:color w:val="000000"/>
                <w:kern w:val="0"/>
                <w:sz w:val="24"/>
                <w:szCs w:val="24"/>
              </w:rPr>
            </w:pPr>
          </w:p>
        </w:tc>
        <w:tc>
          <w:tcPr>
            <w:tcW w:w="499" w:type="pct"/>
            <w:vMerge w:val="continue"/>
            <w:noWrap w:val="0"/>
            <w:vAlign w:val="top"/>
          </w:tcPr>
          <w:p>
            <w:pPr>
              <w:rPr>
                <w:rFonts w:hint="eastAsia" w:ascii="宋体" w:hAnsi="宋体" w:eastAsia="宋体" w:cs="宋体"/>
                <w:color w:val="000000"/>
                <w:kern w:val="0"/>
                <w:sz w:val="24"/>
                <w:szCs w:val="24"/>
              </w:rPr>
            </w:pPr>
          </w:p>
        </w:tc>
        <w:tc>
          <w:tcPr>
            <w:tcW w:w="339" w:type="pct"/>
            <w:vMerge w:val="continue"/>
            <w:noWrap w:val="0"/>
            <w:vAlign w:val="top"/>
          </w:tcPr>
          <w:p>
            <w:pPr>
              <w:rPr>
                <w:rFonts w:hint="eastAsia" w:ascii="宋体" w:hAnsi="宋体" w:eastAsia="宋体" w:cs="宋体"/>
                <w:sz w:val="24"/>
                <w:szCs w:val="24"/>
              </w:rPr>
            </w:pPr>
          </w:p>
        </w:tc>
      </w:tr>
    </w:tbl>
    <w:p>
      <w:pPr>
        <w:spacing w:beforeLines="50"/>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联合抽查任务占比低于</w:t>
      </w:r>
      <w:r>
        <w:rPr>
          <w:rFonts w:hint="eastAsia" w:ascii="宋体" w:hAnsi="宋体" w:eastAsia="宋体" w:cs="宋体"/>
          <w:sz w:val="24"/>
          <w:szCs w:val="24"/>
          <w:lang w:val="en-US" w:eastAsia="zh-CN"/>
        </w:rPr>
        <w:t>60%，将在市级季度考核和年度考核中扣除相应分数。</w:t>
      </w:r>
    </w:p>
    <w:p>
      <w:pPr>
        <w:spacing w:beforeLines="50"/>
        <w:rPr>
          <w:rFonts w:ascii="黑体" w:hAnsi="黑体" w:eastAsia="黑体" w:cs="黑体"/>
          <w:szCs w:val="32"/>
        </w:rPr>
      </w:pPr>
    </w:p>
    <w:tbl>
      <w:tblPr>
        <w:tblStyle w:val="9"/>
        <w:tblpPr w:leftFromText="180" w:rightFromText="180" w:vertAnchor="text" w:horzAnchor="page" w:tblpX="1291" w:tblpY="-1055"/>
        <w:tblOverlap w:val="never"/>
        <w:tblW w:w="14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068"/>
        <w:gridCol w:w="2831"/>
        <w:gridCol w:w="1692"/>
        <w:gridCol w:w="1227"/>
        <w:gridCol w:w="948"/>
        <w:gridCol w:w="1677"/>
        <w:gridCol w:w="1345"/>
        <w:gridCol w:w="2255"/>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545" w:type="dxa"/>
            <w:gridSpan w:val="10"/>
            <w:tcBorders>
              <w:top w:val="nil"/>
              <w:left w:val="nil"/>
              <w:bottom w:val="single" w:color="auto" w:sz="4" w:space="0"/>
              <w:right w:val="nil"/>
            </w:tcBorders>
            <w:noWrap w:val="0"/>
            <w:vAlign w:val="center"/>
          </w:tcPr>
          <w:p>
            <w:pPr>
              <w:jc w:val="left"/>
              <w:rPr>
                <w:rFonts w:hint="eastAsia" w:ascii="黑体" w:hAnsi="黑体" w:eastAsia="黑体" w:cs="黑体"/>
                <w:szCs w:val="32"/>
              </w:rPr>
            </w:pPr>
            <w:r>
              <w:rPr>
                <w:rFonts w:hint="eastAsia" w:ascii="黑体" w:hAnsi="黑体" w:eastAsia="黑体" w:cs="黑体"/>
                <w:szCs w:val="32"/>
              </w:rPr>
              <w:t>附件2</w:t>
            </w:r>
          </w:p>
          <w:p>
            <w:pPr>
              <w:jc w:val="center"/>
              <w:rPr>
                <w:rFonts w:hint="eastAsia" w:ascii="宋体" w:hAnsi="宋体" w:eastAsia="宋体" w:cs="宋体"/>
                <w:sz w:val="24"/>
                <w:szCs w:val="24"/>
                <w:vertAlign w:val="baseline"/>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双随机、一公开”</w:t>
            </w:r>
            <w:r>
              <w:rPr>
                <w:rFonts w:hint="eastAsia" w:ascii="方正小标宋简体" w:hAnsi="方正小标宋简体" w:eastAsia="方正小标宋简体" w:cs="方正小标宋简体"/>
                <w:sz w:val="44"/>
                <w:szCs w:val="44"/>
                <w:lang w:eastAsia="zh-CN"/>
              </w:rPr>
              <w:t>抽查年度</w:t>
            </w:r>
            <w:r>
              <w:rPr>
                <w:rFonts w:hint="eastAsia" w:ascii="方正小标宋简体" w:hAnsi="方正小标宋简体" w:eastAsia="方正小标宋简体" w:cs="方正小标宋简体"/>
                <w:sz w:val="44"/>
                <w:szCs w:val="4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2"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068"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抽查任</w:t>
            </w:r>
          </w:p>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务名称</w:t>
            </w:r>
          </w:p>
        </w:tc>
        <w:tc>
          <w:tcPr>
            <w:tcW w:w="2831"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抽查事项</w:t>
            </w:r>
          </w:p>
        </w:tc>
        <w:tc>
          <w:tcPr>
            <w:tcW w:w="1692"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发起方式</w:t>
            </w:r>
          </w:p>
        </w:tc>
        <w:tc>
          <w:tcPr>
            <w:tcW w:w="1227"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抽查主体（层级）</w:t>
            </w:r>
          </w:p>
        </w:tc>
        <w:tc>
          <w:tcPr>
            <w:tcW w:w="948"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w:t>
            </w:r>
          </w:p>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对象</w:t>
            </w:r>
          </w:p>
        </w:tc>
        <w:tc>
          <w:tcPr>
            <w:tcW w:w="1677"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抽查基数</w:t>
            </w:r>
          </w:p>
        </w:tc>
        <w:tc>
          <w:tcPr>
            <w:tcW w:w="1345"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抽查比例</w:t>
            </w:r>
          </w:p>
        </w:tc>
        <w:tc>
          <w:tcPr>
            <w:tcW w:w="2255"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抽查时间段</w:t>
            </w:r>
          </w:p>
        </w:tc>
        <w:tc>
          <w:tcPr>
            <w:tcW w:w="1030"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47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6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招标文件合法性、规范性审查</w:t>
            </w:r>
          </w:p>
        </w:tc>
        <w:tc>
          <w:tcPr>
            <w:tcW w:w="2831"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招标公告、资格条件、信誉要求、招标文件评标办法、实质性条款约定等是否合法合规</w:t>
            </w:r>
          </w:p>
        </w:tc>
        <w:tc>
          <w:tcPr>
            <w:tcW w:w="169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市级</w:t>
            </w:r>
            <w:r>
              <w:rPr>
                <w:rFonts w:hint="eastAsia" w:ascii="宋体" w:hAnsi="宋体" w:eastAsia="宋体" w:cs="宋体"/>
                <w:sz w:val="21"/>
                <w:szCs w:val="21"/>
              </w:rPr>
              <w:t>组织发起</w:t>
            </w:r>
            <w:r>
              <w:rPr>
                <w:rFonts w:hint="eastAsia" w:ascii="宋体" w:hAnsi="宋体" w:eastAsia="宋体" w:cs="宋体"/>
                <w:sz w:val="21"/>
                <w:szCs w:val="21"/>
                <w:vertAlign w:val="baseline"/>
                <w:lang w:eastAsia="zh-CN"/>
              </w:rPr>
              <w:t>（督查科牵头）</w:t>
            </w:r>
          </w:p>
        </w:tc>
        <w:tc>
          <w:tcPr>
            <w:tcW w:w="1227"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市公</w:t>
            </w:r>
          </w:p>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管局</w:t>
            </w:r>
          </w:p>
        </w:tc>
        <w:tc>
          <w:tcPr>
            <w:tcW w:w="94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招标人制定的招标文件</w:t>
            </w:r>
          </w:p>
        </w:tc>
        <w:tc>
          <w:tcPr>
            <w:tcW w:w="1677"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2024年全年市级建设工程</w:t>
            </w:r>
            <w:r>
              <w:rPr>
                <w:rFonts w:hint="eastAsia" w:ascii="宋体" w:hAnsi="宋体" w:cs="宋体"/>
                <w:sz w:val="21"/>
                <w:szCs w:val="21"/>
                <w:vertAlign w:val="baseline"/>
                <w:lang w:val="en-US" w:eastAsia="zh-CN"/>
              </w:rPr>
              <w:t>。</w:t>
            </w:r>
          </w:p>
        </w:tc>
        <w:tc>
          <w:tcPr>
            <w:tcW w:w="134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不低于20%</w:t>
            </w:r>
          </w:p>
        </w:tc>
        <w:tc>
          <w:tcPr>
            <w:tcW w:w="225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4月份抽查第一季度，以后每季度后一个月抽查上一季度的招标文件</w:t>
            </w:r>
          </w:p>
        </w:tc>
        <w:tc>
          <w:tcPr>
            <w:tcW w:w="103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7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6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代理机构服务能力检查</w:t>
            </w:r>
          </w:p>
        </w:tc>
        <w:tc>
          <w:tcPr>
            <w:tcW w:w="2831"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办公条件、委托代理、文件编制、信息公告、中标手续办理、保证金退还、质疑回复、资料归档等</w:t>
            </w:r>
          </w:p>
        </w:tc>
        <w:tc>
          <w:tcPr>
            <w:tcW w:w="169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市级</w:t>
            </w:r>
            <w:r>
              <w:rPr>
                <w:rFonts w:hint="eastAsia" w:ascii="宋体" w:hAnsi="宋体" w:eastAsia="宋体" w:cs="宋体"/>
                <w:sz w:val="21"/>
                <w:szCs w:val="21"/>
              </w:rPr>
              <w:t>组织发起</w:t>
            </w:r>
            <w:r>
              <w:rPr>
                <w:rFonts w:hint="eastAsia" w:ascii="宋体" w:hAnsi="宋体" w:eastAsia="宋体" w:cs="宋体"/>
                <w:sz w:val="21"/>
                <w:szCs w:val="21"/>
                <w:vertAlign w:val="baseline"/>
                <w:lang w:eastAsia="zh-CN"/>
              </w:rPr>
              <w:t>（业务科牵头）</w:t>
            </w:r>
          </w:p>
        </w:tc>
        <w:tc>
          <w:tcPr>
            <w:tcW w:w="1227"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市公</w:t>
            </w:r>
          </w:p>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管局</w:t>
            </w:r>
          </w:p>
        </w:tc>
        <w:tc>
          <w:tcPr>
            <w:tcW w:w="94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代理机构</w:t>
            </w:r>
          </w:p>
        </w:tc>
        <w:tc>
          <w:tcPr>
            <w:tcW w:w="1677"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在市公管局登记的代理机构数。</w:t>
            </w:r>
          </w:p>
        </w:tc>
        <w:tc>
          <w:tcPr>
            <w:tcW w:w="134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不低于20%</w:t>
            </w:r>
          </w:p>
        </w:tc>
        <w:tc>
          <w:tcPr>
            <w:tcW w:w="225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6月份集中抽查代理机构比例不低于10%，11月份抽查代理机构比例达到20%。</w:t>
            </w:r>
          </w:p>
        </w:tc>
        <w:tc>
          <w:tcPr>
            <w:tcW w:w="103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2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抽查结果与全年考核相结合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6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标后履约情况监督检查</w:t>
            </w:r>
          </w:p>
        </w:tc>
        <w:tc>
          <w:tcPr>
            <w:tcW w:w="2831"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建立健全</w:t>
            </w:r>
            <w:r>
              <w:rPr>
                <w:rFonts w:hint="eastAsia" w:ascii="宋体" w:hAnsi="宋体" w:eastAsia="宋体" w:cs="宋体"/>
                <w:sz w:val="21"/>
                <w:szCs w:val="21"/>
                <w:lang w:val="en-US" w:eastAsia="zh-CN"/>
              </w:rPr>
              <w:t>“季度抽查+专项通报”机制，</w:t>
            </w:r>
            <w:r>
              <w:rPr>
                <w:rFonts w:hint="eastAsia" w:ascii="宋体" w:hAnsi="宋体" w:eastAsia="宋体" w:cs="宋体"/>
                <w:i w:val="0"/>
                <w:caps w:val="0"/>
                <w:color w:val="000000"/>
                <w:spacing w:val="0"/>
                <w:kern w:val="0"/>
                <w:sz w:val="21"/>
                <w:szCs w:val="21"/>
                <w:shd w:val="clear" w:color="auto" w:fill="FFFFFF"/>
                <w:lang w:val="en-US" w:eastAsia="zh-CN" w:bidi="ar"/>
              </w:rPr>
              <w:t>会同行业主管部门，采取“</w:t>
            </w:r>
            <w:r>
              <w:rPr>
                <w:rFonts w:hint="eastAsia" w:ascii="宋体" w:hAnsi="宋体" w:cs="宋体"/>
                <w:i w:val="0"/>
                <w:caps w:val="0"/>
                <w:color w:val="000000"/>
                <w:spacing w:val="0"/>
                <w:kern w:val="0"/>
                <w:sz w:val="21"/>
                <w:szCs w:val="21"/>
                <w:shd w:val="clear" w:color="auto" w:fill="FFFFFF"/>
                <w:lang w:val="en-US" w:eastAsia="zh-CN" w:bidi="ar"/>
              </w:rPr>
              <w:t>双随机、一公开</w:t>
            </w:r>
            <w:r>
              <w:rPr>
                <w:rFonts w:hint="eastAsia" w:ascii="宋体" w:hAnsi="宋体" w:eastAsia="宋体" w:cs="宋体"/>
                <w:i w:val="0"/>
                <w:caps w:val="0"/>
                <w:color w:val="000000"/>
                <w:spacing w:val="0"/>
                <w:kern w:val="0"/>
                <w:sz w:val="21"/>
                <w:szCs w:val="21"/>
                <w:shd w:val="clear" w:color="auto" w:fill="FFFFFF"/>
                <w:lang w:val="en-US" w:eastAsia="zh-CN" w:bidi="ar"/>
              </w:rPr>
              <w:t>”等方式，抽取在市平台交易的政府性投资建设工程项目</w:t>
            </w:r>
            <w:r>
              <w:rPr>
                <w:rFonts w:hint="eastAsia" w:ascii="宋体" w:hAnsi="宋体" w:eastAsia="宋体" w:cs="宋体"/>
                <w:sz w:val="21"/>
                <w:szCs w:val="21"/>
                <w:vertAlign w:val="baseline"/>
                <w:lang w:eastAsia="zh-CN"/>
              </w:rPr>
              <w:t>进行监督检查，及时纠正中标人未按照合同约定履约行为，涉嫌违法违规的依法查处或者及时移送处理。</w:t>
            </w:r>
          </w:p>
        </w:tc>
        <w:tc>
          <w:tcPr>
            <w:tcW w:w="169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市级</w:t>
            </w:r>
            <w:r>
              <w:rPr>
                <w:rFonts w:hint="eastAsia" w:ascii="宋体" w:hAnsi="宋体" w:eastAsia="宋体" w:cs="宋体"/>
                <w:sz w:val="21"/>
                <w:szCs w:val="21"/>
              </w:rPr>
              <w:t>组织发起</w:t>
            </w:r>
            <w:r>
              <w:rPr>
                <w:rFonts w:hint="eastAsia" w:ascii="宋体" w:hAnsi="宋体" w:eastAsia="宋体" w:cs="宋体"/>
                <w:sz w:val="21"/>
                <w:szCs w:val="21"/>
                <w:vertAlign w:val="baseline"/>
                <w:lang w:eastAsia="zh-CN"/>
              </w:rPr>
              <w:t>（法规科牵头）</w:t>
            </w:r>
          </w:p>
        </w:tc>
        <w:tc>
          <w:tcPr>
            <w:tcW w:w="1227"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市公</w:t>
            </w:r>
          </w:p>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管局</w:t>
            </w:r>
          </w:p>
        </w:tc>
        <w:tc>
          <w:tcPr>
            <w:tcW w:w="94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中标人</w:t>
            </w:r>
          </w:p>
        </w:tc>
        <w:tc>
          <w:tcPr>
            <w:tcW w:w="1677"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2024年在</w:t>
            </w:r>
            <w:r>
              <w:rPr>
                <w:rFonts w:hint="eastAsia" w:ascii="宋体" w:hAnsi="宋体" w:eastAsia="宋体" w:cs="宋体"/>
                <w:i w:val="0"/>
                <w:caps w:val="0"/>
                <w:color w:val="000000"/>
                <w:spacing w:val="0"/>
                <w:kern w:val="0"/>
                <w:sz w:val="21"/>
                <w:szCs w:val="21"/>
                <w:shd w:val="clear" w:color="auto" w:fill="FFFFFF"/>
                <w:lang w:val="en-US" w:eastAsia="zh-CN" w:bidi="ar"/>
              </w:rPr>
              <w:t>市平台交易的政府性投资建设工程项目数</w:t>
            </w:r>
          </w:p>
        </w:tc>
        <w:tc>
          <w:tcPr>
            <w:tcW w:w="134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不低于25%</w:t>
            </w:r>
          </w:p>
        </w:tc>
        <w:tc>
          <w:tcPr>
            <w:tcW w:w="225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3月份完成一季度应检查项目数，4月份以后，每月按照不低于上月</w:t>
            </w:r>
            <w:r>
              <w:rPr>
                <w:rFonts w:hint="eastAsia" w:ascii="宋体" w:hAnsi="宋体" w:eastAsia="宋体" w:cs="宋体"/>
                <w:i w:val="0"/>
                <w:caps w:val="0"/>
                <w:color w:val="000000"/>
                <w:spacing w:val="0"/>
                <w:kern w:val="0"/>
                <w:sz w:val="21"/>
                <w:szCs w:val="21"/>
                <w:shd w:val="clear" w:color="auto" w:fill="FFFFFF"/>
                <w:lang w:val="en-US" w:eastAsia="zh-CN" w:bidi="ar"/>
              </w:rPr>
              <w:t>在市平台交易的政府性投资建设工程项目数的25%开展监督检查。</w:t>
            </w:r>
          </w:p>
        </w:tc>
        <w:tc>
          <w:tcPr>
            <w:tcW w:w="103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after="0" w:afterLines="0" w:line="32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可以市县联动或市级相关部门联合检查。</w:t>
            </w:r>
          </w:p>
        </w:tc>
      </w:tr>
    </w:tbl>
    <w:p>
      <w:pPr>
        <w:widowControl/>
        <w:shd w:val="clear" w:color="auto" w:fill="FFFFFF"/>
        <w:spacing w:line="400" w:lineRule="exact"/>
        <w:jc w:val="left"/>
        <w:rPr>
          <w:rFonts w:ascii="黑体" w:hAnsi="黑体" w:eastAsia="黑体"/>
        </w:rPr>
      </w:pPr>
      <w:r>
        <w:rPr>
          <w:rFonts w:ascii="黑体" w:hAnsi="黑体" w:eastAsia="黑体"/>
        </w:rPr>
        <w:t>附件</w:t>
      </w:r>
      <w:r>
        <w:rPr>
          <w:rFonts w:hint="eastAsia" w:ascii="黑体" w:hAnsi="黑体" w:eastAsia="黑体"/>
        </w:rPr>
        <w:t>3</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抽查</w:t>
      </w:r>
      <w:r>
        <w:rPr>
          <w:rFonts w:hint="eastAsia" w:ascii="方正小标宋简体" w:hAnsi="方正小标宋简体" w:eastAsia="方正小标宋简体" w:cs="方正小标宋简体"/>
          <w:sz w:val="44"/>
          <w:szCs w:val="44"/>
        </w:rPr>
        <w:t>任务开展情况统计表</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both"/>
        <w:textAlignment w:val="auto"/>
        <w:rPr>
          <w:rFonts w:ascii="方正小标宋简体" w:eastAsia="方正小标宋简体"/>
          <w:sz w:val="44"/>
          <w:szCs w:val="44"/>
        </w:rPr>
      </w:pP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3"/>
        <w:gridCol w:w="1874"/>
        <w:gridCol w:w="2305"/>
        <w:gridCol w:w="1728"/>
        <w:gridCol w:w="1874"/>
        <w:gridCol w:w="1728"/>
        <w:gridCol w:w="1728"/>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873" w:type="pct"/>
            <w:noWrap w:val="0"/>
            <w:vAlign w:val="center"/>
          </w:tcPr>
          <w:p>
            <w:pPr>
              <w:spacing w:line="420" w:lineRule="exact"/>
              <w:jc w:val="center"/>
              <w:rPr>
                <w:rFonts w:ascii="黑体" w:hAnsi="黑体" w:eastAsia="黑体"/>
                <w:szCs w:val="32"/>
              </w:rPr>
            </w:pPr>
            <w:r>
              <w:rPr>
                <w:rFonts w:hint="eastAsia" w:ascii="黑体" w:hAnsi="黑体" w:eastAsia="黑体"/>
                <w:szCs w:val="32"/>
              </w:rPr>
              <w:t>抽查任务名称</w:t>
            </w:r>
          </w:p>
        </w:tc>
        <w:tc>
          <w:tcPr>
            <w:tcW w:w="631" w:type="pct"/>
            <w:noWrap w:val="0"/>
            <w:vAlign w:val="center"/>
          </w:tcPr>
          <w:p>
            <w:pPr>
              <w:spacing w:line="420" w:lineRule="exact"/>
              <w:jc w:val="center"/>
              <w:rPr>
                <w:rFonts w:ascii="黑体" w:hAnsi="黑体" w:eastAsia="黑体"/>
                <w:szCs w:val="32"/>
              </w:rPr>
            </w:pPr>
            <w:r>
              <w:rPr>
                <w:rFonts w:hint="eastAsia" w:ascii="黑体" w:hAnsi="黑体" w:eastAsia="黑体"/>
                <w:szCs w:val="32"/>
              </w:rPr>
              <w:t>任务开展</w:t>
            </w:r>
          </w:p>
          <w:p>
            <w:pPr>
              <w:spacing w:line="420" w:lineRule="exact"/>
              <w:jc w:val="center"/>
              <w:rPr>
                <w:rFonts w:ascii="黑体" w:hAnsi="黑体" w:eastAsia="黑体"/>
                <w:szCs w:val="32"/>
              </w:rPr>
            </w:pPr>
            <w:r>
              <w:rPr>
                <w:rFonts w:hint="eastAsia" w:ascii="黑体" w:hAnsi="黑体" w:eastAsia="黑体"/>
                <w:szCs w:val="32"/>
              </w:rPr>
              <w:t>完成情况</w:t>
            </w:r>
          </w:p>
        </w:tc>
        <w:tc>
          <w:tcPr>
            <w:tcW w:w="776" w:type="pct"/>
            <w:noWrap w:val="0"/>
            <w:vAlign w:val="center"/>
          </w:tcPr>
          <w:p>
            <w:pPr>
              <w:spacing w:line="420" w:lineRule="exact"/>
              <w:jc w:val="center"/>
              <w:rPr>
                <w:rFonts w:ascii="黑体" w:hAnsi="黑体" w:eastAsia="黑体"/>
                <w:szCs w:val="32"/>
              </w:rPr>
            </w:pPr>
            <w:r>
              <w:rPr>
                <w:rFonts w:hint="eastAsia" w:ascii="黑体" w:hAnsi="黑体" w:eastAsia="黑体"/>
                <w:szCs w:val="32"/>
              </w:rPr>
              <w:t>累计抽查企业（户数）</w:t>
            </w:r>
          </w:p>
        </w:tc>
        <w:tc>
          <w:tcPr>
            <w:tcW w:w="582" w:type="pct"/>
            <w:noWrap w:val="0"/>
            <w:vAlign w:val="center"/>
          </w:tcPr>
          <w:p>
            <w:pPr>
              <w:spacing w:line="420" w:lineRule="exact"/>
              <w:jc w:val="center"/>
              <w:rPr>
                <w:rFonts w:ascii="黑体" w:hAnsi="黑体" w:eastAsia="黑体"/>
                <w:szCs w:val="32"/>
              </w:rPr>
            </w:pPr>
            <w:r>
              <w:rPr>
                <w:rFonts w:hint="eastAsia" w:ascii="黑体" w:hAnsi="黑体" w:eastAsia="黑体"/>
                <w:szCs w:val="32"/>
              </w:rPr>
              <w:t>发现问题（户数）</w:t>
            </w:r>
          </w:p>
        </w:tc>
        <w:tc>
          <w:tcPr>
            <w:tcW w:w="631" w:type="pct"/>
            <w:noWrap w:val="0"/>
            <w:vAlign w:val="center"/>
          </w:tcPr>
          <w:p>
            <w:pPr>
              <w:spacing w:line="420" w:lineRule="exact"/>
              <w:jc w:val="center"/>
              <w:rPr>
                <w:rFonts w:ascii="黑体" w:hAnsi="黑体" w:eastAsia="黑体"/>
                <w:szCs w:val="32"/>
              </w:rPr>
            </w:pPr>
            <w:r>
              <w:rPr>
                <w:rFonts w:hint="eastAsia" w:ascii="黑体" w:hAnsi="黑体" w:eastAsia="黑体"/>
                <w:szCs w:val="32"/>
              </w:rPr>
              <w:t>责令整改（户数）</w:t>
            </w:r>
          </w:p>
        </w:tc>
        <w:tc>
          <w:tcPr>
            <w:tcW w:w="582" w:type="pct"/>
            <w:noWrap w:val="0"/>
            <w:vAlign w:val="center"/>
          </w:tcPr>
          <w:p>
            <w:pPr>
              <w:spacing w:line="420" w:lineRule="exact"/>
              <w:jc w:val="center"/>
              <w:rPr>
                <w:rFonts w:ascii="黑体" w:hAnsi="黑体" w:eastAsia="黑体"/>
                <w:szCs w:val="32"/>
              </w:rPr>
            </w:pPr>
            <w:r>
              <w:rPr>
                <w:rFonts w:hint="eastAsia" w:ascii="黑体" w:hAnsi="黑体" w:eastAsia="黑体"/>
                <w:szCs w:val="32"/>
              </w:rPr>
              <w:t>立案调查（户数）</w:t>
            </w:r>
          </w:p>
        </w:tc>
        <w:tc>
          <w:tcPr>
            <w:tcW w:w="582" w:type="pct"/>
            <w:noWrap w:val="0"/>
            <w:vAlign w:val="center"/>
          </w:tcPr>
          <w:p>
            <w:pPr>
              <w:spacing w:line="420" w:lineRule="exact"/>
              <w:jc w:val="center"/>
              <w:rPr>
                <w:rFonts w:ascii="黑体" w:hAnsi="黑体" w:eastAsia="黑体"/>
                <w:szCs w:val="32"/>
              </w:rPr>
            </w:pPr>
            <w:r>
              <w:rPr>
                <w:rFonts w:hint="eastAsia" w:ascii="黑体" w:hAnsi="黑体" w:eastAsia="黑体"/>
                <w:szCs w:val="32"/>
              </w:rPr>
              <w:t>结果公示</w:t>
            </w:r>
          </w:p>
          <w:p>
            <w:pPr>
              <w:spacing w:line="420" w:lineRule="exact"/>
              <w:jc w:val="center"/>
              <w:rPr>
                <w:rFonts w:ascii="黑体" w:hAnsi="黑体" w:eastAsia="黑体"/>
                <w:szCs w:val="32"/>
              </w:rPr>
            </w:pPr>
            <w:r>
              <w:rPr>
                <w:rFonts w:hint="eastAsia" w:ascii="黑体" w:hAnsi="黑体" w:eastAsia="黑体"/>
                <w:szCs w:val="32"/>
              </w:rPr>
              <w:t>（户数）</w:t>
            </w:r>
          </w:p>
        </w:tc>
        <w:tc>
          <w:tcPr>
            <w:tcW w:w="339" w:type="pct"/>
            <w:noWrap w:val="0"/>
            <w:vAlign w:val="center"/>
          </w:tcPr>
          <w:p>
            <w:pPr>
              <w:spacing w:line="420" w:lineRule="exact"/>
              <w:jc w:val="center"/>
              <w:rPr>
                <w:rFonts w:ascii="黑体" w:hAnsi="黑体" w:eastAsia="黑体"/>
                <w:szCs w:val="32"/>
              </w:rPr>
            </w:pPr>
            <w:r>
              <w:rPr>
                <w:rFonts w:hint="eastAsia" w:ascii="黑体" w:hAnsi="黑体" w:eastAsia="黑体"/>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873" w:type="pct"/>
            <w:noWrap w:val="0"/>
            <w:vAlign w:val="top"/>
          </w:tcPr>
          <w:p>
            <w:pPr>
              <w:spacing w:line="620" w:lineRule="exact"/>
              <w:rPr>
                <w:rFonts w:ascii="仿宋_GB2312"/>
                <w:szCs w:val="32"/>
              </w:rPr>
            </w:pPr>
          </w:p>
        </w:tc>
        <w:tc>
          <w:tcPr>
            <w:tcW w:w="631" w:type="pct"/>
            <w:noWrap w:val="0"/>
            <w:vAlign w:val="top"/>
          </w:tcPr>
          <w:p>
            <w:pPr>
              <w:spacing w:line="620" w:lineRule="exact"/>
              <w:rPr>
                <w:rFonts w:ascii="仿宋_GB2312"/>
                <w:szCs w:val="32"/>
              </w:rPr>
            </w:pPr>
          </w:p>
        </w:tc>
        <w:tc>
          <w:tcPr>
            <w:tcW w:w="776" w:type="pct"/>
            <w:noWrap w:val="0"/>
            <w:vAlign w:val="top"/>
          </w:tcPr>
          <w:p>
            <w:pPr>
              <w:spacing w:line="620" w:lineRule="exact"/>
              <w:rPr>
                <w:rFonts w:ascii="仿宋_GB2312"/>
                <w:szCs w:val="32"/>
              </w:rPr>
            </w:pPr>
          </w:p>
        </w:tc>
        <w:tc>
          <w:tcPr>
            <w:tcW w:w="582" w:type="pct"/>
            <w:noWrap w:val="0"/>
            <w:vAlign w:val="top"/>
          </w:tcPr>
          <w:p>
            <w:pPr>
              <w:spacing w:line="620" w:lineRule="exact"/>
              <w:rPr>
                <w:rFonts w:ascii="仿宋_GB2312"/>
                <w:szCs w:val="32"/>
              </w:rPr>
            </w:pPr>
          </w:p>
        </w:tc>
        <w:tc>
          <w:tcPr>
            <w:tcW w:w="631" w:type="pct"/>
            <w:noWrap w:val="0"/>
            <w:vAlign w:val="top"/>
          </w:tcPr>
          <w:p>
            <w:pPr>
              <w:spacing w:line="620" w:lineRule="exact"/>
              <w:rPr>
                <w:rFonts w:ascii="仿宋_GB2312"/>
                <w:szCs w:val="32"/>
              </w:rPr>
            </w:pPr>
          </w:p>
        </w:tc>
        <w:tc>
          <w:tcPr>
            <w:tcW w:w="582" w:type="pct"/>
            <w:noWrap w:val="0"/>
            <w:vAlign w:val="top"/>
          </w:tcPr>
          <w:p>
            <w:pPr>
              <w:spacing w:line="620" w:lineRule="exact"/>
              <w:rPr>
                <w:rFonts w:ascii="仿宋_GB2312"/>
                <w:szCs w:val="32"/>
              </w:rPr>
            </w:pPr>
          </w:p>
        </w:tc>
        <w:tc>
          <w:tcPr>
            <w:tcW w:w="582" w:type="pct"/>
            <w:noWrap w:val="0"/>
            <w:vAlign w:val="top"/>
          </w:tcPr>
          <w:p>
            <w:pPr>
              <w:spacing w:line="620" w:lineRule="exact"/>
              <w:rPr>
                <w:rFonts w:ascii="仿宋_GB2312"/>
                <w:szCs w:val="32"/>
              </w:rPr>
            </w:pPr>
          </w:p>
        </w:tc>
        <w:tc>
          <w:tcPr>
            <w:tcW w:w="339" w:type="pct"/>
            <w:noWrap w:val="0"/>
            <w:vAlign w:val="top"/>
          </w:tcPr>
          <w:p>
            <w:pPr>
              <w:spacing w:line="620" w:lineRule="exact"/>
              <w:rPr>
                <w:rFonts w:ascii="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873" w:type="pct"/>
            <w:noWrap w:val="0"/>
            <w:vAlign w:val="top"/>
          </w:tcPr>
          <w:p>
            <w:pPr>
              <w:spacing w:line="620" w:lineRule="exact"/>
              <w:rPr>
                <w:rFonts w:ascii="仿宋_GB2312"/>
                <w:szCs w:val="32"/>
              </w:rPr>
            </w:pPr>
          </w:p>
        </w:tc>
        <w:tc>
          <w:tcPr>
            <w:tcW w:w="631" w:type="pct"/>
            <w:noWrap w:val="0"/>
            <w:vAlign w:val="top"/>
          </w:tcPr>
          <w:p>
            <w:pPr>
              <w:spacing w:line="620" w:lineRule="exact"/>
              <w:rPr>
                <w:rFonts w:ascii="仿宋_GB2312"/>
                <w:szCs w:val="32"/>
              </w:rPr>
            </w:pPr>
          </w:p>
        </w:tc>
        <w:tc>
          <w:tcPr>
            <w:tcW w:w="776" w:type="pct"/>
            <w:noWrap w:val="0"/>
            <w:vAlign w:val="top"/>
          </w:tcPr>
          <w:p>
            <w:pPr>
              <w:spacing w:line="620" w:lineRule="exact"/>
              <w:rPr>
                <w:rFonts w:ascii="仿宋_GB2312"/>
                <w:szCs w:val="32"/>
              </w:rPr>
            </w:pPr>
          </w:p>
        </w:tc>
        <w:tc>
          <w:tcPr>
            <w:tcW w:w="582" w:type="pct"/>
            <w:noWrap w:val="0"/>
            <w:vAlign w:val="top"/>
          </w:tcPr>
          <w:p>
            <w:pPr>
              <w:spacing w:line="620" w:lineRule="exact"/>
              <w:rPr>
                <w:rFonts w:ascii="仿宋_GB2312"/>
                <w:szCs w:val="32"/>
              </w:rPr>
            </w:pPr>
          </w:p>
        </w:tc>
        <w:tc>
          <w:tcPr>
            <w:tcW w:w="631" w:type="pct"/>
            <w:noWrap w:val="0"/>
            <w:vAlign w:val="top"/>
          </w:tcPr>
          <w:p>
            <w:pPr>
              <w:spacing w:line="620" w:lineRule="exact"/>
              <w:rPr>
                <w:rFonts w:ascii="仿宋_GB2312"/>
                <w:szCs w:val="32"/>
              </w:rPr>
            </w:pPr>
          </w:p>
        </w:tc>
        <w:tc>
          <w:tcPr>
            <w:tcW w:w="582" w:type="pct"/>
            <w:noWrap w:val="0"/>
            <w:vAlign w:val="top"/>
          </w:tcPr>
          <w:p>
            <w:pPr>
              <w:spacing w:line="620" w:lineRule="exact"/>
              <w:rPr>
                <w:rFonts w:ascii="仿宋_GB2312"/>
                <w:szCs w:val="32"/>
              </w:rPr>
            </w:pPr>
          </w:p>
        </w:tc>
        <w:tc>
          <w:tcPr>
            <w:tcW w:w="582" w:type="pct"/>
            <w:noWrap w:val="0"/>
            <w:vAlign w:val="top"/>
          </w:tcPr>
          <w:p>
            <w:pPr>
              <w:spacing w:line="620" w:lineRule="exact"/>
              <w:rPr>
                <w:rFonts w:ascii="仿宋_GB2312"/>
                <w:szCs w:val="32"/>
              </w:rPr>
            </w:pPr>
          </w:p>
        </w:tc>
        <w:tc>
          <w:tcPr>
            <w:tcW w:w="339" w:type="pct"/>
            <w:noWrap w:val="0"/>
            <w:vAlign w:val="top"/>
          </w:tcPr>
          <w:p>
            <w:pPr>
              <w:spacing w:line="620" w:lineRule="exact"/>
              <w:rPr>
                <w:rFonts w:ascii="仿宋_GB2312"/>
                <w:szCs w:val="32"/>
              </w:rPr>
            </w:pPr>
          </w:p>
        </w:tc>
      </w:tr>
    </w:tbl>
    <w:p>
      <w:pPr>
        <w:spacing w:beforeLines="50"/>
        <w:ind w:firstLine="480" w:firstLineChars="200"/>
        <w:rPr>
          <w:rFonts w:ascii="仿宋_GB2312"/>
          <w:sz w:val="24"/>
          <w:szCs w:val="24"/>
        </w:rPr>
      </w:pPr>
      <w:r>
        <w:rPr>
          <w:rFonts w:hint="eastAsia" w:ascii="仿宋_GB2312"/>
          <w:sz w:val="24"/>
          <w:szCs w:val="24"/>
        </w:rPr>
        <w:t>注：抽查任务名称应对照年度抽查工作计划填写；任务完成情况请填写“全面完成”、“未按时完成”；未按时完成的任务，请备注原因。</w:t>
      </w:r>
    </w:p>
    <w:p>
      <w:pPr>
        <w:spacing w:line="500" w:lineRule="exact"/>
        <w:jc w:val="left"/>
      </w:pPr>
    </w:p>
    <w:sectPr>
      <w:footerReference r:id="rId5" w:type="default"/>
      <w:pgSz w:w="16838" w:h="11906" w:orient="landscape"/>
      <w:pgMar w:top="1418" w:right="1134" w:bottom="1418" w:left="107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altName w:val="方正黑体_GBK"/>
    <w:panose1 w:val="02000500000000000000"/>
    <w:charset w:val="00"/>
    <w:family w:val="auto"/>
    <w:pitch w:val="default"/>
    <w:sig w:usb0="00000000" w:usb1="00000000" w:usb2="00000000" w:usb3="00000000" w:csb0="00060007"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altName w:val="宋体"/>
    <w:panose1 w:val="0201080004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txbxContent>
              </v:textbox>
            </v:shape>
          </w:pict>
        </mc:Fallback>
      </mc:AlternateContent>
    </w:r>
  </w:p>
  <w:p>
    <w:pPr>
      <w:pStyle w:val="6"/>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2g7GfHAQAAewMAAA4AAABkcnMv&#10;ZTJvRG9jLnhtbK1TS44TMRTcI3EHy3viTi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V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N2g7GfHAQAAewMAAA4AAAAAAAAA&#10;AQAgAAAANAEAAGRycy9lMm9Eb2MueG1sUEsFBgAAAAAGAAYAWQEAAG0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oQ4lMSICAAA3BAAADgAAAAAAAAABACAAAAA1AQAAZHJzL2Uyb0RvYy54&#10;bWxQSwUGAAAAAAYABgBZAQAAyQUAAAAA&#10;">
              <v:fill on="f" focussize="0,0"/>
              <v:stroke on="f" weight="0.5pt"/>
              <v:imagedata o:title=""/>
              <o:lock v:ext="edit" aspectratio="f"/>
              <v:textbox inset="0mm,0mm,0mm,0mm" style="mso-fit-shape-to-text:t;">
                <w:txbx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2"/>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18"/>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31BB8"/>
    <w:rsid w:val="048B745C"/>
    <w:rsid w:val="064D5098"/>
    <w:rsid w:val="067D365B"/>
    <w:rsid w:val="094206D8"/>
    <w:rsid w:val="0B9335DA"/>
    <w:rsid w:val="0FFF219B"/>
    <w:rsid w:val="17FFDE73"/>
    <w:rsid w:val="1BDBAE31"/>
    <w:rsid w:val="1CFF2E34"/>
    <w:rsid w:val="1D79984F"/>
    <w:rsid w:val="1FBE85BD"/>
    <w:rsid w:val="1FF39B48"/>
    <w:rsid w:val="25D02C7B"/>
    <w:rsid w:val="26DF0C9E"/>
    <w:rsid w:val="26EF06FE"/>
    <w:rsid w:val="27BD863C"/>
    <w:rsid w:val="2B1F6713"/>
    <w:rsid w:val="2BFC44FC"/>
    <w:rsid w:val="2E5362D0"/>
    <w:rsid w:val="2EDCD95D"/>
    <w:rsid w:val="2F462270"/>
    <w:rsid w:val="2F4F23C9"/>
    <w:rsid w:val="2FD90D84"/>
    <w:rsid w:val="2FFF3DE2"/>
    <w:rsid w:val="31FFF519"/>
    <w:rsid w:val="34B6E8DB"/>
    <w:rsid w:val="34FF5A97"/>
    <w:rsid w:val="35E04896"/>
    <w:rsid w:val="377EBD36"/>
    <w:rsid w:val="390A6409"/>
    <w:rsid w:val="3AACC09B"/>
    <w:rsid w:val="3AEF1870"/>
    <w:rsid w:val="3DF72EB1"/>
    <w:rsid w:val="3EEF81B5"/>
    <w:rsid w:val="3F5398E2"/>
    <w:rsid w:val="3F9DBE20"/>
    <w:rsid w:val="3FCB5696"/>
    <w:rsid w:val="3FCC04F8"/>
    <w:rsid w:val="3FE3CD4C"/>
    <w:rsid w:val="3FF67FD7"/>
    <w:rsid w:val="3FF74EA8"/>
    <w:rsid w:val="40AB2FE4"/>
    <w:rsid w:val="453A2767"/>
    <w:rsid w:val="46FFF3F5"/>
    <w:rsid w:val="493556E9"/>
    <w:rsid w:val="4B763EA4"/>
    <w:rsid w:val="4BDF8254"/>
    <w:rsid w:val="4DFF91E5"/>
    <w:rsid w:val="4E1E02EE"/>
    <w:rsid w:val="4EB5B24A"/>
    <w:rsid w:val="4EFF3835"/>
    <w:rsid w:val="4F3FFB68"/>
    <w:rsid w:val="52FBD1AA"/>
    <w:rsid w:val="5565CDF0"/>
    <w:rsid w:val="57EF4BFD"/>
    <w:rsid w:val="589DDB55"/>
    <w:rsid w:val="59367C09"/>
    <w:rsid w:val="596C069B"/>
    <w:rsid w:val="59FF06F3"/>
    <w:rsid w:val="5A7D4C53"/>
    <w:rsid w:val="5AEF3816"/>
    <w:rsid w:val="5AF51B23"/>
    <w:rsid w:val="5B6F9EA4"/>
    <w:rsid w:val="5B9A9DF0"/>
    <w:rsid w:val="5BB3BE82"/>
    <w:rsid w:val="5BFF3E54"/>
    <w:rsid w:val="5DBD1F01"/>
    <w:rsid w:val="5DFBC931"/>
    <w:rsid w:val="5DFBF183"/>
    <w:rsid w:val="5E3B9D0E"/>
    <w:rsid w:val="5EEF5AB9"/>
    <w:rsid w:val="5F1A69A4"/>
    <w:rsid w:val="5F5434E4"/>
    <w:rsid w:val="5F5BBF66"/>
    <w:rsid w:val="5F75F967"/>
    <w:rsid w:val="5FBD0E25"/>
    <w:rsid w:val="5FF5E53E"/>
    <w:rsid w:val="5FFC26FD"/>
    <w:rsid w:val="609E54CA"/>
    <w:rsid w:val="635F2EDE"/>
    <w:rsid w:val="63719CB5"/>
    <w:rsid w:val="63E9EDC1"/>
    <w:rsid w:val="64FF9232"/>
    <w:rsid w:val="658057EC"/>
    <w:rsid w:val="69BB44B5"/>
    <w:rsid w:val="69F604F9"/>
    <w:rsid w:val="6A6D090B"/>
    <w:rsid w:val="6AFF674A"/>
    <w:rsid w:val="6B43DDD3"/>
    <w:rsid w:val="6BF309AC"/>
    <w:rsid w:val="6BFFEB44"/>
    <w:rsid w:val="6DB3F7DF"/>
    <w:rsid w:val="6DD6495C"/>
    <w:rsid w:val="6DDEAAFC"/>
    <w:rsid w:val="6DDF0542"/>
    <w:rsid w:val="6DF46479"/>
    <w:rsid w:val="6DFFBACB"/>
    <w:rsid w:val="6EB79653"/>
    <w:rsid w:val="6EFE006B"/>
    <w:rsid w:val="6EFEA589"/>
    <w:rsid w:val="6EFFABF2"/>
    <w:rsid w:val="6FBE1CCC"/>
    <w:rsid w:val="6FFBEFA0"/>
    <w:rsid w:val="6FFD1DA3"/>
    <w:rsid w:val="6FFEAA91"/>
    <w:rsid w:val="73D5CEE1"/>
    <w:rsid w:val="73DBD302"/>
    <w:rsid w:val="73FE17D8"/>
    <w:rsid w:val="75DF9304"/>
    <w:rsid w:val="75FB14A4"/>
    <w:rsid w:val="76F52276"/>
    <w:rsid w:val="76FF63A5"/>
    <w:rsid w:val="77BEA800"/>
    <w:rsid w:val="77D62805"/>
    <w:rsid w:val="77F3B494"/>
    <w:rsid w:val="77F73F4A"/>
    <w:rsid w:val="799BF032"/>
    <w:rsid w:val="79BEFCB2"/>
    <w:rsid w:val="79FF7D5F"/>
    <w:rsid w:val="7A07A7A8"/>
    <w:rsid w:val="7A7D206D"/>
    <w:rsid w:val="7ACF288B"/>
    <w:rsid w:val="7ADF2A43"/>
    <w:rsid w:val="7B37CEF5"/>
    <w:rsid w:val="7B7B9534"/>
    <w:rsid w:val="7B7F4331"/>
    <w:rsid w:val="7BB12C1C"/>
    <w:rsid w:val="7BBF4814"/>
    <w:rsid w:val="7BBF8FC9"/>
    <w:rsid w:val="7BC3692D"/>
    <w:rsid w:val="7BCF187C"/>
    <w:rsid w:val="7CEF0DE8"/>
    <w:rsid w:val="7D590749"/>
    <w:rsid w:val="7D7FDDD0"/>
    <w:rsid w:val="7DDFDB06"/>
    <w:rsid w:val="7DF7736F"/>
    <w:rsid w:val="7DFCDCB4"/>
    <w:rsid w:val="7E3D92AA"/>
    <w:rsid w:val="7E7D6F28"/>
    <w:rsid w:val="7E7F09DF"/>
    <w:rsid w:val="7E7F4EBA"/>
    <w:rsid w:val="7EA7EA9D"/>
    <w:rsid w:val="7EB94BA4"/>
    <w:rsid w:val="7ED22722"/>
    <w:rsid w:val="7EEE2436"/>
    <w:rsid w:val="7EFB4AAD"/>
    <w:rsid w:val="7EFBABFE"/>
    <w:rsid w:val="7F23474E"/>
    <w:rsid w:val="7F3BB9DC"/>
    <w:rsid w:val="7F5FEC6E"/>
    <w:rsid w:val="7F767C58"/>
    <w:rsid w:val="7F76D788"/>
    <w:rsid w:val="7F7D22F7"/>
    <w:rsid w:val="7F8FDA39"/>
    <w:rsid w:val="7FDED7B1"/>
    <w:rsid w:val="7FE42A05"/>
    <w:rsid w:val="7FEA129E"/>
    <w:rsid w:val="7FED0D49"/>
    <w:rsid w:val="7FEFE917"/>
    <w:rsid w:val="7FF5B3B3"/>
    <w:rsid w:val="7FF6AA02"/>
    <w:rsid w:val="7FFDE400"/>
    <w:rsid w:val="7FFF2D24"/>
    <w:rsid w:val="7FFFA580"/>
    <w:rsid w:val="87FF7569"/>
    <w:rsid w:val="8FBF05CF"/>
    <w:rsid w:val="93F709A5"/>
    <w:rsid w:val="97DBA2D8"/>
    <w:rsid w:val="99A70D11"/>
    <w:rsid w:val="9E77FAEC"/>
    <w:rsid w:val="9E8AD08E"/>
    <w:rsid w:val="9F7E52DD"/>
    <w:rsid w:val="9FFF753F"/>
    <w:rsid w:val="A6F5FE35"/>
    <w:rsid w:val="A7FBF6F3"/>
    <w:rsid w:val="ABC65126"/>
    <w:rsid w:val="ACFF5498"/>
    <w:rsid w:val="AEBD690F"/>
    <w:rsid w:val="B36F749C"/>
    <w:rsid w:val="B3BCECD7"/>
    <w:rsid w:val="B5A3FC45"/>
    <w:rsid w:val="B6039DC9"/>
    <w:rsid w:val="B7D10615"/>
    <w:rsid w:val="B8E7E09D"/>
    <w:rsid w:val="BACFB87C"/>
    <w:rsid w:val="BBEF0CDD"/>
    <w:rsid w:val="BBEF4991"/>
    <w:rsid w:val="BBF34E99"/>
    <w:rsid w:val="BC57337C"/>
    <w:rsid w:val="BD705757"/>
    <w:rsid w:val="BE5C85CD"/>
    <w:rsid w:val="BEFF6CAC"/>
    <w:rsid w:val="BF187CBE"/>
    <w:rsid w:val="BF7BB4E2"/>
    <w:rsid w:val="BFAFCFF5"/>
    <w:rsid w:val="BFCF4013"/>
    <w:rsid w:val="BFEB89A4"/>
    <w:rsid w:val="BFFD6C8F"/>
    <w:rsid w:val="BFFD9604"/>
    <w:rsid w:val="BFFE9DBA"/>
    <w:rsid w:val="C5FB81F6"/>
    <w:rsid w:val="C7CFEB3F"/>
    <w:rsid w:val="C85F3C02"/>
    <w:rsid w:val="C8FF0A0B"/>
    <w:rsid w:val="CFBF9D96"/>
    <w:rsid w:val="D32BE94B"/>
    <w:rsid w:val="D5EF81DC"/>
    <w:rsid w:val="D5FE76C0"/>
    <w:rsid w:val="D7575A35"/>
    <w:rsid w:val="D799E6D5"/>
    <w:rsid w:val="D7BAB4AE"/>
    <w:rsid w:val="D7BF8BE6"/>
    <w:rsid w:val="D97D7051"/>
    <w:rsid w:val="DAFDE49B"/>
    <w:rsid w:val="DB3FF234"/>
    <w:rsid w:val="DB7F4E65"/>
    <w:rsid w:val="DBC3A7BC"/>
    <w:rsid w:val="DBCFDA66"/>
    <w:rsid w:val="DCFD9B03"/>
    <w:rsid w:val="DDFF860A"/>
    <w:rsid w:val="DECB7000"/>
    <w:rsid w:val="DEFCCC3F"/>
    <w:rsid w:val="DF7B638A"/>
    <w:rsid w:val="DFBAC3AD"/>
    <w:rsid w:val="E079D6E4"/>
    <w:rsid w:val="E7B510D0"/>
    <w:rsid w:val="E7FE0676"/>
    <w:rsid w:val="EA7F84F5"/>
    <w:rsid w:val="EAAA071F"/>
    <w:rsid w:val="EABD19F6"/>
    <w:rsid w:val="EBF6229D"/>
    <w:rsid w:val="ECAF6BCD"/>
    <w:rsid w:val="EDB44E2D"/>
    <w:rsid w:val="EDFFC665"/>
    <w:rsid w:val="EEFC2F00"/>
    <w:rsid w:val="EF6BDAC3"/>
    <w:rsid w:val="EFF05278"/>
    <w:rsid w:val="EFF6FC1B"/>
    <w:rsid w:val="F13E201B"/>
    <w:rsid w:val="F2ECBECF"/>
    <w:rsid w:val="F3BC3854"/>
    <w:rsid w:val="F3FFA7EF"/>
    <w:rsid w:val="F5BE0267"/>
    <w:rsid w:val="F5FF408C"/>
    <w:rsid w:val="F6E7363F"/>
    <w:rsid w:val="F75A08CA"/>
    <w:rsid w:val="F7AE6AFD"/>
    <w:rsid w:val="F7DA2410"/>
    <w:rsid w:val="F7DFF743"/>
    <w:rsid w:val="F7E5D666"/>
    <w:rsid w:val="F7EE8E0B"/>
    <w:rsid w:val="FAFFC607"/>
    <w:rsid w:val="FB7768BC"/>
    <w:rsid w:val="FB7C2ECB"/>
    <w:rsid w:val="FBBFDC37"/>
    <w:rsid w:val="FBC3DB82"/>
    <w:rsid w:val="FBDECDDB"/>
    <w:rsid w:val="FBFF10E5"/>
    <w:rsid w:val="FC5FE3FE"/>
    <w:rsid w:val="FC851D0B"/>
    <w:rsid w:val="FC95D98A"/>
    <w:rsid w:val="FC9E8422"/>
    <w:rsid w:val="FCFD5FF8"/>
    <w:rsid w:val="FDAB2129"/>
    <w:rsid w:val="FDBA3981"/>
    <w:rsid w:val="FDDB7368"/>
    <w:rsid w:val="FDDFAA8C"/>
    <w:rsid w:val="FDFB6673"/>
    <w:rsid w:val="FDFE6A25"/>
    <w:rsid w:val="FDFF239D"/>
    <w:rsid w:val="FE7E7F3C"/>
    <w:rsid w:val="FEAFCABA"/>
    <w:rsid w:val="FEBC5BBA"/>
    <w:rsid w:val="FEBDCF1E"/>
    <w:rsid w:val="FEFF1240"/>
    <w:rsid w:val="FEFFD606"/>
    <w:rsid w:val="FF759054"/>
    <w:rsid w:val="FF79C456"/>
    <w:rsid w:val="FF7BC04E"/>
    <w:rsid w:val="FF7E54B4"/>
    <w:rsid w:val="FF9B2BD2"/>
    <w:rsid w:val="FFBAD0DD"/>
    <w:rsid w:val="FFBF3212"/>
    <w:rsid w:val="FFBF4AAE"/>
    <w:rsid w:val="FFCEA4A0"/>
    <w:rsid w:val="FFD7A79F"/>
    <w:rsid w:val="FFDC97AE"/>
    <w:rsid w:val="FFDDDE2A"/>
    <w:rsid w:val="FFDE5417"/>
    <w:rsid w:val="FFEA3F3F"/>
    <w:rsid w:val="FFF2450D"/>
    <w:rsid w:val="FFFB4669"/>
    <w:rsid w:val="FFFB9DF4"/>
    <w:rsid w:val="FFFBB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Arial"/>
      <w:sz w:val="28"/>
      <w:szCs w:val="20"/>
    </w:rPr>
  </w:style>
  <w:style w:type="paragraph" w:styleId="4">
    <w:name w:val="Body Text Indent"/>
    <w:basedOn w:val="1"/>
    <w:qFormat/>
    <w:uiPriority w:val="0"/>
    <w:pPr>
      <w:spacing w:after="120" w:afterLines="0" w:afterAutospacing="0"/>
      <w:ind w:left="420" w:leftChars="200"/>
    </w:pPr>
  </w:style>
  <w:style w:type="paragraph" w:styleId="5">
    <w:name w:val="Balloon Text"/>
    <w:basedOn w:val="1"/>
    <w:link w:val="12"/>
    <w:qFormat/>
    <w:uiPriority w:val="0"/>
    <w:rPr>
      <w:rFonts w:ascii="Times New Roman" w:hAnsi="Times New Roman" w:eastAsia="宋体" w:cs="Times New Roman"/>
      <w:sz w:val="18"/>
      <w:szCs w:val="18"/>
    </w:rPr>
  </w:style>
  <w:style w:type="paragraph" w:styleId="6">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Body Text First Indent 2"/>
    <w:basedOn w:val="4"/>
    <w:qFormat/>
    <w:uiPriority w:val="0"/>
    <w:pPr>
      <w:ind w:firstLine="420" w:firstLineChars="20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Times New Roman" w:hAnsi="Times New Roman" w:eastAsia="宋体" w:cs="Times New Roman"/>
      <w:sz w:val="18"/>
      <w:szCs w:val="18"/>
    </w:rPr>
  </w:style>
  <w:style w:type="character" w:customStyle="1" w:styleId="13">
    <w:name w:val="页脚 Char"/>
    <w:basedOn w:val="11"/>
    <w:link w:val="6"/>
    <w:qFormat/>
    <w:uiPriority w:val="0"/>
    <w:rPr>
      <w:rFonts w:ascii="Times New Roman" w:hAnsi="Times New Roman" w:eastAsia="宋体" w:cs="Times New Roman"/>
      <w:sz w:val="18"/>
      <w:szCs w:val="18"/>
    </w:rPr>
  </w:style>
  <w:style w:type="character" w:customStyle="1" w:styleId="14">
    <w:name w:val="页眉 Char"/>
    <w:basedOn w:val="11"/>
    <w:link w:val="7"/>
    <w:qFormat/>
    <w:uiPriority w:val="0"/>
    <w:rPr>
      <w:rFonts w:ascii="Times New Roman" w:hAnsi="Times New Roman" w:eastAsia="宋体" w:cs="Times New Roman"/>
      <w:sz w:val="18"/>
      <w:szCs w:val="18"/>
    </w:rPr>
  </w:style>
  <w:style w:type="character" w:customStyle="1" w:styleId="15">
    <w:name w:val="日期 Char"/>
    <w:basedOn w:val="11"/>
    <w:link w:val="16"/>
    <w:qFormat/>
    <w:uiPriority w:val="0"/>
    <w:rPr>
      <w:rFonts w:ascii="Times New Roman" w:hAnsi="Times New Roman" w:eastAsia="宋体" w:cs="Times New Roman"/>
      <w:szCs w:val="24"/>
    </w:rPr>
  </w:style>
  <w:style w:type="paragraph" w:customStyle="1" w:styleId="16">
    <w:name w:val="Date"/>
    <w:basedOn w:val="1"/>
    <w:next w:val="1"/>
    <w:link w:val="15"/>
    <w:qFormat/>
    <w:uiPriority w:val="0"/>
    <w:pPr>
      <w:ind w:left="100" w:leftChars="2500"/>
    </w:pPr>
    <w:rPr>
      <w:rFonts w:ascii="Times New Roman" w:hAnsi="Times New Roman" w:eastAsia="宋体" w:cs="Times New Roman"/>
      <w:szCs w:val="24"/>
    </w:rPr>
  </w:style>
  <w:style w:type="character" w:customStyle="1" w:styleId="17">
    <w:name w:val="纯文本 Char"/>
    <w:basedOn w:val="11"/>
    <w:link w:val="18"/>
    <w:qFormat/>
    <w:uiPriority w:val="0"/>
    <w:rPr>
      <w:rFonts w:ascii="宋体" w:hAnsi="Courier New" w:eastAsia="宋体" w:cs="Courier New"/>
      <w:szCs w:val="21"/>
    </w:rPr>
  </w:style>
  <w:style w:type="paragraph" w:customStyle="1" w:styleId="18">
    <w:name w:val="Plain Text"/>
    <w:basedOn w:val="1"/>
    <w:link w:val="17"/>
    <w:qFormat/>
    <w:uiPriority w:val="0"/>
    <w:rPr>
      <w:rFonts w:ascii="宋体" w:hAnsi="Courier New" w:eastAsia="宋体" w:cs="Courier New"/>
      <w:szCs w:val="21"/>
    </w:rPr>
  </w:style>
  <w:style w:type="paragraph" w:customStyle="1" w:styleId="19">
    <w:name w:val="List Paragraph"/>
    <w:basedOn w:val="1"/>
    <w:qFormat/>
    <w:uiPriority w:val="0"/>
    <w:pPr>
      <w:ind w:firstLine="420" w:firstLineChars="200"/>
    </w:pPr>
  </w:style>
  <w:style w:type="paragraph" w:customStyle="1" w:styleId="2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2233</Words>
  <Characters>2364</Characters>
  <Lines>25</Lines>
  <Paragraphs>7</Paragraphs>
  <TotalTime>8</TotalTime>
  <ScaleCrop>false</ScaleCrop>
  <LinksUpToDate>false</LinksUpToDate>
  <CharactersWithSpaces>2442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2021-01-06T06:52:00Z</dcterms:created>
  <dc:creator>黄士军</dc:creator>
  <cp:lastModifiedBy>uos</cp:lastModifiedBy>
  <cp:lastPrinted>2024-03-16T15:26:00Z</cp:lastPrinted>
  <dcterms:modified xsi:type="dcterms:W3CDTF">2024-05-10T17:50:10Z</dcterms:modified>
  <dc:title>崔爱民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D86DD78639734068B37C5C3540792A2B</vt:lpwstr>
  </property>
</Properties>
</file>