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1F4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44"/>
          <w:szCs w:val="44"/>
          <w:highlight w:val="none"/>
          <w:lang w:val="en-US" w:eastAsia="zh-CN"/>
        </w:rPr>
        <w:t>安徽省专家库培训考试系统用户使用手册</w:t>
      </w:r>
    </w:p>
    <w:p w14:paraId="13B27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sz w:val="20"/>
          <w:szCs w:val="20"/>
          <w:highlight w:val="none"/>
          <w:lang w:eastAsia="zh-CN"/>
        </w:rPr>
      </w:pPr>
      <w:r>
        <w:rPr>
          <w:rFonts w:hint="eastAsia" w:ascii="黑体" w:hAnsi="黑体" w:eastAsia="黑体" w:cs="黑体"/>
          <w:color w:val="auto"/>
          <w:sz w:val="44"/>
          <w:szCs w:val="44"/>
          <w:highlight w:val="none"/>
          <w:lang w:eastAsia="zh-CN"/>
        </w:rPr>
        <w:t>（</w:t>
      </w:r>
      <w:r>
        <w:rPr>
          <w:rFonts w:hint="eastAsia" w:ascii="黑体" w:hAnsi="黑体" w:eastAsia="黑体" w:cs="黑体"/>
          <w:color w:val="auto"/>
          <w:sz w:val="44"/>
          <w:szCs w:val="44"/>
          <w:highlight w:val="none"/>
          <w:lang w:val="en-US" w:eastAsia="zh-CN"/>
        </w:rPr>
        <w:t>专家</w:t>
      </w:r>
      <w:r>
        <w:rPr>
          <w:rFonts w:hint="eastAsia" w:ascii="黑体" w:hAnsi="黑体" w:eastAsia="黑体" w:cs="黑体"/>
          <w:color w:val="auto"/>
          <w:sz w:val="44"/>
          <w:szCs w:val="44"/>
          <w:highlight w:val="none"/>
          <w:lang w:eastAsia="zh-CN"/>
        </w:rPr>
        <w:t>）</w:t>
      </w:r>
    </w:p>
    <w:p w14:paraId="19BECE0B">
      <w:pPr>
        <w:ind w:firstLine="0" w:firstLineChars="0"/>
        <w:jc w:val="center"/>
        <w:rPr>
          <w:rFonts w:hint="eastAsia" w:ascii="黑体" w:hAnsi="黑体" w:eastAsia="黑体" w:cs="黑体"/>
          <w:color w:val="auto"/>
          <w:sz w:val="20"/>
          <w:szCs w:val="20"/>
          <w:highlight w:val="none"/>
          <w:lang w:eastAsia="zh-CN"/>
        </w:rPr>
      </w:pPr>
    </w:p>
    <w:sdt>
      <w:sdtPr>
        <w:rPr>
          <w:rFonts w:hint="eastAsia" w:ascii="黑体" w:hAnsi="黑体" w:eastAsia="黑体" w:cs="黑体"/>
          <w:color w:val="auto"/>
          <w:kern w:val="2"/>
          <w:sz w:val="20"/>
          <w:szCs w:val="20"/>
          <w:highlight w:val="none"/>
          <w:lang w:val="en-US" w:eastAsia="zh-CN" w:bidi="ar-SA"/>
        </w:rPr>
        <w:id w:val="233064511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color w:val="auto"/>
          <w:kern w:val="2"/>
          <w:sz w:val="20"/>
          <w:szCs w:val="20"/>
          <w:highlight w:val="none"/>
          <w:lang w:val="en-US" w:eastAsia="zh-CN" w:bidi="ar-SA"/>
        </w:rPr>
      </w:sdtEndPr>
      <w:sdtContent>
        <w:p w14:paraId="73789015">
          <w:pPr>
            <w:spacing w:before="0" w:after="0" w:line="240" w:lineRule="auto"/>
            <w:ind w:left="0" w:right="0" w:firstLine="0" w:firstLineChars="0"/>
            <w:jc w:val="center"/>
            <w:rPr>
              <w:rFonts w:hint="eastAsia" w:ascii="黑体" w:hAnsi="黑体" w:eastAsia="黑体" w:cs="黑体"/>
              <w:color w:val="auto"/>
              <w:kern w:val="2"/>
              <w:sz w:val="20"/>
              <w:szCs w:val="20"/>
              <w:highlight w:val="none"/>
              <w:lang w:val="en-US" w:eastAsia="zh-CN" w:bidi="ar-SA"/>
            </w:rPr>
          </w:pPr>
        </w:p>
        <w:p w14:paraId="678EFB18">
          <w:pPr>
            <w:spacing w:before="0" w:after="0" w:line="240" w:lineRule="auto"/>
            <w:ind w:left="0" w:right="0" w:firstLine="0" w:firstLineChars="0"/>
            <w:jc w:val="center"/>
            <w:rPr>
              <w:rFonts w:hint="eastAsia" w:ascii="黑体" w:hAnsi="黑体" w:eastAsia="黑体" w:cs="黑体"/>
              <w:color w:val="auto"/>
              <w:sz w:val="20"/>
              <w:szCs w:val="20"/>
              <w:highlight w:val="none"/>
            </w:rPr>
          </w:pPr>
          <w:r>
            <w:rPr>
              <w:rFonts w:hint="eastAsia" w:ascii="黑体" w:hAnsi="黑体" w:eastAsia="黑体" w:cs="黑体"/>
              <w:color w:val="auto"/>
              <w:sz w:val="20"/>
              <w:szCs w:val="20"/>
              <w:highlight w:val="none"/>
            </w:rPr>
            <w:t>目录</w:t>
          </w:r>
        </w:p>
        <w:p w14:paraId="4686E580">
          <w:pPr>
            <w:pStyle w:val="15"/>
            <w:tabs>
              <w:tab w:val="right" w:leader="dot" w:pos="963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="黑体" w:hAnsi="黑体" w:eastAsia="黑体" w:cs="黑体"/>
              <w:color w:val="auto"/>
              <w:sz w:val="20"/>
              <w:szCs w:val="20"/>
              <w:highlight w:val="none"/>
            </w:rPr>
            <w:fldChar w:fldCharType="begin"/>
          </w:r>
          <w:r>
            <w:rPr>
              <w:rFonts w:hint="eastAsia" w:ascii="黑体" w:hAnsi="黑体" w:eastAsia="黑体" w:cs="黑体"/>
              <w:color w:val="auto"/>
              <w:sz w:val="20"/>
              <w:szCs w:val="20"/>
              <w:highlight w:val="none"/>
            </w:rPr>
            <w:instrText xml:space="preserve">TOC \o "1-2" \h \u </w:instrText>
          </w:r>
          <w:r>
            <w:rPr>
              <w:rFonts w:hint="eastAsia" w:ascii="黑体" w:hAnsi="黑体" w:eastAsia="黑体" w:cs="黑体"/>
              <w:color w:val="auto"/>
              <w:sz w:val="20"/>
              <w:szCs w:val="20"/>
              <w:highlight w:val="none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instrText xml:space="preserve"> HYPERLINK \l _Toc23604 </w:instrTex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i w:val="0"/>
              <w:szCs w:val="20"/>
            </w:rPr>
            <w:t xml:space="preserve">1 </w: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t>电脑端</w: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  <w:lang w:val="en-US" w:eastAsia="zh-CN"/>
            </w:rPr>
            <w:t>培训考试</w: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t>使用手册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_Toc23604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- 1 -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end"/>
          </w:r>
        </w:p>
        <w:p w14:paraId="6BC0D7B4">
          <w:pPr>
            <w:pStyle w:val="17"/>
            <w:tabs>
              <w:tab w:val="right" w:leader="dot" w:pos="963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instrText xml:space="preserve"> HYPERLINK \l _Toc7681 </w:instrTex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i w:val="0"/>
              <w:szCs w:val="20"/>
            </w:rPr>
            <w:t xml:space="preserve">1.1 </w: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t>配置要求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_Toc7681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- 1 -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end"/>
          </w:r>
        </w:p>
        <w:p w14:paraId="622D084A">
          <w:pPr>
            <w:pStyle w:val="17"/>
            <w:tabs>
              <w:tab w:val="right" w:leader="dot" w:pos="963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instrText xml:space="preserve"> HYPERLINK \l _Toc30112 </w:instrTex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i w:val="0"/>
              <w:szCs w:val="20"/>
            </w:rPr>
            <w:t xml:space="preserve">1.2 </w: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  <w:lang w:val="en-US" w:eastAsia="zh-CN"/>
            </w:rPr>
            <w:t>培训考试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_Toc30112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- 1 -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end"/>
          </w:r>
        </w:p>
        <w:p w14:paraId="26EC1312">
          <w:pPr>
            <w:pStyle w:val="17"/>
            <w:tabs>
              <w:tab w:val="right" w:leader="dot" w:pos="963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instrText xml:space="preserve"> HYPERLINK \l _Toc8221 </w:instrTex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i w:val="0"/>
              <w:szCs w:val="20"/>
              <w:lang w:val="en-US" w:eastAsia="zh-CN"/>
            </w:rPr>
            <w:t xml:space="preserve">1.3 </w: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  <w:lang w:val="en-US" w:eastAsia="zh-CN"/>
            </w:rPr>
            <w:t>培训考试学分查看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_Toc8221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- 11 -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end"/>
          </w:r>
        </w:p>
        <w:p w14:paraId="1934E10A">
          <w:pPr>
            <w:pStyle w:val="15"/>
            <w:tabs>
              <w:tab w:val="right" w:leader="dot" w:pos="963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instrText xml:space="preserve"> HYPERLINK \l _Toc13127 </w:instrTex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i w:val="0"/>
              <w:szCs w:val="20"/>
              <w:lang w:val="en-US" w:eastAsia="zh-CN"/>
            </w:rPr>
            <w:t xml:space="preserve">2 </w: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  <w:lang w:val="en-US" w:eastAsia="zh-CN"/>
            </w:rPr>
            <w:t>皖事通APP专家库培训考试使用手册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_Toc13127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- 12 -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end"/>
          </w:r>
        </w:p>
        <w:p w14:paraId="75BF8194">
          <w:pPr>
            <w:pStyle w:val="17"/>
            <w:tabs>
              <w:tab w:val="right" w:leader="dot" w:pos="963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instrText xml:space="preserve"> HYPERLINK \l _Toc3539 </w:instrTex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i w:val="0"/>
              <w:szCs w:val="20"/>
              <w:lang w:val="en-US" w:eastAsia="zh-CN"/>
            </w:rPr>
            <w:t xml:space="preserve">2.1 </w: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  <w:lang w:val="en-US" w:eastAsia="zh-CN"/>
            </w:rPr>
            <w:t>配置要求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_Toc3539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- 12 -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end"/>
          </w:r>
        </w:p>
        <w:p w14:paraId="6E7159ED">
          <w:pPr>
            <w:pStyle w:val="17"/>
            <w:tabs>
              <w:tab w:val="right" w:leader="dot" w:pos="9638"/>
            </w:tabs>
            <w:rPr>
              <w:rFonts w:hint="eastAsia" w:asciiTheme="minorEastAsia" w:hAnsiTheme="minorEastAsia" w:eastAsiaTheme="minorEastAsia" w:cstheme="minorEastAsia"/>
            </w:rPr>
          </w:pP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instrText xml:space="preserve"> HYPERLINK \l _Toc7749 </w:instrTex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i w:val="0"/>
              <w:szCs w:val="20"/>
              <w:lang w:val="en-US" w:eastAsia="zh-CN"/>
            </w:rPr>
            <w:t xml:space="preserve">2.2 </w: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  <w:lang w:val="en-US" w:eastAsia="zh-CN"/>
            </w:rPr>
            <w:t>培训考试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_Toc7749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>- 12 -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end"/>
          </w:r>
        </w:p>
        <w:p w14:paraId="2ECDE946">
          <w:pPr>
            <w:pStyle w:val="17"/>
            <w:tabs>
              <w:tab w:val="right" w:leader="dot" w:pos="9638"/>
            </w:tabs>
          </w:pP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instrText xml:space="preserve"> HYPERLINK \l _Toc14370 </w:instrTex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i w:val="0"/>
              <w:szCs w:val="20"/>
              <w:lang w:val="en-US" w:eastAsia="zh-CN"/>
            </w:rPr>
            <w:t xml:space="preserve">2.3 </w:t>
          </w:r>
          <w:r>
            <w:rPr>
              <w:rFonts w:hint="eastAsia" w:asciiTheme="minorEastAsia" w:hAnsiTheme="minorEastAsia" w:eastAsiaTheme="minorEastAsia" w:cstheme="minorEastAsia"/>
              <w:szCs w:val="20"/>
              <w:highlight w:val="none"/>
              <w:lang w:val="en-US" w:eastAsia="zh-CN"/>
            </w:rPr>
            <w:t>培训考试学分查看</w:t>
          </w:r>
          <w:r>
            <w:rPr>
              <w:rFonts w:hint="eastAsia" w:asciiTheme="minorEastAsia" w:hAnsiTheme="minorEastAsia" w:eastAsiaTheme="minorEastAsia" w:cstheme="minorEastAsia"/>
            </w:rPr>
            <w:tab/>
          </w:r>
          <w:r>
            <w:rPr>
              <w:rFonts w:hint="eastAsia" w:asciiTheme="minorEastAsia" w:hAnsiTheme="minorEastAsia" w:eastAsiaTheme="minorEastAsia" w:cstheme="minorEastAsia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</w:rPr>
            <w:instrText xml:space="preserve"> PAGEREF _Toc14370 \h </w:instrText>
          </w:r>
          <w:r>
            <w:rPr>
              <w:rFonts w:hint="eastAsia" w:asciiTheme="minorEastAsia" w:hAnsiTheme="minorEastAsia" w:eastAsiaTheme="minorEastAsia" w:cstheme="minorEastAsia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</w:rPr>
            <w:t xml:space="preserve">- </w:t>
          </w:r>
          <w:r>
            <w:rPr>
              <w:rFonts w:hint="eastAsia" w:asciiTheme="minorEastAsia" w:hAnsiTheme="minorEastAsia" w:eastAsiaTheme="minorEastAsia" w:cstheme="minorEastAsia"/>
              <w:lang w:val="en-US" w:eastAsia="zh-CN"/>
            </w:rPr>
            <w:t>20</w:t>
          </w:r>
          <w:r>
            <w:rPr>
              <w:rFonts w:hint="eastAsia" w:asciiTheme="minorEastAsia" w:hAnsiTheme="minorEastAsia" w:eastAsiaTheme="minorEastAsia" w:cstheme="minorEastAsia"/>
            </w:rPr>
            <w:t xml:space="preserve"> -</w:t>
          </w:r>
          <w:r>
            <w:rPr>
              <w:rFonts w:hint="eastAsia" w:asciiTheme="minorEastAsia" w:hAnsiTheme="minorEastAsia" w:eastAsiaTheme="minorEastAsia" w:cstheme="minorEastAsia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auto"/>
              <w:szCs w:val="20"/>
              <w:highlight w:val="none"/>
            </w:rPr>
            <w:fldChar w:fldCharType="end"/>
          </w:r>
        </w:p>
        <w:p w14:paraId="1538EBF1">
          <w:pPr>
            <w:ind w:firstLine="400" w:firstLineChars="200"/>
            <w:rPr>
              <w:rFonts w:hint="eastAsia" w:ascii="黑体" w:hAnsi="黑体" w:eastAsia="黑体" w:cs="黑体"/>
              <w:color w:val="auto"/>
              <w:szCs w:val="20"/>
              <w:highlight w:val="none"/>
            </w:rPr>
            <w:sectPr>
              <w:headerReference r:id="rId5" w:type="default"/>
              <w:footerReference r:id="rId6" w:type="default"/>
              <w:pgSz w:w="11906" w:h="16838"/>
              <w:pgMar w:top="1418" w:right="1134" w:bottom="1134" w:left="1134" w:header="907" w:footer="340" w:gutter="0"/>
              <w:pgNumType w:fmt="numberInDash" w:start="1"/>
              <w:cols w:space="720" w:num="1"/>
              <w:docGrid w:type="lines" w:linePitch="326" w:charSpace="0"/>
            </w:sectPr>
          </w:pPr>
          <w:r>
            <w:rPr>
              <w:rFonts w:hint="eastAsia" w:ascii="黑体" w:hAnsi="黑体" w:eastAsia="黑体" w:cs="黑体"/>
              <w:color w:val="auto"/>
              <w:szCs w:val="20"/>
              <w:highlight w:val="none"/>
            </w:rPr>
            <w:fldChar w:fldCharType="end"/>
          </w:r>
          <w:bookmarkStart w:id="0" w:name="_Toc2210"/>
          <w:bookmarkStart w:id="1" w:name="_Toc6748"/>
          <w:bookmarkStart w:id="2" w:name="_Toc23604"/>
          <w:bookmarkStart w:id="17" w:name="_GoBack"/>
          <w:bookmarkEnd w:id="17"/>
        </w:p>
        <w:p w14:paraId="04C0607A">
          <w:pPr>
            <w:ind w:firstLine="400" w:firstLineChars="200"/>
          </w:pPr>
        </w:p>
      </w:sdtContent>
    </w:sdt>
    <w:p w14:paraId="2CA781FB">
      <w:pPr>
        <w:pStyle w:val="3"/>
        <w:bidi w:val="0"/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</w:pPr>
      <w:r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  <w:t>电脑端</w:t>
      </w:r>
      <w:r>
        <w:rPr>
          <w:rFonts w:hint="eastAsia" w:ascii="黑体" w:hAnsi="黑体" w:cs="黑体"/>
          <w:color w:val="auto"/>
          <w:sz w:val="20"/>
          <w:szCs w:val="20"/>
          <w:highlight w:val="none"/>
          <w:lang w:val="en-US" w:eastAsia="zh-CN"/>
        </w:rPr>
        <w:t>培训考试</w:t>
      </w:r>
      <w:r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  <w:t>使用手册</w:t>
      </w:r>
      <w:bookmarkEnd w:id="0"/>
      <w:bookmarkEnd w:id="1"/>
      <w:bookmarkEnd w:id="2"/>
    </w:p>
    <w:p w14:paraId="7F1C76EB">
      <w:pPr>
        <w:pStyle w:val="4"/>
        <w:bidi w:val="0"/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</w:pPr>
      <w:bookmarkStart w:id="3" w:name="_Toc18459"/>
      <w:bookmarkStart w:id="4" w:name="_Toc7681"/>
      <w:r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  <w:t>配置要求</w:t>
      </w:r>
      <w:bookmarkEnd w:id="3"/>
      <w:bookmarkEnd w:id="4"/>
    </w:p>
    <w:p w14:paraId="50D89914">
      <w:pP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</w:rPr>
        <w:t>电脑系统需Windows8及以上，64位官方系统；浏览器推荐使用360安全浏览器（极速模式）、360极速浏览器</w:t>
      </w: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</w:rPr>
        <w:t>Chrome（谷歌）浏览器。</w:t>
      </w:r>
    </w:p>
    <w:p w14:paraId="6B129C2D">
      <w:pPr>
        <w:pStyle w:val="4"/>
        <w:bidi w:val="0"/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</w:pPr>
      <w:bookmarkStart w:id="5" w:name="_Toc30112"/>
      <w:bookmarkStart w:id="6" w:name="_Toc248"/>
      <w:r>
        <w:rPr>
          <w:rFonts w:hint="eastAsia" w:ascii="黑体" w:hAnsi="黑体" w:cs="黑体"/>
          <w:color w:val="auto"/>
          <w:sz w:val="20"/>
          <w:szCs w:val="20"/>
          <w:highlight w:val="none"/>
          <w:lang w:val="en-US" w:eastAsia="zh-CN"/>
        </w:rPr>
        <w:t>培训考试</w:t>
      </w:r>
      <w:bookmarkEnd w:id="5"/>
    </w:p>
    <w:p w14:paraId="696E7D70">
      <w:pPr>
        <w:pStyle w:val="5"/>
        <w:bidi w:val="0"/>
        <w:rPr>
          <w:rFonts w:hint="eastAsia"/>
        </w:rPr>
      </w:pPr>
      <w:r>
        <w:rPr>
          <w:rFonts w:hint="eastAsia"/>
        </w:rPr>
        <w:t>用户登录</w:t>
      </w:r>
      <w:bookmarkEnd w:id="6"/>
    </w:p>
    <w:p w14:paraId="2F333EC1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通过浏览器</w:t>
      </w: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登录安徽省公共资源交易监管网（</w:t>
      </w:r>
      <w:r>
        <w:rPr>
          <w:rFonts w:hint="default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ggzy.ah.gov.cn</w:t>
      </w: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）—安徽省公共资源交易评标评审专家库—安徽省专家库培训考试系统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，选择专家入口进入</w:t>
      </w: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安徽省专家库培训考试系统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，页面显示专家登录的二维码。</w:t>
      </w:r>
    </w:p>
    <w:p w14:paraId="4FBFAC50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手机登录皖事通APP安徽省公共资源交易评标评审专家库，点击页面左上角“</w:t>
      </w:r>
      <w:r>
        <w:rPr>
          <w:sz w:val="20"/>
          <w:szCs w:val="20"/>
        </w:rPr>
        <w:drawing>
          <wp:inline distT="0" distB="0" distL="114300" distR="114300">
            <wp:extent cx="180975" cy="17145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”，使用“扫一扫”功能，扫描电脑端显示的专家登录二维码，即可进入</w:t>
      </w: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安徽省专家库培训考试系统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。</w:t>
      </w:r>
    </w:p>
    <w:p w14:paraId="1C06D0FC">
      <w:pPr>
        <w:pStyle w:val="2"/>
        <w:numPr>
          <w:ilvl w:val="0"/>
          <w:numId w:val="0"/>
        </w:numPr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</w:pPr>
      <w:r>
        <w:rPr>
          <w:highlight w:val="none"/>
        </w:rPr>
        <w:drawing>
          <wp:inline distT="0" distB="0" distL="114300" distR="114300">
            <wp:extent cx="6118225" cy="4434840"/>
            <wp:effectExtent l="0" t="0" r="8255" b="0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2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</w:pPr>
      <w:r>
        <w:rPr>
          <w:highlight w:val="none"/>
        </w:rPr>
        <w:drawing>
          <wp:inline distT="0" distB="0" distL="114300" distR="114300">
            <wp:extent cx="6112510" cy="3817620"/>
            <wp:effectExtent l="0" t="0" r="139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6119495" cy="3456305"/>
            <wp:effectExtent l="0" t="0" r="698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A863">
      <w:pPr>
        <w:pStyle w:val="5"/>
        <w:bidi w:val="0"/>
        <w:rPr>
          <w:rFonts w:hint="eastAsia"/>
          <w:lang w:val="en-US" w:eastAsia="zh-CN"/>
        </w:rPr>
      </w:pPr>
      <w:bookmarkStart w:id="7" w:name="_Toc18917"/>
      <w:r>
        <w:rPr>
          <w:rFonts w:hint="eastAsia"/>
          <w:lang w:val="en-US" w:eastAsia="zh-CN"/>
        </w:rPr>
        <w:t>培训选择</w:t>
      </w:r>
    </w:p>
    <w:p w14:paraId="34F8ABDF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1.专家登录成功后，点击页面左侧“</w:t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09575" cy="210185"/>
            <wp:effectExtent l="0" t="0" r="952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”菜单，在培训页面选择应当参加的培训，点击“</w:t>
      </w:r>
      <w:r>
        <w:drawing>
          <wp:inline distT="0" distB="0" distL="114300" distR="114300">
            <wp:extent cx="273050" cy="19050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”按钮，进入培训详情页面。</w:t>
      </w:r>
    </w:p>
    <w:p w14:paraId="3B4F9CB9">
      <w:pPr>
        <w:pStyle w:val="2"/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</w:p>
    <w:p w14:paraId="44E853DA">
      <w:pPr>
        <w:pStyle w:val="2"/>
        <w:ind w:left="0" w:leftChars="0" w:firstLine="0" w:firstLineChars="0"/>
        <w:rPr>
          <w:rFonts w:hint="eastAsia" w:ascii="黑体" w:hAnsi="黑体" w:cs="黑体"/>
          <w:color w:val="auto"/>
          <w:sz w:val="20"/>
          <w:szCs w:val="20"/>
          <w:highlight w:val="none"/>
          <w:lang w:val="en-US" w:eastAsia="zh-CN"/>
        </w:rPr>
      </w:pPr>
      <w:r>
        <w:drawing>
          <wp:inline distT="0" distB="0" distL="114300" distR="114300">
            <wp:extent cx="6110605" cy="2589530"/>
            <wp:effectExtent l="0" t="0" r="4445" b="12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F8E30">
      <w:pPr>
        <w:pStyle w:val="2"/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2.培训详情页面，专家可查看本培训的相关信息，包括：培训名称、培训时间、培训课程有关信息、培训学分、培训状态等。</w:t>
      </w:r>
    </w:p>
    <w:p w14:paraId="11E88926">
      <w:pPr>
        <w:pStyle w:val="2"/>
        <w:ind w:left="0" w:leftChars="0" w:firstLine="0" w:firstLineChars="0"/>
        <w:rPr>
          <w:rFonts w:hint="eastAsia" w:ascii="黑体" w:hAnsi="黑体" w:cs="黑体"/>
          <w:color w:val="auto"/>
          <w:sz w:val="20"/>
          <w:szCs w:val="20"/>
          <w:highlight w:val="none"/>
          <w:lang w:val="en-US" w:eastAsia="zh-CN"/>
        </w:rPr>
      </w:pPr>
      <w:r>
        <w:drawing>
          <wp:inline distT="0" distB="0" distL="114300" distR="114300">
            <wp:extent cx="6118860" cy="2853690"/>
            <wp:effectExtent l="0" t="0" r="2540" b="381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1FA31">
      <w:pPr>
        <w:pStyle w:val="5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培训课程学习</w:t>
      </w:r>
    </w:p>
    <w:p w14:paraId="27339479">
      <w:pPr>
        <w:pStyle w:val="2"/>
        <w:ind w:left="0" w:leftChars="0" w:firstLine="400" w:firstLineChars="200"/>
        <w:jc w:val="both"/>
        <w:rPr>
          <w:rFonts w:hint="default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1.在培训详情页面，点击“</w:t>
      </w:r>
      <w:r>
        <w:drawing>
          <wp:inline distT="0" distB="0" distL="114300" distR="114300">
            <wp:extent cx="420370" cy="185420"/>
            <wp:effectExtent l="0" t="0" r="1143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”按钮，进入课程详情页面。</w:t>
      </w:r>
    </w:p>
    <w:p w14:paraId="581D4CAD">
      <w:pPr>
        <w:pStyle w:val="2"/>
        <w:ind w:left="0" w:leftChars="0" w:firstLine="0" w:firstLineChars="0"/>
        <w:jc w:val="both"/>
        <w:rPr>
          <w:rFonts w:hint="default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drawing>
          <wp:inline distT="0" distB="0" distL="114300" distR="114300">
            <wp:extent cx="6114415" cy="2880360"/>
            <wp:effectExtent l="0" t="0" r="6985" b="254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62E9">
      <w:pPr>
        <w:pStyle w:val="2"/>
        <w:ind w:left="0" w:leftChars="0" w:firstLine="400" w:firstLineChars="200"/>
        <w:jc w:val="both"/>
        <w:rPr>
          <w:rFonts w:hint="default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2.课程详情页面，专家可查看本课程的相关信息，包括：课程名称、课程学分、课程目录、课程简介、教师简介、帮助信息、学习进度、考试相关信息（如果本课程需要考试）。</w:t>
      </w:r>
    </w:p>
    <w:p w14:paraId="22785BC0">
      <w:pPr>
        <w:pStyle w:val="2"/>
        <w:ind w:left="0" w:leftChars="0" w:firstLine="0" w:firstLineChars="0"/>
        <w:jc w:val="both"/>
        <w:rPr>
          <w:rFonts w:hint="default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drawing>
          <wp:inline distT="0" distB="0" distL="114300" distR="114300">
            <wp:extent cx="6107430" cy="2879090"/>
            <wp:effectExtent l="0" t="0" r="7620" b="1651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FD57">
      <w:pPr>
        <w:pStyle w:val="2"/>
        <w:ind w:left="0" w:leftChars="0" w:firstLine="40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3.课程视频学习</w:t>
      </w:r>
    </w:p>
    <w:p w14:paraId="568AD8F5">
      <w:pPr>
        <w:pStyle w:val="2"/>
        <w:ind w:left="0" w:leftChars="0" w:firstLine="40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（1）专家点击课程目录中的“</w:t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55270" cy="349250"/>
            <wp:effectExtent l="0" t="0" r="11430" b="635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”按钮</w:t>
      </w:r>
      <w:r>
        <w:rPr>
          <w:rFonts w:hint="eastAsia" w:ascii="仿宋_GB2312" w:hAnsi="仿宋_GB2312" w:eastAsia="仿宋_GB2312" w:cs="仿宋_GB2312"/>
          <w:lang w:eastAsia="zh-CN"/>
        </w:rPr>
        <w:t>，</w:t>
      </w:r>
      <w:r>
        <w:rPr>
          <w:rFonts w:hint="eastAsia" w:ascii="仿宋_GB2312" w:hAnsi="仿宋_GB2312" w:eastAsia="仿宋_GB2312" w:cs="仿宋_GB2312"/>
          <w:lang w:val="en-US" w:eastAsia="zh-CN"/>
        </w:rPr>
        <w:t>直接进入视频学习页面。</w:t>
      </w:r>
    </w:p>
    <w:p w14:paraId="728380DF">
      <w:pPr>
        <w:pStyle w:val="2"/>
        <w:ind w:left="0" w:leftChars="0" w:firstLine="0" w:firstLineChars="0"/>
        <w:jc w:val="both"/>
        <w:rPr>
          <w:rFonts w:hint="default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drawing>
          <wp:inline distT="0" distB="0" distL="114300" distR="114300">
            <wp:extent cx="6119495" cy="2860040"/>
            <wp:effectExtent l="0" t="0" r="14605" b="1651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341B3">
      <w:pPr>
        <w:pStyle w:val="2"/>
        <w:ind w:left="0" w:leftChars="0" w:firstLine="40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（2）专家直接点击视频或播放“</w:t>
      </w:r>
      <w:r>
        <w:drawing>
          <wp:inline distT="0" distB="0" distL="114300" distR="114300">
            <wp:extent cx="171450" cy="161925"/>
            <wp:effectExtent l="0" t="0" r="0" b="952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”按钮，进行视频学习。</w:t>
      </w:r>
    </w:p>
    <w:p w14:paraId="1ADE8361">
      <w:pPr>
        <w:pStyle w:val="2"/>
        <w:ind w:left="0" w:leftChars="0" w:firstLine="40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页面右侧进度条实时显示视频学习进度。显示为100%时，即代表完成了本视频的学习。</w:t>
      </w:r>
    </w:p>
    <w:p w14:paraId="6F1ED15A">
      <w:pPr>
        <w:pStyle w:val="2"/>
        <w:ind w:left="0" w:leftChars="0" w:firstLine="402" w:firstLineChars="200"/>
        <w:jc w:val="both"/>
        <w:rPr>
          <w:rFonts w:hint="default" w:ascii="仿宋_GB2312" w:hAnsi="仿宋_GB2312" w:eastAsia="仿宋_GB2312" w:cs="仿宋_GB2312"/>
          <w:b/>
          <w:bCs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0"/>
          <w:szCs w:val="20"/>
          <w:highlight w:val="none"/>
          <w:lang w:val="en-US" w:eastAsia="zh-CN" w:bidi="ar-SA"/>
        </w:rPr>
        <w:t>注意：一个课程可能有多个课程视频需要学习。</w:t>
      </w:r>
    </w:p>
    <w:p w14:paraId="575F5F75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6116955" cy="2814320"/>
            <wp:effectExtent l="0" t="0" r="17145" b="5080"/>
            <wp:docPr id="1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0464">
      <w:pPr>
        <w:pStyle w:val="2"/>
        <w:ind w:left="0" w:leftChars="0" w:firstLine="400" w:firstLineChars="200"/>
        <w:jc w:val="both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t>（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  <w:lang w:val="en-US" w:eastAsia="zh-CN"/>
        </w:rPr>
        <w:t>在课程详情页面，学习进度为100%时，为完成本课程全部视频的学习。</w:t>
      </w:r>
    </w:p>
    <w:p w14:paraId="54DCEA8F">
      <w:pPr>
        <w:pStyle w:val="2"/>
        <w:ind w:left="0" w:leftChars="0" w:firstLine="400" w:firstLineChars="200"/>
        <w:jc w:val="both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若学习的课程不需要进行课程考试，专家在完成课程全部视频学习后，就能获得本课程的学分。若课程需要进行课程考试，则专家在通过考试后，获得本课程的学分。</w:t>
      </w:r>
    </w:p>
    <w:p w14:paraId="5A723A38">
      <w:pPr>
        <w:pStyle w:val="2"/>
        <w:ind w:left="0" w:leftChars="0" w:firstLine="400" w:firstLineChars="200"/>
        <w:jc w:val="both"/>
        <w:rPr>
          <w:rFonts w:hint="default"/>
          <w:lang w:val="en-US" w:eastAsia="zh-CN"/>
        </w:rPr>
      </w:pPr>
    </w:p>
    <w:p w14:paraId="23A05675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6115685" cy="2865120"/>
            <wp:effectExtent l="0" t="0" r="18415" b="1143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58F0"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图：无需考试的课程详情页面</w:t>
      </w:r>
    </w:p>
    <w:p w14:paraId="294E9197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6118225" cy="2858770"/>
            <wp:effectExtent l="0" t="0" r="15875" b="17780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D15E"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图：需要考试的课程详情页面</w:t>
      </w:r>
    </w:p>
    <w:p w14:paraId="17DCF074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课程考试（配有考试的课程）</w:t>
      </w:r>
    </w:p>
    <w:p w14:paraId="26B56C1E">
      <w:pPr>
        <w:pStyle w:val="2"/>
        <w:ind w:left="0" w:leftChars="0" w:firstLine="400" w:firstLineChars="200"/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  <w:t>1.若专家学习的培训课程需要考试，则专家需要在完成本课程全部视频的学习后，才能进行本门课程的考试。专家须答对所有考试题目，方才考试合格，并获得本课程的学分。</w:t>
      </w:r>
    </w:p>
    <w:p w14:paraId="2E0B7E49">
      <w:pPr>
        <w:pStyle w:val="2"/>
        <w:ind w:left="0" w:leftChars="0" w:firstLine="400" w:firstLineChars="200"/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  <w:t>2.课程考试。</w:t>
      </w:r>
    </w:p>
    <w:p w14:paraId="1F5061CE">
      <w:pPr>
        <w:pStyle w:val="2"/>
        <w:ind w:left="0" w:leftChars="0" w:firstLine="400" w:firstLineChars="200"/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  <w:t>（1）专家点击“</w:t>
      </w:r>
      <w:r>
        <w:drawing>
          <wp:inline distT="0" distB="0" distL="114300" distR="114300">
            <wp:extent cx="391160" cy="170180"/>
            <wp:effectExtent l="0" t="0" r="254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  <w:t>”按钮，进入</w:t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考试信息详情页面</w:t>
      </w:r>
      <w:r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  <w:t>。</w:t>
      </w:r>
    </w:p>
    <w:p w14:paraId="1FB7AE23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 w14:paraId="57BE53C8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18225" cy="2853055"/>
            <wp:effectExtent l="0" t="0" r="15875" b="4445"/>
            <wp:docPr id="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2229">
      <w:pPr>
        <w:pStyle w:val="2"/>
        <w:ind w:left="0" w:leftChars="0" w:firstLine="40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（2）在考试信息详情页面，展示考试相关信息，包括考试名称、考试时间、考试时长、题目题型及分值、试卷总分、及格分等。点击“</w:t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drawing>
          <wp:inline distT="0" distB="0" distL="114300" distR="114300">
            <wp:extent cx="532765" cy="144145"/>
            <wp:effectExtent l="0" t="0" r="635" b="8255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”正式进入考试流程。</w:t>
      </w:r>
    </w:p>
    <w:p w14:paraId="12D3A8E9">
      <w:pPr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drawing>
          <wp:inline distT="0" distB="0" distL="114300" distR="114300">
            <wp:extent cx="6110605" cy="2788920"/>
            <wp:effectExtent l="0" t="0" r="4445" b="11430"/>
            <wp:docPr id="8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F8377">
      <w:pPr>
        <w:ind w:left="0" w:leftChars="0" w:firstLine="400" w:firstLineChars="200"/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（3）进入考试后，请按照提示在全屏模式下进行考试。</w:t>
      </w:r>
    </w:p>
    <w:p w14:paraId="1F0D4881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109335" cy="3275330"/>
            <wp:effectExtent l="0" t="0" r="12065" b="1270"/>
            <wp:docPr id="9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CC4B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（4）点击“</w:t>
      </w:r>
      <w:r>
        <w:drawing>
          <wp:inline distT="0" distB="0" distL="114300" distR="114300">
            <wp:extent cx="528320" cy="247650"/>
            <wp:effectExtent l="0" t="0" r="5080" b="635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”或“</w:t>
      </w:r>
      <w:r>
        <w:drawing>
          <wp:inline distT="0" distB="0" distL="114300" distR="114300">
            <wp:extent cx="658495" cy="262255"/>
            <wp:effectExtent l="0" t="0" r="1905" b="444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”进行答题，手动勾选答案选项进行答题，进入多选题，系统会有提示，请认真答题。</w:t>
      </w:r>
    </w:p>
    <w:p w14:paraId="32F76D95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左侧答题卡展示，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灰色为未答题，蓝色为已答题，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答题过程中如需对所选答案进行修改，可在答题卡区域内选择对应的题号，进行修改。</w:t>
      </w:r>
    </w:p>
    <w:p w14:paraId="150AF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</w:pPr>
      <w:r>
        <w:drawing>
          <wp:inline distT="0" distB="0" distL="114300" distR="114300">
            <wp:extent cx="6118860" cy="3350895"/>
            <wp:effectExtent l="0" t="0" r="2540" b="190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7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00" w:firstLineChars="200"/>
        <w:textAlignment w:val="auto"/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（5）答题完成后，点击“</w:t>
      </w:r>
      <w:r>
        <w:drawing>
          <wp:inline distT="0" distB="0" distL="114300" distR="114300">
            <wp:extent cx="621030" cy="130810"/>
            <wp:effectExtent l="0" t="0" r="1270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”进行交卷，若不点击“</w:t>
      </w:r>
      <w:r>
        <w:drawing>
          <wp:inline distT="0" distB="0" distL="114300" distR="114300">
            <wp:extent cx="645795" cy="135890"/>
            <wp:effectExtent l="0" t="0" r="1905" b="38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考试时间到达以后系统自动交卷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。</w:t>
      </w:r>
    </w:p>
    <w:p w14:paraId="5BE039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</w:pPr>
      <w:r>
        <w:drawing>
          <wp:inline distT="0" distB="0" distL="114300" distR="114300">
            <wp:extent cx="6110605" cy="3451860"/>
            <wp:effectExtent l="0" t="0" r="4445" b="15240"/>
            <wp:docPr id="9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7590" cy="3383915"/>
            <wp:effectExtent l="0" t="0" r="3810" b="6985"/>
            <wp:docPr id="10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A5BF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（6）交卷后即可显示本课程考试答题得分。</w:t>
      </w:r>
    </w:p>
    <w:p w14:paraId="23169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</w:pPr>
      <w:r>
        <w:drawing>
          <wp:inline distT="0" distB="0" distL="114300" distR="114300">
            <wp:extent cx="6115685" cy="3357245"/>
            <wp:effectExtent l="0" t="0" r="18415" b="1460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5220">
      <w:pPr>
        <w:ind w:left="0" w:leftChars="0" w:firstLine="400" w:firstLineChars="200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（7）考试结果查看。专家可在课程详情页面直接查看考试得分及考试合格情况。若考试不及格，可再次点击</w:t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考试信息详情页面的“</w:t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drawing>
          <wp:inline distT="0" distB="0" distL="114300" distR="114300">
            <wp:extent cx="511810" cy="138430"/>
            <wp:effectExtent l="0" t="0" r="8890" b="1270"/>
            <wp:docPr id="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”按钮，再次进行考试。</w:t>
      </w:r>
    </w:p>
    <w:p w14:paraId="14792A90">
      <w:pPr>
        <w:pStyle w:val="2"/>
        <w:ind w:left="0" w:leftChars="0" w:firstLine="0" w:firstLineChars="0"/>
      </w:pPr>
      <w:r>
        <w:drawing>
          <wp:inline distT="0" distB="0" distL="114300" distR="114300">
            <wp:extent cx="6114415" cy="2824480"/>
            <wp:effectExtent l="0" t="0" r="635" b="13970"/>
            <wp:docPr id="11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3244">
      <w:pPr>
        <w:pStyle w:val="2"/>
        <w:ind w:left="0" w:leftChars="0" w:firstLine="0" w:firstLineChars="0"/>
      </w:pPr>
      <w:r>
        <w:drawing>
          <wp:inline distT="0" distB="0" distL="114300" distR="114300">
            <wp:extent cx="6110605" cy="2788920"/>
            <wp:effectExtent l="0" t="0" r="4445" b="11430"/>
            <wp:docPr id="1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5E7A">
      <w:pPr>
        <w:pStyle w:val="2"/>
        <w:ind w:left="0" w:leftChars="0" w:firstLine="402" w:firstLineChars="200"/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注：若考试过程中退出系统，可以在当前有效考试时段内登录系统，进入正在进行的考试。但考试时间不会暂停计时，系统将按照首次进入考试时间进行倒计时，在继续考试页面中显示剩余考试时间。</w:t>
      </w:r>
    </w:p>
    <w:p w14:paraId="2850E1C8">
      <w:pPr>
        <w:pStyle w:val="4"/>
        <w:bidi w:val="0"/>
        <w:rPr>
          <w:rFonts w:hint="default" w:ascii="黑体" w:hAnsi="黑体" w:cs="黑体"/>
          <w:color w:val="auto"/>
          <w:sz w:val="20"/>
          <w:szCs w:val="20"/>
          <w:highlight w:val="none"/>
          <w:lang w:val="en-US" w:eastAsia="zh-CN"/>
        </w:rPr>
      </w:pPr>
      <w:bookmarkStart w:id="8" w:name="_Toc8221"/>
      <w:r>
        <w:rPr>
          <w:rFonts w:hint="eastAsia" w:ascii="黑体" w:hAnsi="黑体" w:cs="黑体"/>
          <w:color w:val="auto"/>
          <w:sz w:val="20"/>
          <w:szCs w:val="20"/>
          <w:highlight w:val="none"/>
          <w:lang w:val="en-US" w:eastAsia="zh-CN"/>
        </w:rPr>
        <w:t>培训考试学分查看</w:t>
      </w:r>
      <w:bookmarkEnd w:id="8"/>
    </w:p>
    <w:p w14:paraId="7CDA9E18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在培训详情页面，专家可查看本人已获学分，包括总学分、必修学分、选修学分。</w:t>
      </w:r>
    </w:p>
    <w:p w14:paraId="2A8D6FA8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18225" cy="2861945"/>
            <wp:effectExtent l="0" t="0" r="3175" b="825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1D041BC8">
      <w:pPr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</w:pPr>
      <w:bookmarkStart w:id="9" w:name="_Toc22169"/>
      <w:bookmarkStart w:id="10" w:name="_Toc25024"/>
      <w:r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  <w:br w:type="page"/>
      </w:r>
    </w:p>
    <w:p w14:paraId="09672BB8">
      <w:pPr>
        <w:pStyle w:val="3"/>
        <w:bidi w:val="0"/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</w:pPr>
      <w:bookmarkStart w:id="11" w:name="_Toc13127"/>
      <w:r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  <w:t>皖事通APP专家库</w:t>
      </w:r>
      <w:r>
        <w:rPr>
          <w:rFonts w:hint="eastAsia" w:ascii="黑体" w:hAnsi="黑体" w:cs="黑体"/>
          <w:color w:val="auto"/>
          <w:sz w:val="20"/>
          <w:szCs w:val="20"/>
          <w:highlight w:val="none"/>
          <w:lang w:val="en-US" w:eastAsia="zh-CN"/>
        </w:rPr>
        <w:t>培训考试</w:t>
      </w:r>
      <w:r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  <w:t>使用手册</w:t>
      </w:r>
      <w:bookmarkEnd w:id="9"/>
      <w:bookmarkEnd w:id="10"/>
      <w:bookmarkEnd w:id="11"/>
    </w:p>
    <w:p w14:paraId="6B97D390">
      <w:pPr>
        <w:pStyle w:val="4"/>
        <w:bidi w:val="0"/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</w:pPr>
      <w:bookmarkStart w:id="12" w:name="_Toc3539"/>
      <w:bookmarkStart w:id="13" w:name="_Toc23603"/>
      <w:r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  <w:t>配置要求</w:t>
      </w:r>
      <w:bookmarkEnd w:id="12"/>
      <w:bookmarkEnd w:id="13"/>
    </w:p>
    <w:p w14:paraId="092EA337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带有前置摄像头的智能手机，能正常使用皖事通APP。</w:t>
      </w:r>
    </w:p>
    <w:p w14:paraId="347816D4">
      <w:pPr>
        <w:pStyle w:val="4"/>
        <w:bidi w:val="0"/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</w:pPr>
      <w:bookmarkStart w:id="14" w:name="_Toc7749"/>
      <w:bookmarkStart w:id="15" w:name="_Toc26598"/>
      <w:r>
        <w:rPr>
          <w:rFonts w:hint="eastAsia" w:ascii="黑体" w:hAnsi="黑体" w:cs="黑体"/>
          <w:color w:val="auto"/>
          <w:sz w:val="20"/>
          <w:szCs w:val="20"/>
          <w:highlight w:val="none"/>
          <w:lang w:val="en-US" w:eastAsia="zh-CN"/>
        </w:rPr>
        <w:t>培训考试</w:t>
      </w:r>
      <w:bookmarkEnd w:id="14"/>
    </w:p>
    <w:p w14:paraId="1FB6F095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</w:t>
      </w:r>
      <w:bookmarkEnd w:id="15"/>
    </w:p>
    <w:p w14:paraId="5F6E70AB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人脸识别成功，登录皖事通APP安徽省公共资源交易评标评审专家库。</w:t>
      </w:r>
    </w:p>
    <w:p w14:paraId="4034116F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培训选择</w:t>
      </w:r>
    </w:p>
    <w:p w14:paraId="2EFF0EDF">
      <w:pPr>
        <w:pStyle w:val="2"/>
        <w:rPr>
          <w:rFonts w:hint="default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1.专家登录成功后，按顺序点击</w:t>
      </w:r>
      <w:r>
        <w:rPr>
          <w:rFonts w:hint="eastAsia" w:ascii="仿宋_GB2312" w:hAnsi="仿宋_GB2312" w:eastAsia="仿宋_GB2312" w:cs="仿宋_GB2312"/>
          <w:lang w:val="en-US" w:eastAsia="zh-CN"/>
        </w:rPr>
        <w:t>“</w:t>
      </w:r>
      <w:r>
        <w:drawing>
          <wp:inline distT="0" distB="0" distL="114300" distR="114300">
            <wp:extent cx="457200" cy="30480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lang w:val="en-US" w:eastAsia="zh-CN"/>
        </w:rPr>
        <w:t>”→“</w:t>
      </w:r>
      <w:r>
        <w:drawing>
          <wp:inline distT="0" distB="0" distL="114300" distR="114300">
            <wp:extent cx="344170" cy="377825"/>
            <wp:effectExtent l="0" t="0" r="11430" b="31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lang w:val="en-US" w:eastAsia="zh-CN"/>
        </w:rPr>
        <w:t>”→“</w:t>
      </w:r>
      <w:r>
        <w:drawing>
          <wp:inline distT="0" distB="0" distL="114300" distR="114300">
            <wp:extent cx="373380" cy="316230"/>
            <wp:effectExtent l="0" t="0" r="7620" b="12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lang w:val="en-US" w:eastAsia="zh-CN"/>
        </w:rPr>
        <w:t>”，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在培训页面选择应当参加的培训。</w:t>
      </w:r>
    </w:p>
    <w:p w14:paraId="4615F1A3"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drawing>
          <wp:inline distT="0" distB="0" distL="114300" distR="114300">
            <wp:extent cx="1392555" cy="3051810"/>
            <wp:effectExtent l="0" t="0" r="17145" b="15240"/>
            <wp:docPr id="1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8430" cy="3051810"/>
            <wp:effectExtent l="0" t="0" r="1270" b="15240"/>
            <wp:docPr id="1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6220" cy="3051810"/>
            <wp:effectExtent l="0" t="0" r="17780" b="15240"/>
            <wp:docPr id="1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815" cy="3051810"/>
            <wp:effectExtent l="0" t="0" r="6985" b="15240"/>
            <wp:docPr id="1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AFB0">
      <w:pPr>
        <w:pStyle w:val="2"/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2.培训详情页面，专家可查看本培训的相关信息，包括：培训名称、培训时间、培训课程有关信息、培训学分、培训状态等。</w:t>
      </w:r>
    </w:p>
    <w:p w14:paraId="10B57C5C"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00" w:lineRule="auto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</w:pPr>
      <w:r>
        <w:drawing>
          <wp:inline distT="0" distB="0" distL="114300" distR="114300">
            <wp:extent cx="1731010" cy="3513455"/>
            <wp:effectExtent l="0" t="0" r="8890" b="444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05491">
      <w:pPr>
        <w:pStyle w:val="5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培训课程学习</w:t>
      </w:r>
    </w:p>
    <w:p w14:paraId="37232438">
      <w:pPr>
        <w:pStyle w:val="2"/>
        <w:ind w:left="0" w:leftChars="0" w:firstLine="400" w:firstLineChars="200"/>
        <w:jc w:val="both"/>
        <w:rPr>
          <w:rFonts w:hint="default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1.在培训详情页面，直接点击想要学习的课程，直接进入视频学习页面。</w:t>
      </w:r>
    </w:p>
    <w:p w14:paraId="0A1CFAC5"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drawing>
          <wp:inline distT="0" distB="0" distL="114300" distR="114300">
            <wp:extent cx="2152650" cy="4330065"/>
            <wp:effectExtent l="0" t="0" r="6350" b="635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866C">
      <w:pPr>
        <w:pStyle w:val="2"/>
        <w:ind w:left="0" w:leftChars="0" w:firstLine="400" w:firstLineChars="200"/>
        <w:jc w:val="both"/>
        <w:rPr>
          <w:rFonts w:hint="default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（2）专家直接点击“</w:t>
      </w:r>
      <w:r>
        <w:drawing>
          <wp:inline distT="0" distB="0" distL="114300" distR="114300">
            <wp:extent cx="171450" cy="161925"/>
            <wp:effectExtent l="0" t="0" r="0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”按钮，进行视频学习。</w:t>
      </w:r>
    </w:p>
    <w:p w14:paraId="60F9F57D">
      <w:pPr>
        <w:pStyle w:val="2"/>
        <w:ind w:left="0" w:leftChars="0" w:firstLine="400" w:firstLineChars="200"/>
        <w:jc w:val="both"/>
        <w:rPr>
          <w:rFonts w:hint="default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页面下方进度条实时显示视频学习进度。显示为100%时，即代表完成了本视频的学习。</w:t>
      </w:r>
    </w:p>
    <w:p w14:paraId="2E9C0FAD">
      <w:pPr>
        <w:pStyle w:val="2"/>
        <w:ind w:left="0" w:leftChars="0" w:firstLine="402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20"/>
          <w:szCs w:val="20"/>
          <w:highlight w:val="none"/>
          <w:lang w:val="en-US" w:eastAsia="zh-CN" w:bidi="ar-SA"/>
        </w:rPr>
        <w:t>注意：一个课程可能有多个课程视频需要学习</w:t>
      </w:r>
    </w:p>
    <w:p w14:paraId="6B8D0B1B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1698625" cy="3353435"/>
            <wp:effectExtent l="0" t="0" r="15875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E2BC7">
      <w:pPr>
        <w:pStyle w:val="2"/>
        <w:ind w:left="0" w:leftChars="0" w:firstLine="400" w:firstLineChars="200"/>
        <w:jc w:val="both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t>（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  <w:lang w:val="en-US" w:eastAsia="zh-CN"/>
        </w:rPr>
        <w:t>在培训详情页面，当课程的学习进度为100%时，为完成本课程全部视频的学习。</w:t>
      </w:r>
    </w:p>
    <w:p w14:paraId="4E96159E">
      <w:pPr>
        <w:pStyle w:val="2"/>
        <w:ind w:left="0" w:leftChars="0" w:firstLine="400" w:firstLineChars="200"/>
        <w:jc w:val="both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若学习的课程不需要进行课程考试，专家在完成课程全部视频学习后，就能获得本课程的学分。若课程需要进行课程考试，则专家在通过考试后，获得本课程的学分。</w:t>
      </w:r>
    </w:p>
    <w:p w14:paraId="35A00BA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drawing>
          <wp:inline distT="0" distB="0" distL="114300" distR="114300">
            <wp:extent cx="1859280" cy="3802380"/>
            <wp:effectExtent l="0" t="0" r="7620" b="762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61C0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课程考试（配有考试的课程）</w:t>
      </w:r>
    </w:p>
    <w:p w14:paraId="3846A090">
      <w:pPr>
        <w:pStyle w:val="2"/>
        <w:ind w:left="0" w:leftChars="0" w:firstLine="400" w:firstLineChars="200"/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  <w:t>1.若专家学习的培训课程需要考试，则专家需要在完成本课程全部视频的学习后，才能进行本门课程的考试。专家须答对所有考试题目，方才考试合格，并获得本课程的学分。</w:t>
      </w:r>
    </w:p>
    <w:p w14:paraId="71AFAE94">
      <w:pPr>
        <w:pStyle w:val="2"/>
        <w:ind w:left="0" w:leftChars="0" w:firstLine="400" w:firstLineChars="200"/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  <w:t>2.课程考试。</w:t>
      </w:r>
    </w:p>
    <w:p w14:paraId="0D2A6E0B">
      <w:pPr>
        <w:pStyle w:val="2"/>
        <w:ind w:left="0" w:leftChars="0" w:firstLine="400" w:firstLineChars="200"/>
        <w:rPr>
          <w:rFonts w:hint="default" w:ascii="仿宋_GB2312" w:hAnsi="仿宋_GB2312" w:eastAsia="仿宋_GB2312" w:cs="仿宋_GB2312"/>
          <w:sz w:val="20"/>
          <w:szCs w:val="20"/>
          <w:lang w:val="en-US" w:eastAsia="zh-CN"/>
        </w:rPr>
      </w:pPr>
      <w:r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  <w:t>（1）专家在</w:t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视频学习页面，点击课程的考试，</w:t>
      </w:r>
      <w:r>
        <w:rPr>
          <w:rFonts w:hint="eastAsia" w:ascii="仿宋_GB2312" w:hAnsi="仿宋_GB2312" w:eastAsia="仿宋_GB2312" w:cs="仿宋_GB2312"/>
          <w:sz w:val="20"/>
          <w:szCs w:val="20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考试信息详情页面。</w:t>
      </w:r>
    </w:p>
    <w:p w14:paraId="08B7C10B"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drawing>
          <wp:inline distT="0" distB="0" distL="114300" distR="114300">
            <wp:extent cx="1662430" cy="3291840"/>
            <wp:effectExtent l="0" t="0" r="1270" b="1016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C5C7">
      <w:pPr>
        <w:pStyle w:val="2"/>
        <w:ind w:left="0" w:leftChars="0" w:firstLine="40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（2）在考试信息详情页面，展示考试相关信息，包括考试名称、考试时间、考试时长、题目题型及分值、试卷总分、及格分等。点击“</w:t>
      </w:r>
      <w:r>
        <w:drawing>
          <wp:inline distT="0" distB="0" distL="114300" distR="114300">
            <wp:extent cx="501650" cy="193675"/>
            <wp:effectExtent l="0" t="0" r="6350" b="952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”正式进入考试流程。</w:t>
      </w:r>
    </w:p>
    <w:p w14:paraId="14CD2362"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drawing>
          <wp:inline distT="0" distB="0" distL="114300" distR="114300">
            <wp:extent cx="1569085" cy="3354070"/>
            <wp:effectExtent l="0" t="0" r="12065" b="177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B08F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（3）在考试答题页面，点击“</w:t>
      </w:r>
      <w:r>
        <w:drawing>
          <wp:inline distT="0" distB="0" distL="114300" distR="114300">
            <wp:extent cx="523240" cy="263525"/>
            <wp:effectExtent l="0" t="0" r="10160" b="317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”或“</w:t>
      </w:r>
      <w:r>
        <w:drawing>
          <wp:inline distT="0" distB="0" distL="114300" distR="114300">
            <wp:extent cx="561975" cy="276860"/>
            <wp:effectExtent l="0" t="0" r="9525" b="254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”进行答题，手动勾选答案选项进行答题，进入多选题，系统会有提示，请认真答题。</w:t>
      </w:r>
    </w:p>
    <w:p w14:paraId="161F24E5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点击页面左下角“</w:t>
      </w:r>
      <w:r>
        <w:drawing>
          <wp:inline distT="0" distB="0" distL="114300" distR="114300">
            <wp:extent cx="476250" cy="381000"/>
            <wp:effectExtent l="0" t="0" r="6350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”，查看答题情况，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灰色为未答题，蓝色为已答题，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答题过程中如需对所选答案进行修改，可在答题卡区域内选择对应的题号，进行修改。</w:t>
      </w:r>
    </w:p>
    <w:p w14:paraId="20802C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sz w:val="20"/>
          <w:szCs w:val="20"/>
          <w:highlight w:val="none"/>
        </w:rPr>
      </w:pPr>
      <w:r>
        <w:drawing>
          <wp:inline distT="0" distB="0" distL="114300" distR="114300">
            <wp:extent cx="1435735" cy="3084195"/>
            <wp:effectExtent l="0" t="0" r="12065" b="190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  <w:t xml:space="preserve">        </w:t>
      </w:r>
      <w:r>
        <w:drawing>
          <wp:inline distT="0" distB="0" distL="114300" distR="114300">
            <wp:extent cx="1647825" cy="3061970"/>
            <wp:effectExtent l="0" t="0" r="9525" b="508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39C1">
      <w:pPr>
        <w:pStyle w:val="2"/>
        <w:numPr>
          <w:ilvl w:val="0"/>
          <w:numId w:val="0"/>
        </w:numPr>
        <w:ind w:firstLine="400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0"/>
          <w:szCs w:val="20"/>
          <w:highlight w:val="none"/>
          <w:lang w:val="en-US" w:eastAsia="zh-CN" w:bidi="ar-SA"/>
        </w:rPr>
      </w:pPr>
    </w:p>
    <w:p w14:paraId="5D78E477">
      <w:pPr>
        <w:pStyle w:val="2"/>
        <w:numPr>
          <w:ilvl w:val="0"/>
          <w:numId w:val="0"/>
        </w:numPr>
        <w:ind w:firstLine="400"/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0"/>
          <w:szCs w:val="20"/>
          <w:highlight w:val="none"/>
          <w:lang w:val="en-US" w:eastAsia="zh-CN" w:bidi="ar-SA"/>
        </w:rPr>
        <w:t>（4）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答题完成后，点击“</w:t>
      </w:r>
      <w:r>
        <w:drawing>
          <wp:inline distT="0" distB="0" distL="114300" distR="114300">
            <wp:extent cx="1280160" cy="265430"/>
            <wp:effectExtent l="0" t="0" r="2540" b="127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”进行交卷，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若不点击，考试时间到达以后系统自动交卷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。</w:t>
      </w:r>
    </w:p>
    <w:p w14:paraId="460B77EC">
      <w:pPr>
        <w:pStyle w:val="2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drawing>
          <wp:inline distT="0" distB="0" distL="114300" distR="114300">
            <wp:extent cx="1903095" cy="4046220"/>
            <wp:effectExtent l="0" t="0" r="1905" b="508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2940" cy="4035425"/>
            <wp:effectExtent l="0" t="0" r="10160" b="317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FE42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0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</w:p>
    <w:p w14:paraId="2B24D9B8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0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</w:p>
    <w:p w14:paraId="076B12E0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0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 xml:space="preserve">（5） </w:t>
      </w: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交卷后即可显示本次考试答题得分。</w:t>
      </w:r>
    </w:p>
    <w:p w14:paraId="77AFDDE0"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drawing>
          <wp:inline distT="0" distB="0" distL="114300" distR="114300">
            <wp:extent cx="1529715" cy="3197225"/>
            <wp:effectExtent l="0" t="0" r="13335" b="317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7970"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</w:p>
    <w:p w14:paraId="0530296B">
      <w:pPr>
        <w:ind w:left="0" w:leftChars="0" w:firstLine="400" w:firstLineChars="200"/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（6）考试结果查看。专家可在视频学习页面直接查看考试结果。若考试不及格，可再次点击</w:t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考试信息详情页面的“</w:t>
      </w:r>
      <w:r>
        <w:drawing>
          <wp:inline distT="0" distB="0" distL="114300" distR="114300">
            <wp:extent cx="666750" cy="257175"/>
            <wp:effectExtent l="0" t="0" r="0" b="9525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20"/>
          <w:szCs w:val="20"/>
          <w:highlight w:val="none"/>
          <w:lang w:val="en-US" w:eastAsia="zh-CN" w:bidi="ar-SA"/>
        </w:rPr>
        <w:t>”按钮，再次进行考试。</w:t>
      </w:r>
    </w:p>
    <w:p w14:paraId="5C86949A"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609725" cy="3251200"/>
            <wp:effectExtent l="0" t="0" r="9525" b="6350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8760" cy="3246755"/>
            <wp:effectExtent l="0" t="0" r="15240" b="1079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D9FEC">
      <w:pPr>
        <w:pStyle w:val="2"/>
        <w:ind w:left="0" w:leftChars="0" w:firstLine="402" w:firstLineChars="200"/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0"/>
          <w:szCs w:val="20"/>
          <w:highlight w:val="none"/>
          <w:lang w:val="en-US" w:eastAsia="zh-CN"/>
        </w:rPr>
        <w:t>注：若考试过程中退出系统，可以在当前有效考试时段内登录系统，进入正在进行的考试。但考试时间不会暂停计时，系统将按照首次进入考试时间进行倒计时，在继续考试页面中显示剩余考试时间。</w:t>
      </w:r>
    </w:p>
    <w:p w14:paraId="05AF2024">
      <w:pPr>
        <w:pStyle w:val="4"/>
        <w:bidi w:val="0"/>
        <w:rPr>
          <w:rFonts w:hint="default" w:ascii="黑体" w:hAnsi="黑体" w:cs="黑体"/>
          <w:color w:val="auto"/>
          <w:sz w:val="20"/>
          <w:szCs w:val="20"/>
          <w:highlight w:val="none"/>
          <w:lang w:val="en-US" w:eastAsia="zh-CN"/>
        </w:rPr>
      </w:pPr>
      <w:bookmarkStart w:id="16" w:name="_Toc14370"/>
      <w:r>
        <w:rPr>
          <w:rFonts w:hint="eastAsia" w:ascii="黑体" w:hAnsi="黑体" w:cs="黑体"/>
          <w:color w:val="auto"/>
          <w:sz w:val="20"/>
          <w:szCs w:val="20"/>
          <w:highlight w:val="none"/>
          <w:lang w:val="en-US" w:eastAsia="zh-CN"/>
        </w:rPr>
        <w:t>培训考试学分查看</w:t>
      </w:r>
      <w:bookmarkEnd w:id="16"/>
    </w:p>
    <w:p w14:paraId="704272EE">
      <w:pP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0"/>
          <w:szCs w:val="20"/>
          <w:highlight w:val="none"/>
          <w:lang w:val="en-US" w:eastAsia="zh-CN"/>
        </w:rPr>
        <w:t>在培训详情页面，专家可查看本人已获学分，包括总学分、必修学分、选修学分。</w:t>
      </w:r>
    </w:p>
    <w:p w14:paraId="1F10D997">
      <w:pPr>
        <w:ind w:left="0" w:leftChars="0" w:firstLine="0" w:firstLineChars="0"/>
        <w:jc w:val="center"/>
        <w:rPr>
          <w:rFonts w:hint="eastAsia" w:ascii="黑体" w:hAnsi="黑体" w:eastAsia="黑体" w:cs="黑体"/>
          <w:color w:val="auto"/>
          <w:sz w:val="20"/>
          <w:szCs w:val="20"/>
          <w:highlight w:val="none"/>
          <w:lang w:val="en-US" w:eastAsia="zh-CN"/>
        </w:rPr>
      </w:pPr>
      <w:r>
        <w:drawing>
          <wp:inline distT="0" distB="0" distL="114300" distR="114300">
            <wp:extent cx="1861820" cy="3507105"/>
            <wp:effectExtent l="0" t="0" r="5080" b="1079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38"/>
      <w:pgMar w:top="1418" w:right="1134" w:bottom="1134" w:left="1134" w:header="907" w:footer="340" w:gutter="0"/>
      <w:pgNumType w:fmt="numberInDash" w:start="1"/>
      <w:cols w:space="720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00"/>
      </w:pPr>
      <w:r>
        <w:separator/>
      </w:r>
    </w:p>
  </w:endnote>
  <w:endnote w:type="continuationSeparator" w:id="1">
    <w:p>
      <w:pPr>
        <w:spacing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9701E">
    <w:pPr>
      <w:pStyle w:val="13"/>
    </w:pPr>
  </w:p>
  <w:p w14:paraId="27286FB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6055"/>
      <w:docPartList>
        <w:docPartGallery w:val="autotext"/>
      </w:docPartList>
    </w:sdtPr>
    <w:sdtContent>
      <w:p w14:paraId="110BBAA0"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1 -</w:t>
        </w:r>
        <w:r>
          <w:fldChar w:fldCharType="end"/>
        </w:r>
      </w:p>
    </w:sdtContent>
  </w:sdt>
  <w:p w14:paraId="3080BE44">
    <w:pPr>
      <w:pStyle w:val="13"/>
    </w:pPr>
  </w:p>
  <w:p w14:paraId="66CF53B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00"/>
      </w:pPr>
      <w:r>
        <w:separator/>
      </w:r>
    </w:p>
  </w:footnote>
  <w:footnote w:type="continuationSeparator" w:id="1">
    <w:p>
      <w:pPr>
        <w:spacing w:line="30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DF455">
    <w:pPr>
      <w:ind w:left="480" w:firstLine="0" w:firstLineChars="0"/>
    </w:pPr>
  </w:p>
  <w:p w14:paraId="08110C7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43B4D1"/>
    <w:multiLevelType w:val="multilevel"/>
    <w:tmpl w:val="A143B4D1"/>
    <w:lvl w:ilvl="0" w:tentative="0">
      <w:start w:val="1"/>
      <w:numFmt w:val="decimal"/>
      <w:pStyle w:val="3"/>
      <w:suff w:val="space"/>
      <w:lvlText w:val="%1"/>
      <w:lvlJc w:val="left"/>
      <w:pPr>
        <w:ind w:left="432" w:hanging="432"/>
      </w:pPr>
      <w:rPr>
        <w:rFonts w:hint="eastAsia" w:ascii="黑体" w:hAnsi="黑体" w:eastAsia="黑体"/>
        <w:b w:val="0"/>
        <w:i w:val="0"/>
        <w:sz w:val="20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6" w:hanging="576"/>
      </w:pPr>
      <w:rPr>
        <w:rFonts w:hint="eastAsia" w:ascii="黑体" w:hAnsi="黑体" w:eastAsia="黑体"/>
        <w:b w:val="0"/>
        <w:i w:val="0"/>
        <w:sz w:val="20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ind w:left="720" w:hanging="720"/>
      </w:pPr>
      <w:rPr>
        <w:rFonts w:hint="eastAsia" w:ascii="黑体" w:hAnsi="黑体" w:eastAsia="黑体"/>
        <w:b w:val="0"/>
        <w:i w:val="0"/>
        <w:sz w:val="20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ind w:left="864" w:hanging="864"/>
      </w:pPr>
      <w:rPr>
        <w:rFonts w:hint="eastAsia" w:ascii="黑体" w:hAnsi="黑体" w:eastAsia="黑体"/>
        <w:b w:val="0"/>
        <w:i w:val="0"/>
        <w:sz w:val="20"/>
      </w:rPr>
    </w:lvl>
    <w:lvl w:ilvl="4" w:tentative="0">
      <w:start w:val="1"/>
      <w:numFmt w:val="decimal"/>
      <w:pStyle w:val="7"/>
      <w:suff w:val="space"/>
      <w:lvlText w:val="%1.%2.%3.%4.%5"/>
      <w:lvlJc w:val="left"/>
      <w:pPr>
        <w:ind w:left="1008" w:hanging="1008"/>
      </w:pPr>
      <w:rPr>
        <w:rFonts w:hint="eastAsia" w:ascii="黑体" w:hAnsi="黑体" w:eastAsia="黑体"/>
        <w:b w:val="0"/>
        <w:i w:val="0"/>
        <w:sz w:val="20"/>
      </w:rPr>
    </w:lvl>
    <w:lvl w:ilvl="5" w:tentative="0">
      <w:start w:val="1"/>
      <w:numFmt w:val="decimal"/>
      <w:pStyle w:val="8"/>
      <w:suff w:val="space"/>
      <w:lvlText w:val="%1.%2.%3.%4.%5.%6"/>
      <w:lvlJc w:val="left"/>
      <w:pPr>
        <w:ind w:left="1152" w:hanging="1152"/>
      </w:pPr>
      <w:rPr>
        <w:rFonts w:hint="eastAsia" w:ascii="黑体" w:hAnsi="黑体" w:eastAsia="黑体"/>
        <w:b w:val="0"/>
        <w:i w:val="0"/>
        <w:sz w:val="20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dit="readOnly" w:enforcement="0"/>
  <w:defaultTabStop w:val="18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iNTlmYjM4YjFhODRjNjk3ZjkwZjg3MjdmNGI5ODQifQ=="/>
  </w:docVars>
  <w:rsids>
    <w:rsidRoot w:val="00000000"/>
    <w:rsid w:val="01664A06"/>
    <w:rsid w:val="02A5587C"/>
    <w:rsid w:val="02F81927"/>
    <w:rsid w:val="034559E8"/>
    <w:rsid w:val="044158F6"/>
    <w:rsid w:val="05AD7DDA"/>
    <w:rsid w:val="05C649F8"/>
    <w:rsid w:val="07D16002"/>
    <w:rsid w:val="080A47BA"/>
    <w:rsid w:val="08C77405"/>
    <w:rsid w:val="09594501"/>
    <w:rsid w:val="09E518F1"/>
    <w:rsid w:val="09F80281"/>
    <w:rsid w:val="0A042E8E"/>
    <w:rsid w:val="0A4D0E74"/>
    <w:rsid w:val="0A9A6B7F"/>
    <w:rsid w:val="0B1701D0"/>
    <w:rsid w:val="0C2F779B"/>
    <w:rsid w:val="0C6D4097"/>
    <w:rsid w:val="0C773CE3"/>
    <w:rsid w:val="0E172295"/>
    <w:rsid w:val="104D6442"/>
    <w:rsid w:val="10A2678D"/>
    <w:rsid w:val="10AD3456"/>
    <w:rsid w:val="10C01298"/>
    <w:rsid w:val="11E03E39"/>
    <w:rsid w:val="12A04F4F"/>
    <w:rsid w:val="13D44784"/>
    <w:rsid w:val="13F60B9E"/>
    <w:rsid w:val="14193665"/>
    <w:rsid w:val="14653AFF"/>
    <w:rsid w:val="14902DA1"/>
    <w:rsid w:val="14F561EC"/>
    <w:rsid w:val="150F7707"/>
    <w:rsid w:val="15602773"/>
    <w:rsid w:val="16191C7F"/>
    <w:rsid w:val="16B23B0F"/>
    <w:rsid w:val="173739A8"/>
    <w:rsid w:val="17A0154D"/>
    <w:rsid w:val="183418BA"/>
    <w:rsid w:val="18DA65B9"/>
    <w:rsid w:val="18EF521B"/>
    <w:rsid w:val="198A015E"/>
    <w:rsid w:val="19A370D2"/>
    <w:rsid w:val="19CF7C98"/>
    <w:rsid w:val="1D1218AC"/>
    <w:rsid w:val="1F183313"/>
    <w:rsid w:val="20914128"/>
    <w:rsid w:val="21DE15EF"/>
    <w:rsid w:val="24CC1BD3"/>
    <w:rsid w:val="255319AC"/>
    <w:rsid w:val="25AB572E"/>
    <w:rsid w:val="270E0900"/>
    <w:rsid w:val="28D86574"/>
    <w:rsid w:val="2A64186B"/>
    <w:rsid w:val="2B6C37C8"/>
    <w:rsid w:val="2D4C6D57"/>
    <w:rsid w:val="2D796670"/>
    <w:rsid w:val="2F6735F2"/>
    <w:rsid w:val="31E370EE"/>
    <w:rsid w:val="323B0398"/>
    <w:rsid w:val="35357321"/>
    <w:rsid w:val="363475D8"/>
    <w:rsid w:val="36590DED"/>
    <w:rsid w:val="372E0BE2"/>
    <w:rsid w:val="37347315"/>
    <w:rsid w:val="37EB0437"/>
    <w:rsid w:val="380354B4"/>
    <w:rsid w:val="38305B7D"/>
    <w:rsid w:val="38624B0F"/>
    <w:rsid w:val="392F4087"/>
    <w:rsid w:val="3BBF4EFF"/>
    <w:rsid w:val="3C1E0B0E"/>
    <w:rsid w:val="3E597106"/>
    <w:rsid w:val="40436DC7"/>
    <w:rsid w:val="41460A47"/>
    <w:rsid w:val="42321379"/>
    <w:rsid w:val="42A460CD"/>
    <w:rsid w:val="42D476FC"/>
    <w:rsid w:val="44B042CE"/>
    <w:rsid w:val="46FA6B7B"/>
    <w:rsid w:val="48030BB8"/>
    <w:rsid w:val="481C4DD7"/>
    <w:rsid w:val="4C7958ED"/>
    <w:rsid w:val="4CB5481F"/>
    <w:rsid w:val="4DD612AC"/>
    <w:rsid w:val="4EAE5953"/>
    <w:rsid w:val="4F43326C"/>
    <w:rsid w:val="51E952C3"/>
    <w:rsid w:val="51F577C4"/>
    <w:rsid w:val="52CB118B"/>
    <w:rsid w:val="56497CCD"/>
    <w:rsid w:val="570A5ABF"/>
    <w:rsid w:val="58435AED"/>
    <w:rsid w:val="596465BF"/>
    <w:rsid w:val="5B8D6CBF"/>
    <w:rsid w:val="5D333896"/>
    <w:rsid w:val="60340051"/>
    <w:rsid w:val="60486C91"/>
    <w:rsid w:val="612E4AA0"/>
    <w:rsid w:val="616B6C74"/>
    <w:rsid w:val="62AF1C11"/>
    <w:rsid w:val="635B76A3"/>
    <w:rsid w:val="641312B2"/>
    <w:rsid w:val="64FB2EEB"/>
    <w:rsid w:val="65085608"/>
    <w:rsid w:val="650D2C1F"/>
    <w:rsid w:val="653D63DE"/>
    <w:rsid w:val="65F62C03"/>
    <w:rsid w:val="66246472"/>
    <w:rsid w:val="677A27ED"/>
    <w:rsid w:val="68921DB9"/>
    <w:rsid w:val="68D30B09"/>
    <w:rsid w:val="6CB90110"/>
    <w:rsid w:val="6CD72490"/>
    <w:rsid w:val="711D41EA"/>
    <w:rsid w:val="71531911"/>
    <w:rsid w:val="71F15DA2"/>
    <w:rsid w:val="72E70F53"/>
    <w:rsid w:val="73D02E2F"/>
    <w:rsid w:val="73F41B79"/>
    <w:rsid w:val="74F13183"/>
    <w:rsid w:val="75DE0FEC"/>
    <w:rsid w:val="788D5AA8"/>
    <w:rsid w:val="79DA5FE4"/>
    <w:rsid w:val="7ACD17B3"/>
    <w:rsid w:val="7B0709AB"/>
    <w:rsid w:val="7BBF481B"/>
    <w:rsid w:val="7C484810"/>
    <w:rsid w:val="7D586CD5"/>
    <w:rsid w:val="7D7D2BE0"/>
    <w:rsid w:val="7E0E55E6"/>
    <w:rsid w:val="7EE30820"/>
    <w:rsid w:val="7F8B2CB0"/>
    <w:rsid w:val="BF33CC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00" w:lineRule="auto"/>
      <w:ind w:firstLine="200" w:firstLineChars="200"/>
      <w:jc w:val="both"/>
    </w:pPr>
    <w:rPr>
      <w:rFonts w:ascii="宋体" w:hAnsi="Times New Roman" w:eastAsia="宋体" w:cs="Arial"/>
      <w:kern w:val="2"/>
      <w:sz w:val="20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spacing w:before="50" w:beforeLines="50" w:after="50" w:afterLines="50"/>
      <w:ind w:left="200" w:hanging="200" w:hangingChars="200"/>
      <w:jc w:val="left"/>
      <w:outlineLvl w:val="0"/>
    </w:pPr>
    <w:rPr>
      <w:rFonts w:eastAsia="黑体"/>
      <w:bCs/>
      <w:kern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widowControl w:val="0"/>
      <w:numPr>
        <w:ilvl w:val="1"/>
        <w:numId w:val="1"/>
      </w:numPr>
      <w:spacing w:before="50" w:beforeLines="50" w:after="50" w:afterLines="50"/>
      <w:ind w:left="200" w:hanging="200" w:hangingChars="200"/>
      <w:jc w:val="left"/>
      <w:outlineLvl w:val="1"/>
    </w:pPr>
    <w:rPr>
      <w:rFonts w:ascii="Calibri Light" w:hAnsi="Calibri Light" w:eastAsia="黑体" w:cs="Times New Roman"/>
      <w:bCs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widowControl w:val="0"/>
      <w:numPr>
        <w:ilvl w:val="2"/>
        <w:numId w:val="1"/>
      </w:numPr>
      <w:spacing w:before="50" w:beforeLines="50" w:after="50" w:afterLines="50"/>
      <w:ind w:left="200" w:hanging="200" w:hangingChars="200"/>
      <w:jc w:val="left"/>
      <w:outlineLvl w:val="2"/>
    </w:pPr>
    <w:rPr>
      <w:rFonts w:eastAsia="黑体"/>
      <w:bCs/>
      <w:szCs w:val="32"/>
    </w:rPr>
  </w:style>
  <w:style w:type="paragraph" w:styleId="6">
    <w:name w:val="heading 4"/>
    <w:basedOn w:val="1"/>
    <w:next w:val="1"/>
    <w:qFormat/>
    <w:uiPriority w:val="0"/>
    <w:pPr>
      <w:keepNext/>
      <w:keepLines/>
      <w:widowControl w:val="0"/>
      <w:numPr>
        <w:ilvl w:val="3"/>
        <w:numId w:val="1"/>
      </w:numPr>
      <w:spacing w:before="50" w:beforeLines="50" w:after="50" w:afterLines="50"/>
      <w:ind w:left="200" w:hanging="200" w:hangingChars="200"/>
      <w:jc w:val="left"/>
      <w:outlineLvl w:val="3"/>
    </w:pPr>
    <w:rPr>
      <w:rFonts w:ascii="Calibri Light" w:hAnsi="Calibri Light" w:eastAsia="黑体" w:cs="Times New Roman"/>
      <w:bCs/>
      <w:szCs w:val="28"/>
    </w:rPr>
  </w:style>
  <w:style w:type="paragraph" w:styleId="7">
    <w:name w:val="heading 5"/>
    <w:basedOn w:val="1"/>
    <w:next w:val="1"/>
    <w:qFormat/>
    <w:uiPriority w:val="0"/>
    <w:pPr>
      <w:keepNext/>
      <w:keepLines/>
      <w:widowControl w:val="0"/>
      <w:numPr>
        <w:ilvl w:val="4"/>
        <w:numId w:val="1"/>
      </w:numPr>
      <w:spacing w:before="50" w:beforeLines="50" w:after="50" w:afterLines="50"/>
      <w:ind w:left="200" w:hanging="200" w:hangingChars="200"/>
      <w:jc w:val="left"/>
      <w:outlineLvl w:val="4"/>
    </w:pPr>
    <w:rPr>
      <w:rFonts w:eastAsia="黑体"/>
      <w:bCs/>
      <w:szCs w:val="28"/>
    </w:rPr>
  </w:style>
  <w:style w:type="paragraph" w:styleId="8">
    <w:name w:val="heading 6"/>
    <w:basedOn w:val="1"/>
    <w:next w:val="1"/>
    <w:qFormat/>
    <w:uiPriority w:val="0"/>
    <w:pPr>
      <w:keepNext/>
      <w:keepLines/>
      <w:widowControl w:val="0"/>
      <w:numPr>
        <w:ilvl w:val="5"/>
        <w:numId w:val="1"/>
      </w:numPr>
      <w:spacing w:before="50" w:beforeLines="50" w:after="50" w:afterLines="50"/>
      <w:ind w:left="200" w:hanging="200" w:hangingChars="200"/>
      <w:jc w:val="left"/>
      <w:outlineLvl w:val="5"/>
    </w:pPr>
    <w:rPr>
      <w:rFonts w:ascii="Calibri Light" w:hAnsi="Calibri Light" w:eastAsia="黑体" w:cs="Times New Roman"/>
      <w:bCs/>
      <w:szCs w:val="24"/>
    </w:rPr>
  </w:style>
  <w:style w:type="paragraph" w:styleId="9">
    <w:name w:val="heading 7"/>
    <w:basedOn w:val="1"/>
    <w:next w:val="1"/>
    <w:qFormat/>
    <w:uiPriority w:val="0"/>
    <w:pPr>
      <w:keepNext/>
      <w:keepLines/>
      <w:widowControl w:val="0"/>
      <w:numPr>
        <w:ilvl w:val="6"/>
        <w:numId w:val="1"/>
      </w:numPr>
      <w:spacing w:before="240" w:after="64" w:line="319" w:lineRule="auto"/>
      <w:ind w:left="1296" w:firstLine="0" w:firstLineChars="0"/>
      <w:outlineLvl w:val="6"/>
    </w:pPr>
    <w:rPr>
      <w:b/>
      <w:bCs/>
      <w:szCs w:val="24"/>
    </w:rPr>
  </w:style>
  <w:style w:type="paragraph" w:styleId="10">
    <w:name w:val="heading 8"/>
    <w:basedOn w:val="1"/>
    <w:next w:val="1"/>
    <w:qFormat/>
    <w:uiPriority w:val="0"/>
    <w:pPr>
      <w:keepNext/>
      <w:keepLines/>
      <w:widowControl w:val="0"/>
      <w:numPr>
        <w:ilvl w:val="7"/>
        <w:numId w:val="1"/>
      </w:numPr>
      <w:spacing w:before="240" w:after="64" w:line="319" w:lineRule="auto"/>
      <w:ind w:left="1440" w:firstLine="0" w:firstLineChars="0"/>
      <w:outlineLvl w:val="7"/>
    </w:pPr>
    <w:rPr>
      <w:rFonts w:ascii="Calibri Light" w:hAnsi="Calibri Light" w:eastAsia="宋体" w:cs="Times New Roman"/>
      <w:szCs w:val="24"/>
    </w:rPr>
  </w:style>
  <w:style w:type="paragraph" w:styleId="11">
    <w:name w:val="heading 9"/>
    <w:basedOn w:val="1"/>
    <w:next w:val="1"/>
    <w:qFormat/>
    <w:uiPriority w:val="0"/>
    <w:pPr>
      <w:keepNext/>
      <w:keepLines/>
      <w:widowControl w:val="0"/>
      <w:numPr>
        <w:ilvl w:val="8"/>
        <w:numId w:val="1"/>
      </w:numPr>
      <w:spacing w:before="240" w:after="64" w:line="319" w:lineRule="auto"/>
      <w:ind w:left="1584" w:firstLine="0" w:firstLineChars="0"/>
      <w:outlineLvl w:val="8"/>
    </w:pPr>
    <w:rPr>
      <w:rFonts w:ascii="Calibri Light" w:hAnsi="Calibri Light" w:eastAsia="宋体" w:cs="Times New Roman"/>
      <w:sz w:val="21"/>
      <w:szCs w:val="21"/>
    </w:rPr>
  </w:style>
  <w:style w:type="character" w:default="1" w:styleId="20">
    <w:name w:val="Default Paragraph Font"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12">
    <w:name w:val="toc 3"/>
    <w:basedOn w:val="1"/>
    <w:next w:val="1"/>
    <w:qFormat/>
    <w:uiPriority w:val="0"/>
    <w:pPr>
      <w:spacing w:before="50" w:beforeLines="50" w:after="50" w:afterLines="50"/>
      <w:ind w:left="403"/>
      <w:jc w:val="left"/>
    </w:pPr>
    <w:rPr>
      <w:rFonts w:cs="仿宋"/>
      <w:szCs w:val="20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0"/>
    <w:pPr>
      <w:spacing w:before="50" w:beforeLines="50" w:after="50" w:afterLines="50"/>
      <w:jc w:val="left"/>
    </w:pPr>
    <w:rPr>
      <w:rFonts w:cs="仿宋"/>
      <w:bCs/>
      <w:szCs w:val="20"/>
    </w:rPr>
  </w:style>
  <w:style w:type="paragraph" w:styleId="16">
    <w:name w:val="toc 4"/>
    <w:basedOn w:val="1"/>
    <w:next w:val="1"/>
    <w:qFormat/>
    <w:uiPriority w:val="0"/>
    <w:pPr>
      <w:spacing w:before="50" w:beforeLines="50" w:after="50" w:afterLines="50"/>
      <w:ind w:left="600" w:leftChars="600"/>
    </w:pPr>
  </w:style>
  <w:style w:type="paragraph" w:styleId="17">
    <w:name w:val="toc 2"/>
    <w:basedOn w:val="1"/>
    <w:next w:val="1"/>
    <w:qFormat/>
    <w:uiPriority w:val="0"/>
    <w:pPr>
      <w:spacing w:before="50" w:beforeLines="50" w:after="50" w:afterLines="50"/>
      <w:ind w:left="198"/>
      <w:jc w:val="left"/>
    </w:pPr>
    <w:rPr>
      <w:rFonts w:cs="仿宋"/>
      <w:iCs/>
      <w:szCs w:val="20"/>
    </w:rPr>
  </w:style>
  <w:style w:type="paragraph" w:styleId="18">
    <w:name w:val="Title"/>
    <w:basedOn w:val="1"/>
    <w:next w:val="1"/>
    <w:qFormat/>
    <w:uiPriority w:val="0"/>
    <w:pPr>
      <w:jc w:val="center"/>
      <w:outlineLvl w:val="0"/>
    </w:pPr>
    <w:rPr>
      <w:rFonts w:ascii="Calibri Light" w:hAnsi="Calibri Light" w:cs="Times New Roman"/>
      <w:bCs/>
      <w:szCs w:val="32"/>
    </w:rPr>
  </w:style>
  <w:style w:type="character" w:styleId="21">
    <w:name w:val="Hyperlink"/>
    <w:basedOn w:val="20"/>
    <w:qFormat/>
    <w:uiPriority w:val="0"/>
    <w:rPr>
      <w:color w:val="0563C1"/>
      <w:u w:val="single"/>
    </w:rPr>
  </w:style>
  <w:style w:type="paragraph" w:customStyle="1" w:styleId="22">
    <w:name w:val="Body Text First Indent 21"/>
    <w:basedOn w:val="1"/>
    <w:qFormat/>
    <w:uiPriority w:val="0"/>
    <w:pPr>
      <w:spacing w:after="120"/>
      <w:ind w:left="200" w:leftChars="200"/>
    </w:pPr>
    <w:rPr>
      <w:rFonts w:ascii="仿宋_GB2312" w:eastAsia="仿宋_GB2312" w:cs="仿宋_GB2312"/>
      <w:sz w:val="32"/>
      <w:szCs w:val="32"/>
      <w:lang w:bidi="ar-SA"/>
    </w:rPr>
  </w:style>
  <w:style w:type="paragraph" w:styleId="23">
    <w:name w:val="List Paragraph"/>
    <w:basedOn w:val="1"/>
    <w:qFormat/>
    <w:uiPriority w:val="0"/>
  </w:style>
  <w:style w:type="paragraph" w:customStyle="1" w:styleId="24">
    <w:name w:val="段落正文"/>
    <w:basedOn w:val="1"/>
    <w:qFormat/>
    <w:uiPriority w:val="0"/>
    <w:pPr>
      <w:spacing w:after="50" w:afterLines="50" w:line="360" w:lineRule="auto"/>
      <w:jc w:val="left"/>
    </w:pPr>
    <w:rPr>
      <w:rFonts w:ascii="Times New Roman" w:hAnsi="Times New Roman" w:cs="Times New Roman"/>
      <w:sz w:val="28"/>
      <w:szCs w:val="24"/>
    </w:rPr>
  </w:style>
  <w:style w:type="paragraph" w:customStyle="1" w:styleId="25">
    <w:name w:val="Heading #1|1"/>
    <w:basedOn w:val="1"/>
    <w:qFormat/>
    <w:uiPriority w:val="0"/>
    <w:pPr>
      <w:widowControl w:val="0"/>
      <w:shd w:val="clear" w:color="auto" w:fill="auto"/>
      <w:spacing w:after="440"/>
      <w:jc w:val="center"/>
      <w:outlineLvl w:val="0"/>
    </w:pPr>
    <w:rPr>
      <w:rFonts w:ascii="宋体" w:eastAsia="宋体" w:cs="宋体"/>
      <w:sz w:val="56"/>
      <w:szCs w:val="56"/>
      <w:u w:val="none"/>
      <w:shd w:val="clear" w:color="auto" w:fill="auto"/>
      <w:lang w:val="zh-TW" w:eastAsia="zh-TW" w:bidi="zh-TW"/>
    </w:rPr>
  </w:style>
  <w:style w:type="paragraph" w:customStyle="1" w:styleId="26">
    <w:name w:val="Body text|2"/>
    <w:basedOn w:val="1"/>
    <w:qFormat/>
    <w:uiPriority w:val="0"/>
    <w:pPr>
      <w:widowControl w:val="0"/>
      <w:shd w:val="clear" w:color="auto" w:fill="auto"/>
      <w:spacing w:after="670" w:line="228" w:lineRule="auto"/>
      <w:jc w:val="center"/>
    </w:pPr>
    <w:rPr>
      <w:sz w:val="20"/>
      <w:szCs w:val="20"/>
      <w:u w:val="none"/>
      <w:shd w:val="clear" w:color="auto" w:fill="auto"/>
    </w:rPr>
  </w:style>
  <w:style w:type="paragraph" w:customStyle="1" w:styleId="27">
    <w:name w:val="Heading #2|1"/>
    <w:basedOn w:val="1"/>
    <w:qFormat/>
    <w:uiPriority w:val="0"/>
    <w:pPr>
      <w:widowControl w:val="0"/>
      <w:shd w:val="clear" w:color="auto" w:fill="auto"/>
      <w:spacing w:after="520"/>
      <w:jc w:val="center"/>
      <w:outlineLvl w:val="1"/>
    </w:pPr>
    <w:rPr>
      <w:rFonts w:ascii="宋体" w:eastAsia="宋体" w:cs="宋体"/>
      <w:sz w:val="50"/>
      <w:szCs w:val="50"/>
      <w:u w:val="none"/>
      <w:shd w:val="clear" w:color="auto" w:fill="auto"/>
      <w:lang w:val="zh-TW" w:eastAsia="zh-TW" w:bidi="zh-TW"/>
    </w:rPr>
  </w:style>
  <w:style w:type="paragraph" w:customStyle="1" w:styleId="28">
    <w:name w:val="Body text|5"/>
    <w:basedOn w:val="1"/>
    <w:qFormat/>
    <w:uiPriority w:val="0"/>
    <w:pPr>
      <w:widowControl w:val="0"/>
      <w:shd w:val="clear" w:color="auto" w:fill="auto"/>
      <w:spacing w:after="440"/>
    </w:pPr>
    <w:rPr>
      <w:b/>
      <w:bCs/>
      <w:sz w:val="26"/>
      <w:szCs w:val="26"/>
      <w:u w:val="none"/>
      <w:shd w:val="clear" w:color="auto" w:fill="auto"/>
    </w:rPr>
  </w:style>
  <w:style w:type="paragraph" w:customStyle="1" w:styleId="29">
    <w:name w:val="Body text|3"/>
    <w:basedOn w:val="1"/>
    <w:qFormat/>
    <w:uiPriority w:val="0"/>
    <w:pPr>
      <w:widowControl w:val="0"/>
      <w:shd w:val="clear" w:color="auto" w:fill="auto"/>
      <w:spacing w:after="60" w:line="360" w:lineRule="auto"/>
      <w:jc w:val="center"/>
    </w:pPr>
    <w:rPr>
      <w:rFonts w:ascii="宋体" w:eastAsia="宋体" w:cs="宋体"/>
      <w:sz w:val="17"/>
      <w:szCs w:val="17"/>
      <w:u w:val="none"/>
      <w:shd w:val="clear" w:color="auto" w:fill="auto"/>
      <w:lang w:val="zh-TW" w:eastAsia="zh-TW" w:bidi="zh-TW"/>
    </w:rPr>
  </w:style>
  <w:style w:type="paragraph" w:customStyle="1" w:styleId="30">
    <w:name w:val="Body text|1"/>
    <w:basedOn w:val="1"/>
    <w:qFormat/>
    <w:uiPriority w:val="0"/>
    <w:pPr>
      <w:widowControl w:val="0"/>
      <w:shd w:val="clear" w:color="auto" w:fill="auto"/>
      <w:spacing w:after="30" w:line="283" w:lineRule="auto"/>
      <w:jc w:val="center"/>
    </w:pPr>
    <w:rPr>
      <w:rFonts w:asci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31">
    <w:name w:val="Body text|4"/>
    <w:basedOn w:val="1"/>
    <w:qFormat/>
    <w:uiPriority w:val="0"/>
    <w:pPr>
      <w:widowControl w:val="0"/>
      <w:shd w:val="clear" w:color="auto" w:fill="auto"/>
      <w:spacing w:after="80" w:line="334" w:lineRule="auto"/>
      <w:jc w:val="center"/>
    </w:pPr>
    <w:rPr>
      <w:sz w:val="17"/>
      <w:szCs w:val="17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6" Type="http://schemas.openxmlformats.org/officeDocument/2006/relationships/fontTable" Target="fontTable.xml"/><Relationship Id="rId65" Type="http://schemas.openxmlformats.org/officeDocument/2006/relationships/numbering" Target="numbering.xml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china</Company>
  <Pages>20</Pages>
  <Words>2449</Words>
  <Characters>2530</Characters>
  <Lines>164</Lines>
  <Paragraphs>83</Paragraphs>
  <TotalTime>53</TotalTime>
  <ScaleCrop>false</ScaleCrop>
  <LinksUpToDate>false</LinksUpToDate>
  <CharactersWithSpaces>2587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2019-05-30T22:54:00Z</dcterms:created>
  <dc:creator>china</dc:creator>
  <cp:lastModifiedBy>TS</cp:lastModifiedBy>
  <dcterms:modified xsi:type="dcterms:W3CDTF">2025-01-26T06:50:05Z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8CB3693AB9634FE297CB6B15F3DBAA60</vt:lpwstr>
  </property>
  <property fmtid="{D5CDD505-2E9C-101B-9397-08002B2CF9AE}" pid="4" name="KSOTemplateDocerSaveRecord">
    <vt:lpwstr>eyJoZGlkIjoiMmU2ZjVhOTFiZjk4YjQwZjBhNzJlMDEyY2E0YTZkMmUiLCJ1c2VySWQiOiI3NDc5OTMzODkifQ==</vt:lpwstr>
  </property>
</Properties>
</file>