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77C23">
      <w:pPr>
        <w:pageBreakBefore w:val="0"/>
        <w:kinsoku/>
        <w:wordWrap w:val="0"/>
        <w:overflowPunct/>
        <w:bidi w:val="0"/>
        <w:spacing w:line="400" w:lineRule="exact"/>
        <w:jc w:val="center"/>
        <w:rPr>
          <w:rFonts w:ascii="Times New Roman" w:hAnsi="Times New Roman"/>
          <w:smallCaps w:val="0"/>
          <w:color w:val="000000" w:themeColor="text1"/>
          <w:highlight w:val="none"/>
          <w14:textFill>
            <w14:solidFill>
              <w14:schemeClr w14:val="tx1"/>
            </w14:solidFill>
          </w14:textFill>
        </w:rPr>
      </w:pPr>
    </w:p>
    <w:p w14:paraId="0AFFF296">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512952CC">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759F24CD">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49520698">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5AD45872">
      <w:pPr>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p>
    <w:p w14:paraId="1CD487E1">
      <w:pPr>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p>
    <w:p w14:paraId="6D90B097">
      <w:pPr>
        <w:pStyle w:val="62"/>
        <w:pageBreakBefore w:val="0"/>
        <w:kinsoku/>
        <w:wordWrap w:val="0"/>
        <w:overflowPunct/>
        <w:bidi w:val="0"/>
        <w:rPr>
          <w:rFonts w:hint="eastAsia" w:ascii="方正小标宋简体" w:hAnsi="方正小标宋简体" w:eastAsia="方正小标宋简体" w:cs="方正小标宋简体"/>
          <w:b w:val="0"/>
          <w:bCs w:val="0"/>
          <w:smallCaps w:val="0"/>
          <w:color w:val="000000" w:themeColor="text1"/>
          <w:sz w:val="52"/>
          <w:szCs w:val="52"/>
          <w:highlight w:val="none"/>
          <w:lang w:val="en-US"/>
          <w14:textFill>
            <w14:solidFill>
              <w14:schemeClr w14:val="tx1"/>
            </w14:solidFill>
          </w14:textFill>
        </w:rPr>
      </w:pPr>
      <w:r>
        <w:rPr>
          <w:rFonts w:hint="eastAsia" w:ascii="方正小标宋简体" w:hAnsi="方正小标宋简体" w:eastAsia="方正小标宋简体" w:cs="方正小标宋简体"/>
          <w:b w:val="0"/>
          <w:bCs w:val="0"/>
          <w:smallCaps w:val="0"/>
          <w:color w:val="000000" w:themeColor="text1"/>
          <w:sz w:val="52"/>
          <w:szCs w:val="52"/>
          <w:highlight w:val="none"/>
          <w:lang w:val="en-US" w:eastAsia="zh-CN"/>
          <w14:textFill>
            <w14:solidFill>
              <w14:schemeClr w14:val="tx1"/>
            </w14:solidFill>
          </w14:textFill>
        </w:rPr>
        <w:t>安徽省</w:t>
      </w:r>
      <w:r>
        <w:rPr>
          <w:rFonts w:hint="eastAsia" w:ascii="方正小标宋简体" w:hAnsi="方正小标宋简体" w:eastAsia="方正小标宋简体" w:cs="方正小标宋简体"/>
          <w:b w:val="0"/>
          <w:bCs w:val="0"/>
          <w:smallCaps w:val="0"/>
          <w:color w:val="000000" w:themeColor="text1"/>
          <w:sz w:val="52"/>
          <w:szCs w:val="52"/>
          <w:highlight w:val="none"/>
          <w14:textFill>
            <w14:solidFill>
              <w14:schemeClr w14:val="tx1"/>
            </w14:solidFill>
          </w14:textFill>
        </w:rPr>
        <w:t>房屋建筑和市政基础设</w:t>
      </w:r>
      <w:bookmarkStart w:id="2017" w:name="_GoBack"/>
      <w:bookmarkEnd w:id="2017"/>
      <w:r>
        <w:rPr>
          <w:rFonts w:hint="eastAsia" w:ascii="方正小标宋简体" w:hAnsi="方正小标宋简体" w:eastAsia="方正小标宋简体" w:cs="方正小标宋简体"/>
          <w:b w:val="0"/>
          <w:bCs w:val="0"/>
          <w:smallCaps w:val="0"/>
          <w:color w:val="000000" w:themeColor="text1"/>
          <w:sz w:val="52"/>
          <w:szCs w:val="52"/>
          <w:highlight w:val="none"/>
          <w14:textFill>
            <w14:solidFill>
              <w14:schemeClr w14:val="tx1"/>
            </w14:solidFill>
          </w14:textFill>
        </w:rPr>
        <w:t>施工程</w:t>
      </w:r>
    </w:p>
    <w:p w14:paraId="01065F30">
      <w:pPr>
        <w:pStyle w:val="64"/>
        <w:pageBreakBefore w:val="0"/>
        <w:kinsoku/>
        <w:wordWrap w:val="0"/>
        <w:overflowPunct/>
        <w:bidi w:val="0"/>
        <w:rPr>
          <w:rFonts w:hint="eastAsia" w:ascii="方正小标宋简体" w:hAnsi="方正小标宋简体" w:eastAsia="方正小标宋简体" w:cs="方正小标宋简体"/>
          <w:b w:val="0"/>
          <w:bCs w:val="0"/>
          <w:smallCaps w:val="0"/>
          <w:color w:val="000000" w:themeColor="text1"/>
          <w:sz w:val="52"/>
          <w:szCs w:val="52"/>
          <w:highlight w:val="none"/>
          <w14:textFill>
            <w14:solidFill>
              <w14:schemeClr w14:val="tx1"/>
            </w14:solidFill>
          </w14:textFill>
        </w:rPr>
      </w:pPr>
      <w:r>
        <w:rPr>
          <w:rFonts w:hint="eastAsia" w:ascii="方正小标宋简体" w:hAnsi="方正小标宋简体" w:eastAsia="方正小标宋简体" w:cs="方正小标宋简体"/>
          <w:b w:val="0"/>
          <w:bCs w:val="0"/>
          <w:smallCaps w:val="0"/>
          <w:color w:val="000000" w:themeColor="text1"/>
          <w:sz w:val="52"/>
          <w:szCs w:val="52"/>
          <w:highlight w:val="none"/>
          <w14:textFill>
            <w14:solidFill>
              <w14:schemeClr w14:val="tx1"/>
            </w14:solidFill>
          </w14:textFill>
        </w:rPr>
        <w:t>施工招标文件示范文本</w:t>
      </w:r>
    </w:p>
    <w:p w14:paraId="00439FDB">
      <w:pPr>
        <w:pStyle w:val="65"/>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淮南市</w:t>
      </w:r>
      <w:r>
        <w:rPr>
          <w:rFonts w:hint="eastAsia" w:ascii="Times New Roman" w:hAnsi="Times New Roman"/>
          <w:smallCaps w:val="0"/>
          <w:color w:val="000000" w:themeColor="text1"/>
          <w:highlight w:val="none"/>
          <w14:textFill>
            <w14:solidFill>
              <w14:schemeClr w14:val="tx1"/>
            </w14:solidFill>
          </w14:textFill>
        </w:rPr>
        <w:t>202</w:t>
      </w:r>
      <w:r>
        <w:rPr>
          <w:rFonts w:hint="eastAsia" w:ascii="Times New Roman" w:hAnsi="Times New Roman"/>
          <w:smallCaps w:val="0"/>
          <w:color w:val="000000" w:themeColor="text1"/>
          <w:highlight w:val="none"/>
          <w:lang w:val="en-US" w:eastAsia="zh-CN"/>
          <w14:textFill>
            <w14:solidFill>
              <w14:schemeClr w14:val="tx1"/>
            </w14:solidFill>
          </w14:textFill>
        </w:rPr>
        <w:t>6</w:t>
      </w:r>
      <w:r>
        <w:rPr>
          <w:rFonts w:hint="eastAsia" w:ascii="Times New Roman" w:hAnsi="Times New Roman"/>
          <w:smallCaps w:val="0"/>
          <w:color w:val="000000" w:themeColor="text1"/>
          <w:highlight w:val="none"/>
          <w14:textFill>
            <w14:solidFill>
              <w14:schemeClr w14:val="tx1"/>
            </w14:solidFill>
          </w14:textFill>
        </w:rPr>
        <w:t>版）</w:t>
      </w:r>
    </w:p>
    <w:p w14:paraId="3A7AFC71">
      <w:pPr>
        <w:pageBreakBefore w:val="0"/>
        <w:kinsoku/>
        <w:wordWrap w:val="0"/>
        <w:overflowPunct/>
        <w:bidi w:val="0"/>
        <w:jc w:val="center"/>
        <w:rPr>
          <w:rFonts w:hint="eastAsia" w:ascii="Times New Roman" w:hAnsi="Times New Roman" w:eastAsia="楷体_GB2312"/>
          <w:smallCaps w:val="0"/>
          <w:color w:val="000000" w:themeColor="text1"/>
          <w:sz w:val="32"/>
          <w:szCs w:val="32"/>
          <w:highlight w:val="none"/>
          <w14:textFill>
            <w14:solidFill>
              <w14:schemeClr w14:val="tx1"/>
            </w14:solidFill>
          </w14:textFill>
        </w:rPr>
      </w:pPr>
    </w:p>
    <w:p w14:paraId="68D0F197">
      <w:pPr>
        <w:pageBreakBefore w:val="0"/>
        <w:kinsoku/>
        <w:wordWrap w:val="0"/>
        <w:overflowPunct/>
        <w:bidi w:val="0"/>
        <w:spacing w:line="400" w:lineRule="exact"/>
        <w:jc w:val="center"/>
        <w:rPr>
          <w:rFonts w:ascii="Times New Roman" w:hAnsi="Times New Roman"/>
          <w:smallCaps w:val="0"/>
          <w:color w:val="000000" w:themeColor="text1"/>
          <w:highlight w:val="none"/>
          <w14:textFill>
            <w14:solidFill>
              <w14:schemeClr w14:val="tx1"/>
            </w14:solidFill>
          </w14:textFill>
        </w:rPr>
      </w:pPr>
    </w:p>
    <w:p w14:paraId="6D9AD1A1">
      <w:pPr>
        <w:pageBreakBefore w:val="0"/>
        <w:kinsoku/>
        <w:wordWrap w:val="0"/>
        <w:overflowPunct/>
        <w:bidi w:val="0"/>
        <w:spacing w:line="400" w:lineRule="exact"/>
        <w:jc w:val="center"/>
        <w:rPr>
          <w:rFonts w:ascii="Times New Roman" w:hAnsi="Times New Roman"/>
          <w:smallCaps w:val="0"/>
          <w:color w:val="000000" w:themeColor="text1"/>
          <w:highlight w:val="none"/>
          <w14:textFill>
            <w14:solidFill>
              <w14:schemeClr w14:val="tx1"/>
            </w14:solidFill>
          </w14:textFill>
        </w:rPr>
      </w:pPr>
    </w:p>
    <w:p w14:paraId="203AE0DF">
      <w:pPr>
        <w:pageBreakBefore w:val="0"/>
        <w:kinsoku/>
        <w:wordWrap w:val="0"/>
        <w:overflowPunct/>
        <w:bidi w:val="0"/>
        <w:spacing w:line="400" w:lineRule="exact"/>
        <w:jc w:val="center"/>
        <w:rPr>
          <w:rFonts w:ascii="Times New Roman" w:hAnsi="Times New Roman"/>
          <w:smallCaps w:val="0"/>
          <w:color w:val="000000" w:themeColor="text1"/>
          <w:highlight w:val="none"/>
          <w14:textFill>
            <w14:solidFill>
              <w14:schemeClr w14:val="tx1"/>
            </w14:solidFill>
          </w14:textFill>
        </w:rPr>
      </w:pPr>
    </w:p>
    <w:p w14:paraId="011A3865">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70DCAF7B">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6D79E192">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193CF25E">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4CF9897D">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2F8A3421">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50693C43">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01BDF370">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3C641FF1">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145D4C7A">
      <w:pPr>
        <w:pageBreakBefore w:val="0"/>
        <w:kinsoku/>
        <w:wordWrap w:val="0"/>
        <w:overflowPunct/>
        <w:bidi w:val="0"/>
        <w:spacing w:line="400" w:lineRule="exact"/>
        <w:jc w:val="center"/>
        <w:rPr>
          <w:rFonts w:hint="eastAsia" w:ascii="Times New Roman" w:hAnsi="Times New Roman"/>
          <w:smallCaps w:val="0"/>
          <w:color w:val="000000" w:themeColor="text1"/>
          <w:highlight w:val="none"/>
          <w14:textFill>
            <w14:solidFill>
              <w14:schemeClr w14:val="tx1"/>
            </w14:solidFill>
          </w14:textFill>
        </w:rPr>
      </w:pPr>
    </w:p>
    <w:p w14:paraId="084B440C">
      <w:pPr>
        <w:pStyle w:val="6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淮南市公共资源交易监督管理局</w:t>
      </w:r>
    </w:p>
    <w:p w14:paraId="2EB92795">
      <w:pPr>
        <w:pStyle w:val="69"/>
        <w:pageBreakBefore w:val="0"/>
        <w:kinsoku/>
        <w:wordWrap w:val="0"/>
        <w:overflowPunct/>
        <w:bidi w:val="0"/>
        <w:rPr>
          <w:rFonts w:hint="eastAsia" w:ascii="Times New Roman" w:hAnsi="Times New Roman"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二〇二</w:t>
      </w:r>
      <w:r>
        <w:rPr>
          <w:rFonts w:hint="eastAsia" w:ascii="Times New Roman" w:hAnsi="Times New Roman"/>
          <w:smallCaps w:val="0"/>
          <w:color w:val="000000" w:themeColor="text1"/>
          <w:highlight w:val="none"/>
          <w:lang w:val="en-US" w:eastAsia="zh-CN"/>
          <w14:textFill>
            <w14:solidFill>
              <w14:schemeClr w14:val="tx1"/>
            </w14:solidFill>
          </w14:textFill>
        </w:rPr>
        <w:t>六</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lang w:val="en-US" w:eastAsia="zh-CN"/>
          <w14:textFill>
            <w14:solidFill>
              <w14:schemeClr w14:val="tx1"/>
            </w14:solidFill>
          </w14:textFill>
        </w:rPr>
        <w:t>四</w:t>
      </w:r>
      <w:r>
        <w:rPr>
          <w:rFonts w:hint="eastAsia" w:ascii="Times New Roman" w:hAnsi="Times New Roman"/>
          <w:smallCaps w:val="0"/>
          <w:color w:val="000000" w:themeColor="text1"/>
          <w:highlight w:val="none"/>
          <w14:textFill>
            <w14:solidFill>
              <w14:schemeClr w14:val="tx1"/>
            </w14:solidFill>
          </w14:textFill>
        </w:rPr>
        <w:t>月</w:t>
      </w:r>
    </w:p>
    <w:p w14:paraId="68AEC26D">
      <w:pPr>
        <w:pageBreakBefore w:val="0"/>
        <w:kinsoku/>
        <w:wordWrap w:val="0"/>
        <w:overflowPunct/>
        <w:bidi w:val="0"/>
        <w:adjustRightInd w:val="0"/>
        <w:snapToGrid w:val="0"/>
        <w:spacing w:line="360" w:lineRule="auto"/>
        <w:jc w:val="center"/>
        <w:rPr>
          <w:rFonts w:hint="eastAsia" w:ascii="Times New Roman" w:hAnsi="Times New Roman" w:cs="宋体"/>
          <w:smallCaps w:val="0"/>
          <w:color w:val="000000" w:themeColor="text1"/>
          <w:sz w:val="32"/>
          <w:szCs w:val="32"/>
          <w:highlight w:val="none"/>
          <w14:textFill>
            <w14:solidFill>
              <w14:schemeClr w14:val="tx1"/>
            </w14:solidFill>
          </w14:textFill>
        </w:rPr>
        <w:sectPr>
          <w:footerReference r:id="rId5" w:type="default"/>
          <w:footerReference r:id="rId6" w:type="even"/>
          <w:footnotePr>
            <w:numFmt w:val="decimalEnclosedCircleChinese"/>
            <w:numRestart w:val="eachPage"/>
          </w:footnotePr>
          <w:pgSz w:w="11906" w:h="16838"/>
          <w:pgMar w:top="1588" w:right="1701" w:bottom="1418" w:left="1701" w:header="851" w:footer="851" w:gutter="0"/>
          <w:pgNumType w:fmt="decimal"/>
          <w:cols w:space="720" w:num="1"/>
          <w:docGrid w:type="lines" w:linePitch="312" w:charSpace="0"/>
        </w:sectPr>
      </w:pPr>
    </w:p>
    <w:p w14:paraId="643EAEFF">
      <w:pPr>
        <w:pStyle w:val="66"/>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2E193E23">
      <w:pPr>
        <w:pStyle w:val="66"/>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使用说明</w:t>
      </w:r>
    </w:p>
    <w:p w14:paraId="02F07F0A">
      <w:pPr>
        <w:pageBreakBefore w:val="0"/>
        <w:kinsoku/>
        <w:wordWrap w:val="0"/>
        <w:overflowPunct/>
        <w:bidi w:val="0"/>
        <w:spacing w:line="500" w:lineRule="exact"/>
        <w:rPr>
          <w:rFonts w:hint="eastAsia" w:ascii="Times New Roman" w:hAnsi="Times New Roman" w:eastAsia="宋体" w:cs="Times New Roman"/>
          <w:smallCaps w:val="0"/>
          <w:color w:val="000000" w:themeColor="text1"/>
          <w:highlight w:val="none"/>
          <w14:textFill>
            <w14:solidFill>
              <w14:schemeClr w14:val="tx1"/>
            </w14:solidFill>
          </w14:textFill>
        </w:rPr>
      </w:pPr>
    </w:p>
    <w:p w14:paraId="79F6C2C4">
      <w:pPr>
        <w:pStyle w:val="68"/>
        <w:pageBreakBefore w:val="0"/>
        <w:kinsoku/>
        <w:wordWrap w:val="0"/>
        <w:overflowPunct/>
        <w:bidi w:val="0"/>
        <w:rPr>
          <w:rFonts w:hint="eastAsia"/>
          <w:smallCaps w:val="0"/>
          <w:color w:val="000000" w:themeColor="text1"/>
          <w:highlight w:val="none"/>
          <w:lang w:eastAsia="zh-CN"/>
          <w14:textFill>
            <w14:solidFill>
              <w14:schemeClr w14:val="tx1"/>
            </w14:solidFill>
          </w14:textFill>
        </w:rPr>
      </w:pPr>
      <w:r>
        <w:rPr>
          <w:rFonts w:hint="eastAsia"/>
          <w:smallCaps w:val="0"/>
          <w:color w:val="000000" w:themeColor="text1"/>
          <w:highlight w:val="none"/>
          <w:lang w:eastAsia="zh-CN"/>
          <w14:textFill>
            <w14:solidFill>
              <w14:schemeClr w14:val="tx1"/>
            </w14:solidFill>
          </w14:textFill>
        </w:rPr>
        <w:t>一、《安徽省房屋建筑和市政基础设施工程</w:t>
      </w:r>
      <w:r>
        <w:rPr>
          <w:rFonts w:hint="eastAsia"/>
          <w:smallCaps w:val="0"/>
          <w:color w:val="000000" w:themeColor="text1"/>
          <w:highlight w:val="none"/>
          <w:lang w:val="en-US" w:eastAsia="zh-CN"/>
          <w14:textFill>
            <w14:solidFill>
              <w14:schemeClr w14:val="tx1"/>
            </w14:solidFill>
          </w14:textFill>
        </w:rPr>
        <w:t>施工</w:t>
      </w:r>
      <w:r>
        <w:rPr>
          <w:rFonts w:hint="eastAsia"/>
          <w:smallCaps w:val="0"/>
          <w:color w:val="000000" w:themeColor="text1"/>
          <w:highlight w:val="none"/>
          <w:lang w:eastAsia="zh-CN"/>
          <w14:textFill>
            <w14:solidFill>
              <w14:schemeClr w14:val="tx1"/>
            </w14:solidFill>
          </w14:textFill>
        </w:rPr>
        <w:t>招标文件示范文本》(电子招标投标，淮南市202</w:t>
      </w:r>
      <w:r>
        <w:rPr>
          <w:rFonts w:hint="eastAsia"/>
          <w:smallCaps w:val="0"/>
          <w:color w:val="000000" w:themeColor="text1"/>
          <w:highlight w:val="none"/>
          <w:lang w:val="en-US" w:eastAsia="zh-CN"/>
          <w14:textFill>
            <w14:solidFill>
              <w14:schemeClr w14:val="tx1"/>
            </w14:solidFill>
          </w14:textFill>
        </w:rPr>
        <w:t>6</w:t>
      </w:r>
      <w:r>
        <w:rPr>
          <w:rFonts w:hint="eastAsia"/>
          <w:smallCaps w:val="0"/>
          <w:color w:val="000000" w:themeColor="text1"/>
          <w:highlight w:val="none"/>
          <w:lang w:eastAsia="zh-CN"/>
          <w14:textFill>
            <w14:solidFill>
              <w14:schemeClr w14:val="tx1"/>
            </w14:solidFill>
          </w14:textFill>
        </w:rPr>
        <w:t>年版,以下简称“房建市政施工招标示范文本”)依据《电子招标投标办法》（8部委20号令）等编制，适用于由淮南</w:t>
      </w:r>
      <w:r>
        <w:rPr>
          <w:rFonts w:hint="eastAsia"/>
          <w:smallCaps w:val="0"/>
          <w:color w:val="000000" w:themeColor="text1"/>
          <w:highlight w:val="none"/>
          <w:lang w:val="en-US" w:eastAsia="zh-CN"/>
          <w14:textFill>
            <w14:solidFill>
              <w14:schemeClr w14:val="tx1"/>
            </w14:solidFill>
          </w14:textFill>
        </w:rPr>
        <w:t>市、县</w:t>
      </w:r>
      <w:r>
        <w:rPr>
          <w:rFonts w:hint="eastAsia"/>
          <w:smallCaps w:val="0"/>
          <w:color w:val="000000" w:themeColor="text1"/>
          <w:highlight w:val="none"/>
          <w:lang w:eastAsia="zh-CN"/>
          <w14:textFill>
            <w14:solidFill>
              <w14:schemeClr w14:val="tx1"/>
            </w14:solidFill>
          </w14:textFill>
        </w:rPr>
        <w:t>公共资源交易</w:t>
      </w:r>
      <w:r>
        <w:rPr>
          <w:rFonts w:hint="eastAsia"/>
          <w:smallCaps w:val="0"/>
          <w:color w:val="000000" w:themeColor="text1"/>
          <w:highlight w:val="none"/>
          <w:lang w:val="en-US" w:eastAsia="zh-CN"/>
          <w14:textFill>
            <w14:solidFill>
              <w14:schemeClr w14:val="tx1"/>
            </w14:solidFill>
          </w14:textFill>
        </w:rPr>
        <w:t>监督部门</w:t>
      </w:r>
      <w:r>
        <w:rPr>
          <w:rFonts w:hint="eastAsia"/>
          <w:smallCaps w:val="0"/>
          <w:color w:val="000000" w:themeColor="text1"/>
          <w:highlight w:val="none"/>
          <w:lang w:eastAsia="zh-CN"/>
          <w14:textFill>
            <w14:solidFill>
              <w14:schemeClr w14:val="tx1"/>
            </w14:solidFill>
          </w14:textFill>
        </w:rPr>
        <w:t>监管的依法必须招标的房屋建筑和市政工程项目的施工招标。</w:t>
      </w:r>
    </w:p>
    <w:p w14:paraId="7F8484EE">
      <w:pPr>
        <w:pStyle w:val="68"/>
        <w:pageBreakBefore w:val="0"/>
        <w:kinsoku/>
        <w:wordWrap w:val="0"/>
        <w:overflowPunct/>
        <w:bidi w:val="0"/>
        <w:rPr>
          <w:rFonts w:hint="eastAsia"/>
          <w:smallCaps w:val="0"/>
          <w:color w:val="000000" w:themeColor="text1"/>
          <w:highlight w:val="none"/>
          <w:lang w:val="en-US" w:eastAsia="zh-CN"/>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二、采用本示范文本时，招标人应组织</w:t>
      </w:r>
      <w:r>
        <w:rPr>
          <w:rFonts w:hint="eastAsia" w:ascii="Times New Roman" w:hAnsi="Times New Roman"/>
          <w:smallCaps w:val="0"/>
          <w:color w:val="000000" w:themeColor="text1"/>
          <w:highlight w:val="none"/>
          <w:lang w:eastAsia="zh-CN"/>
          <w14:textFill>
            <w14:solidFill>
              <w14:schemeClr w14:val="tx1"/>
            </w14:solidFill>
          </w14:textFill>
        </w:rPr>
        <w:t>与招标项目规模和复杂程度相适应的人员编写招标文件。</w:t>
      </w:r>
      <w:r>
        <w:rPr>
          <w:rFonts w:hint="eastAsia"/>
          <w:smallCaps w:val="0"/>
          <w:color w:val="000000" w:themeColor="text1"/>
          <w:highlight w:val="none"/>
          <w:lang w:eastAsia="zh-CN"/>
          <w14:textFill>
            <w14:solidFill>
              <w14:schemeClr w14:val="tx1"/>
            </w14:solidFill>
          </w14:textFill>
        </w:rPr>
        <w:t>对文本内容补充、细化、修改时，不得违反法律、行政法规的强制性规定和平等、自愿、公平和诚实信用原则。</w:t>
      </w:r>
    </w:p>
    <w:p w14:paraId="76FC6418">
      <w:pPr>
        <w:pStyle w:val="68"/>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三</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示范文本</w:t>
      </w:r>
      <w:r>
        <w:rPr>
          <w:rFonts w:hint="eastAsia" w:ascii="Times New Roman" w:hAnsi="Times New Roman"/>
          <w:smallCaps w:val="0"/>
          <w:color w:val="000000" w:themeColor="text1"/>
          <w:highlight w:val="none"/>
          <w14:textFill>
            <w14:solidFill>
              <w14:schemeClr w14:val="tx1"/>
            </w14:solidFill>
          </w14:textFill>
        </w:rPr>
        <w:t>用相同序号标示的章、节、条、款、项、目，供招标人选择使用；以空格标示的由招标人填写的内容，招标人应根据招标项目具体特点和实际需要具体化，确实没有需要填写的，在空格中用“／”标示。</w:t>
      </w:r>
    </w:p>
    <w:p w14:paraId="58EF22F9">
      <w:pPr>
        <w:pStyle w:val="68"/>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四</w:t>
      </w:r>
      <w:r>
        <w:rPr>
          <w:rFonts w:hint="eastAsia" w:ascii="Times New Roman" w:hAnsi="Times New Roman"/>
          <w:smallCaps w:val="0"/>
          <w:color w:val="000000" w:themeColor="text1"/>
          <w:highlight w:val="none"/>
          <w14:textFill>
            <w14:solidFill>
              <w14:schemeClr w14:val="tx1"/>
            </w14:solidFill>
          </w14:textFill>
        </w:rPr>
        <w:t>、招标人按照</w:t>
      </w:r>
      <w:r>
        <w:rPr>
          <w:rFonts w:hint="eastAsia" w:ascii="Times New Roman" w:hAnsi="Times New Roman"/>
          <w:smallCaps w:val="0"/>
          <w:color w:val="000000" w:themeColor="text1"/>
          <w:highlight w:val="none"/>
          <w:lang w:val="en-US" w:eastAsia="zh-CN"/>
          <w14:textFill>
            <w14:solidFill>
              <w14:schemeClr w14:val="tx1"/>
            </w14:solidFill>
          </w14:textFill>
        </w:rPr>
        <w:t>示范文本</w:t>
      </w:r>
      <w:r>
        <w:rPr>
          <w:rFonts w:hint="eastAsia" w:ascii="Times New Roman" w:hAnsi="Times New Roman"/>
          <w:smallCaps w:val="0"/>
          <w:color w:val="000000" w:themeColor="text1"/>
          <w:highlight w:val="none"/>
          <w14:textFill>
            <w14:solidFill>
              <w14:schemeClr w14:val="tx1"/>
            </w14:solidFill>
          </w14:textFill>
        </w:rPr>
        <w:t>第一章的格式发布招标公告或发出投标邀请书后，</w:t>
      </w:r>
      <w:r>
        <w:rPr>
          <w:rFonts w:hint="eastAsia" w:ascii="Times New Roman" w:hAnsi="Times New Roman"/>
          <w:smallCaps w:val="0"/>
          <w:color w:val="000000" w:themeColor="text1"/>
          <w:highlight w:val="none"/>
          <w:lang w:eastAsia="zh-CN"/>
          <w14:textFill>
            <w14:solidFill>
              <w14:schemeClr w14:val="tx1"/>
            </w14:solidFill>
          </w14:textFill>
        </w:rPr>
        <w:t>应</w:t>
      </w:r>
      <w:r>
        <w:rPr>
          <w:rFonts w:hint="eastAsia" w:ascii="Times New Roman" w:hAnsi="Times New Roman"/>
          <w:smallCaps w:val="0"/>
          <w:color w:val="000000" w:themeColor="text1"/>
          <w:highlight w:val="none"/>
          <w14:textFill>
            <w14:solidFill>
              <w14:schemeClr w14:val="tx1"/>
            </w14:solidFill>
          </w14:textFill>
        </w:rPr>
        <w:t>将实际发布的招标公告或实际发出的投标邀请书编入招标文件中，作为投标邀请。其中，招标公告应注明发布</w:t>
      </w:r>
      <w:r>
        <w:rPr>
          <w:rFonts w:hint="eastAsia"/>
          <w:smallCaps w:val="0"/>
          <w:color w:val="000000" w:themeColor="text1"/>
          <w:highlight w:val="none"/>
          <w:lang w:eastAsia="zh-CN"/>
          <w14:textFill>
            <w14:solidFill>
              <w14:schemeClr w14:val="tx1"/>
            </w14:solidFill>
          </w14:textFill>
        </w:rPr>
        <w:t>招标信息</w:t>
      </w:r>
      <w:r>
        <w:rPr>
          <w:rFonts w:hint="eastAsia" w:ascii="Times New Roman" w:hAnsi="Times New Roman"/>
          <w:smallCaps w:val="0"/>
          <w:color w:val="000000" w:themeColor="text1"/>
          <w:highlight w:val="none"/>
          <w14:textFill>
            <w14:solidFill>
              <w14:schemeClr w14:val="tx1"/>
            </w14:solidFill>
          </w14:textFill>
        </w:rPr>
        <w:t>的所有</w:t>
      </w:r>
      <w:r>
        <w:rPr>
          <w:rFonts w:hint="eastAsia"/>
          <w:smallCaps w:val="0"/>
          <w:color w:val="000000" w:themeColor="text1"/>
          <w:highlight w:val="none"/>
          <w:lang w:eastAsia="zh-CN"/>
          <w14:textFill>
            <w14:solidFill>
              <w14:schemeClr w14:val="tx1"/>
            </w14:solidFill>
          </w14:textFill>
        </w:rPr>
        <w:t>相关</w:t>
      </w:r>
      <w:r>
        <w:rPr>
          <w:rFonts w:hint="eastAsia" w:ascii="Times New Roman" w:hAnsi="Times New Roman"/>
          <w:smallCaps w:val="0"/>
          <w:color w:val="000000" w:themeColor="text1"/>
          <w:highlight w:val="none"/>
          <w14:textFill>
            <w14:solidFill>
              <w14:schemeClr w14:val="tx1"/>
            </w14:solidFill>
          </w14:textFill>
        </w:rPr>
        <w:t>媒介名称。</w:t>
      </w:r>
    </w:p>
    <w:p w14:paraId="03B91499">
      <w:pPr>
        <w:pStyle w:val="68"/>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sectPr>
          <w:footerReference r:id="rId7" w:type="default"/>
          <w:footnotePr>
            <w:numFmt w:val="decimalEnclosedCircleChinese"/>
            <w:numRestart w:val="eachPage"/>
          </w:footnotePr>
          <w:pgSz w:w="11906" w:h="16838"/>
          <w:pgMar w:top="1588" w:right="1701" w:bottom="1418" w:left="1701" w:header="851" w:footer="851" w:gutter="0"/>
          <w:pgNumType w:fmt="decimal" w:start="1"/>
          <w:cols w:space="720" w:num="1"/>
          <w:docGrid w:type="lines" w:linePitch="312" w:charSpace="0"/>
        </w:sectPr>
      </w:pPr>
      <w:r>
        <w:rPr>
          <w:rFonts w:hint="eastAsia"/>
          <w:smallCaps w:val="0"/>
          <w:color w:val="000000" w:themeColor="text1"/>
          <w:highlight w:val="none"/>
          <w:lang w:val="en-US" w:eastAsia="zh-CN"/>
          <w14:textFill>
            <w14:solidFill>
              <w14:schemeClr w14:val="tx1"/>
            </w14:solidFill>
          </w14:textFill>
        </w:rPr>
        <w:t>五</w:t>
      </w:r>
      <w:r>
        <w:rPr>
          <w:rFonts w:hint="eastAsia" w:ascii="Times New Roman" w:hAnsi="Times New Roman"/>
          <w:smallCaps w:val="0"/>
          <w:color w:val="000000" w:themeColor="text1"/>
          <w:highlight w:val="none"/>
          <w14:textFill>
            <w14:solidFill>
              <w14:schemeClr w14:val="tx1"/>
            </w14:solidFill>
          </w14:textFill>
        </w:rPr>
        <w:t>、</w:t>
      </w:r>
      <w:r>
        <w:rPr>
          <w:rFonts w:hint="eastAsia"/>
          <w:smallCaps w:val="0"/>
          <w:color w:val="000000" w:themeColor="text1"/>
          <w:highlight w:val="none"/>
          <w:lang w:eastAsia="zh-CN"/>
          <w14:textFill>
            <w14:solidFill>
              <w14:schemeClr w14:val="tx1"/>
            </w14:solidFill>
          </w14:textFill>
        </w:rPr>
        <w:t>示范文本</w:t>
      </w:r>
      <w:r>
        <w:rPr>
          <w:rFonts w:hint="eastAsia" w:ascii="Times New Roman" w:hAnsi="Times New Roman"/>
          <w:smallCaps w:val="0"/>
          <w:color w:val="000000" w:themeColor="text1"/>
          <w:highlight w:val="none"/>
          <w14:textFill>
            <w14:solidFill>
              <w14:schemeClr w14:val="tx1"/>
            </w14:solidFill>
          </w14:textFill>
        </w:rPr>
        <w:t>第二章“投标人须知”正文和前附表，除以空格标示的由招标人填空的内容、选择性内容和可补充内容外，原则上应不加修改地直接引用。</w:t>
      </w:r>
      <w:r>
        <w:rPr>
          <w:rFonts w:hint="eastAsia"/>
          <w:smallCaps w:val="0"/>
          <w:color w:val="000000" w:themeColor="text1"/>
          <w:highlight w:val="none"/>
          <w:lang w:eastAsia="zh-CN"/>
          <w14:textFill>
            <w14:solidFill>
              <w14:schemeClr w14:val="tx1"/>
            </w14:solidFill>
          </w14:textFill>
        </w:rPr>
        <w:t>确</w:t>
      </w:r>
      <w:r>
        <w:rPr>
          <w:rFonts w:hint="eastAsia" w:ascii="Times New Roman" w:hAnsi="Times New Roman"/>
          <w:smallCaps w:val="0"/>
          <w:color w:val="000000" w:themeColor="text1"/>
          <w:highlight w:val="none"/>
          <w14:textFill>
            <w14:solidFill>
              <w14:schemeClr w14:val="tx1"/>
            </w14:solidFill>
          </w14:textFill>
        </w:rPr>
        <w:t>因法律、法规及政策调整需修改“投标人须知”正文的，应在“投标人须知正文修改一览表”中如实填写。</w:t>
      </w:r>
      <w:r>
        <w:rPr>
          <w:rFonts w:hint="eastAsia" w:ascii="Times New Roman" w:hAnsi="Times New Roman"/>
          <w:smallCaps w:val="0"/>
          <w:color w:val="000000" w:themeColor="text1"/>
          <w:highlight w:val="none"/>
          <w14:textFill>
            <w14:solidFill>
              <w14:schemeClr w14:val="tx1"/>
            </w14:solidFill>
          </w14:textFill>
        </w:rPr>
        <w:t>“投标人须知”前附表和正文的条款标号须保持一致</w:t>
      </w:r>
      <w:r>
        <w:rPr>
          <w:rFonts w:hint="eastAsia"/>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如遇到需要在前附表中增补内容的，</w:t>
      </w:r>
      <w:r>
        <w:rPr>
          <w:rFonts w:hint="eastAsia"/>
          <w:smallCaps w:val="0"/>
          <w:color w:val="000000" w:themeColor="text1"/>
          <w:highlight w:val="none"/>
          <w:lang w:val="en-US" w:eastAsia="zh-CN"/>
          <w14:textFill>
            <w14:solidFill>
              <w14:schemeClr w14:val="tx1"/>
            </w14:solidFill>
          </w14:textFill>
        </w:rPr>
        <w:t>可</w:t>
      </w:r>
      <w:r>
        <w:rPr>
          <w:rFonts w:hint="eastAsia" w:ascii="Times New Roman" w:hAnsi="Times New Roman"/>
          <w:smallCaps w:val="0"/>
          <w:color w:val="000000" w:themeColor="text1"/>
          <w:highlight w:val="none"/>
          <w14:textFill>
            <w14:solidFill>
              <w14:schemeClr w14:val="tx1"/>
            </w14:solidFill>
          </w14:textFill>
        </w:rPr>
        <w:t>在“投标人须知”前附表“需要补充的其他内容”中编号增补。</w:t>
      </w:r>
      <w:r>
        <w:rPr>
          <w:rFonts w:hint="eastAsia" w:ascii="Times New Roman" w:hAnsi="Times New Roman"/>
          <w:smallCaps w:val="0"/>
          <w:color w:val="000000" w:themeColor="text1"/>
          <w:highlight w:val="none"/>
          <w14:textFill>
            <w14:solidFill>
              <w14:schemeClr w14:val="tx1"/>
            </w14:solidFill>
          </w14:textFill>
        </w:rPr>
        <w:t>填空、选择和补充内容</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招标人</w:t>
      </w:r>
      <w:r>
        <w:rPr>
          <w:rFonts w:hint="eastAsia"/>
          <w:smallCaps w:val="0"/>
          <w:color w:val="000000" w:themeColor="text1"/>
          <w:highlight w:val="none"/>
          <w:lang w:eastAsia="zh-CN"/>
          <w14:textFill>
            <w14:solidFill>
              <w14:schemeClr w14:val="tx1"/>
            </w14:solidFill>
          </w14:textFill>
        </w:rPr>
        <w:t>应依</w:t>
      </w:r>
      <w:r>
        <w:rPr>
          <w:rFonts w:hint="eastAsia" w:ascii="Times New Roman" w:hAnsi="Times New Roman"/>
          <w:smallCaps w:val="0"/>
          <w:color w:val="000000" w:themeColor="text1"/>
          <w:highlight w:val="none"/>
          <w14:textFill>
            <w14:solidFill>
              <w14:schemeClr w14:val="tx1"/>
            </w14:solidFill>
          </w14:textFill>
        </w:rPr>
        <w:t>据国家</w:t>
      </w:r>
      <w:r>
        <w:rPr>
          <w:rFonts w:hint="eastAsia"/>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安徽省以及</w:t>
      </w:r>
    </w:p>
    <w:p w14:paraId="299190BB">
      <w:pPr>
        <w:pStyle w:val="68"/>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淮南市</w:t>
      </w:r>
      <w:r>
        <w:rPr>
          <w:rFonts w:hint="eastAsia"/>
          <w:smallCaps w:val="0"/>
          <w:color w:val="000000" w:themeColor="text1"/>
          <w:highlight w:val="none"/>
          <w:lang w:eastAsia="zh-CN"/>
          <w14:textFill>
            <w14:solidFill>
              <w14:schemeClr w14:val="tx1"/>
            </w14:solidFill>
          </w14:textFill>
        </w:rPr>
        <w:t>的相</w:t>
      </w:r>
      <w:r>
        <w:rPr>
          <w:rFonts w:hint="eastAsia" w:ascii="Times New Roman" w:hAnsi="Times New Roman"/>
          <w:smallCaps w:val="0"/>
          <w:color w:val="000000" w:themeColor="text1"/>
          <w:highlight w:val="none"/>
          <w14:textFill>
            <w14:solidFill>
              <w14:schemeClr w14:val="tx1"/>
            </w14:solidFill>
          </w14:textFill>
        </w:rPr>
        <w:t>关法律法规</w:t>
      </w:r>
      <w:r>
        <w:rPr>
          <w:rFonts w:hint="eastAsia"/>
          <w:smallCaps w:val="0"/>
          <w:color w:val="000000" w:themeColor="text1"/>
          <w:highlight w:val="none"/>
          <w:lang w:eastAsia="zh-CN"/>
          <w14:textFill>
            <w14:solidFill>
              <w14:schemeClr w14:val="tx1"/>
            </w14:solidFill>
          </w14:textFill>
        </w:rPr>
        <w:t>、</w:t>
      </w:r>
      <w:r>
        <w:rPr>
          <w:rFonts w:hint="eastAsia"/>
          <w:smallCaps w:val="0"/>
          <w:color w:val="000000" w:themeColor="text1"/>
          <w:highlight w:val="none"/>
          <w:lang w:val="en-US" w:eastAsia="zh-CN"/>
          <w14:textFill>
            <w14:solidFill>
              <w14:schemeClr w14:val="tx1"/>
            </w14:solidFill>
          </w14:textFill>
        </w:rPr>
        <w:t>政策文件</w:t>
      </w:r>
      <w:r>
        <w:rPr>
          <w:rFonts w:hint="eastAsia" w:ascii="Times New Roman" w:hAnsi="Times New Roman"/>
          <w:smallCaps w:val="0"/>
          <w:color w:val="000000" w:themeColor="text1"/>
          <w:highlight w:val="none"/>
          <w14:textFill>
            <w14:solidFill>
              <w14:schemeClr w14:val="tx1"/>
            </w14:solidFill>
          </w14:textFill>
        </w:rPr>
        <w:t>的规定</w:t>
      </w:r>
      <w:r>
        <w:rPr>
          <w:rFonts w:hint="eastAsia"/>
          <w:smallCaps w:val="0"/>
          <w:color w:val="000000" w:themeColor="text1"/>
          <w:highlight w:val="none"/>
          <w:lang w:eastAsia="zh-CN"/>
          <w14:textFill>
            <w14:solidFill>
              <w14:schemeClr w14:val="tx1"/>
            </w14:solidFill>
          </w14:textFill>
        </w:rPr>
        <w:t>，并结合</w:t>
      </w:r>
      <w:r>
        <w:rPr>
          <w:rFonts w:hint="eastAsia" w:ascii="Times New Roman" w:hAnsi="Times New Roman"/>
          <w:smallCaps w:val="0"/>
          <w:color w:val="000000" w:themeColor="text1"/>
          <w:highlight w:val="none"/>
          <w14:textFill>
            <w14:solidFill>
              <w14:schemeClr w14:val="tx1"/>
            </w14:solidFill>
          </w14:textFill>
        </w:rPr>
        <w:t>招标项目</w:t>
      </w:r>
      <w:r>
        <w:rPr>
          <w:rFonts w:hint="eastAsia"/>
          <w:smallCaps w:val="0"/>
          <w:color w:val="000000" w:themeColor="text1"/>
          <w:highlight w:val="none"/>
          <w:lang w:eastAsia="zh-CN"/>
          <w14:textFill>
            <w14:solidFill>
              <w14:schemeClr w14:val="tx1"/>
            </w14:solidFill>
          </w14:textFill>
        </w:rPr>
        <w:t>的</w:t>
      </w:r>
      <w:r>
        <w:rPr>
          <w:rFonts w:hint="eastAsia" w:ascii="Times New Roman" w:hAnsi="Times New Roman"/>
          <w:smallCaps w:val="0"/>
          <w:color w:val="000000" w:themeColor="text1"/>
          <w:highlight w:val="none"/>
          <w14:textFill>
            <w14:solidFill>
              <w14:schemeClr w14:val="tx1"/>
            </w14:solidFill>
          </w14:textFill>
        </w:rPr>
        <w:t>具体情况确定。</w:t>
      </w:r>
    </w:p>
    <w:p w14:paraId="7D101CFE">
      <w:pPr>
        <w:pStyle w:val="68"/>
        <w:pageBreakBefore w:val="0"/>
        <w:kinsoku/>
        <w:wordWrap w:val="0"/>
        <w:overflowPunct/>
        <w:bidi w:val="0"/>
        <w:rPr>
          <w:rFonts w:hint="eastAsia"/>
          <w:smallCaps w:val="0"/>
          <w:color w:val="000000" w:themeColor="text1"/>
          <w:highlight w:val="none"/>
          <w:lang w:val="en-US" w:eastAsia="zh-CN"/>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六</w:t>
      </w:r>
      <w:r>
        <w:rPr>
          <w:rFonts w:hint="eastAsia" w:ascii="Times New Roman" w:hAnsi="Times New Roman"/>
          <w:smallCaps w:val="0"/>
          <w:color w:val="000000" w:themeColor="text1"/>
          <w:highlight w:val="none"/>
          <w14:textFill>
            <w14:solidFill>
              <w14:schemeClr w14:val="tx1"/>
            </w14:solidFill>
          </w14:textFill>
        </w:rPr>
        <w:t>、</w:t>
      </w:r>
      <w:r>
        <w:rPr>
          <w:rFonts w:hint="eastAsia"/>
          <w:smallCaps w:val="0"/>
          <w:color w:val="000000" w:themeColor="text1"/>
          <w:highlight w:val="none"/>
          <w:lang w:eastAsia="zh-CN"/>
          <w14:textFill>
            <w14:solidFill>
              <w14:schemeClr w14:val="tx1"/>
            </w14:solidFill>
          </w14:textFill>
        </w:rPr>
        <w:t>示范文本</w:t>
      </w:r>
      <w:r>
        <w:rPr>
          <w:rFonts w:hint="eastAsia" w:ascii="Times New Roman" w:hAnsi="Times New Roman"/>
          <w:smallCaps w:val="0"/>
          <w:color w:val="000000" w:themeColor="text1"/>
          <w:highlight w:val="none"/>
          <w14:textFill>
            <w14:solidFill>
              <w14:schemeClr w14:val="tx1"/>
            </w14:solidFill>
          </w14:textFill>
        </w:rPr>
        <w:t>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w:t>
      </w:r>
      <w:r>
        <w:rPr>
          <w:rFonts w:hint="eastAsia"/>
          <w:smallCaps w:val="0"/>
          <w:color w:val="000000" w:themeColor="text1"/>
          <w:highlight w:val="none"/>
          <w:lang w:eastAsia="zh-CN"/>
          <w14:textFill>
            <w14:solidFill>
              <w14:schemeClr w14:val="tx1"/>
            </w14:solidFill>
          </w14:textFill>
        </w:rPr>
        <w:t>制</w:t>
      </w:r>
      <w:r>
        <w:rPr>
          <w:rFonts w:hint="eastAsia" w:ascii="Times New Roman" w:hAnsi="Times New Roman"/>
          <w:smallCaps w:val="0"/>
          <w:color w:val="000000" w:themeColor="text1"/>
          <w:highlight w:val="none"/>
          <w14:textFill>
            <w14:solidFill>
              <w14:schemeClr w14:val="tx1"/>
            </w14:solidFill>
          </w14:textFill>
        </w:rPr>
        <w:t>定“经评审的最低投标价法”</w:t>
      </w:r>
      <w:r>
        <w:rPr>
          <w:rFonts w:hint="eastAsia"/>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smallCaps w:val="0"/>
          <w:color w:val="000000" w:themeColor="text1"/>
          <w:highlight w:val="none"/>
          <w:lang w:val="en-US" w:eastAsia="zh-CN"/>
          <w14:textFill>
            <w14:solidFill>
              <w14:schemeClr w14:val="tx1"/>
            </w14:solidFill>
          </w14:textFill>
        </w:rPr>
        <w:t>合理低价法</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、“综合评估法”</w:t>
      </w:r>
      <w:r>
        <w:rPr>
          <w:rFonts w:hint="eastAsia"/>
          <w:smallCaps w:val="0"/>
          <w:color w:val="000000" w:themeColor="text1"/>
          <w:highlight w:val="none"/>
          <w:lang w:val="en-US" w:eastAsia="zh-CN"/>
          <w14:textFill>
            <w14:solidFill>
              <w14:schemeClr w14:val="tx1"/>
            </w14:solidFill>
          </w14:textFill>
        </w:rPr>
        <w:t>三</w:t>
      </w:r>
      <w:r>
        <w:rPr>
          <w:rFonts w:hint="eastAsia" w:ascii="Times New Roman" w:hAnsi="Times New Roman"/>
          <w:smallCaps w:val="0"/>
          <w:color w:val="000000" w:themeColor="text1"/>
          <w:highlight w:val="none"/>
          <w14:textFill>
            <w14:solidFill>
              <w14:schemeClr w14:val="tx1"/>
            </w14:solidFill>
          </w14:textFill>
        </w:rPr>
        <w:t>种评标办法供招标人选用，</w:t>
      </w:r>
      <w:r>
        <w:rPr>
          <w:rFonts w:hint="eastAsia" w:ascii="Times New Roman" w:hAnsi="Times New Roman"/>
          <w:smallCaps w:val="0"/>
          <w:color w:val="000000" w:themeColor="text1"/>
          <w:highlight w:val="none"/>
          <w14:textFill>
            <w14:solidFill>
              <w14:schemeClr w14:val="tx1"/>
            </w14:solidFill>
          </w14:textFill>
        </w:rPr>
        <w:t>具体适用范围</w:t>
      </w:r>
      <w:r>
        <w:rPr>
          <w:rFonts w:hint="eastAsia"/>
          <w:smallCaps w:val="0"/>
          <w:color w:val="000000" w:themeColor="text1"/>
          <w:highlight w:val="none"/>
          <w:lang w:val="en-US" w:eastAsia="zh-CN"/>
          <w14:textFill>
            <w14:solidFill>
              <w14:schemeClr w14:val="tx1"/>
            </w14:solidFill>
          </w14:textFill>
        </w:rPr>
        <w:t>如下：非特大型项目与非技术复杂类的项目采用“经评审的最低投标价法”与“合理低价法”。特大型项目或技术复杂类的项目采用“综合评估法”。</w:t>
      </w:r>
    </w:p>
    <w:p w14:paraId="73C8F1B2">
      <w:pPr>
        <w:pStyle w:val="68"/>
        <w:pageBreakBefore w:val="0"/>
        <w:kinsoku/>
        <w:wordWrap w:val="0"/>
        <w:overflowPunct/>
        <w:bidi w:val="0"/>
        <w:rPr>
          <w:rFonts w:hint="default" w:ascii="Times New Roman" w:hAnsi="Times New Roman" w:eastAsia="仿宋_GB2312"/>
          <w:smallCaps w:val="0"/>
          <w:color w:val="000000" w:themeColor="text1"/>
          <w:highlight w:val="none"/>
          <w:lang w:val="en-US" w:eastAsia="zh-CN"/>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依据《关于推进建筑信息模型技术应用的实施意见》（建标规</w:t>
      </w:r>
      <w:r>
        <w:rPr>
          <w:rFonts w:hint="eastAsia" w:ascii="仿宋" w:hAnsi="仿宋" w:eastAsia="仿宋" w:cs="仿宋"/>
          <w:smallCaps w:val="0"/>
          <w:color w:val="000000" w:themeColor="text1"/>
          <w:highlight w:val="none"/>
          <w:lang w:val="en-US" w:eastAsia="zh-CN"/>
          <w14:textFill>
            <w14:solidFill>
              <w14:schemeClr w14:val="tx1"/>
            </w14:solidFill>
          </w14:textFill>
        </w:rPr>
        <w:t>〔2024〕4号</w:t>
      </w:r>
      <w:r>
        <w:rPr>
          <w:rFonts w:hint="eastAsia"/>
          <w:smallCaps w:val="0"/>
          <w:color w:val="000000" w:themeColor="text1"/>
          <w:highlight w:val="none"/>
          <w:lang w:val="en-US" w:eastAsia="zh-CN"/>
          <w14:textFill>
            <w14:solidFill>
              <w14:schemeClr w14:val="tx1"/>
            </w14:solidFill>
          </w14:textFill>
        </w:rPr>
        <w:t>）规定需</w:t>
      </w:r>
      <w:r>
        <w:rPr>
          <w:rFonts w:hint="eastAsia"/>
          <w:smallCaps w:val="0"/>
          <w:color w:val="000000" w:themeColor="text1"/>
          <w:highlight w:val="none"/>
          <w:lang w:eastAsia="zh-CN"/>
          <w14:textFill>
            <w14:solidFill>
              <w14:schemeClr w14:val="tx1"/>
            </w14:solidFill>
          </w14:textFill>
        </w:rPr>
        <w:t>应用</w:t>
      </w:r>
      <w:r>
        <w:rPr>
          <w:rFonts w:hint="eastAsia"/>
          <w:smallCaps w:val="0"/>
          <w:color w:val="000000" w:themeColor="text1"/>
          <w:highlight w:val="none"/>
          <w:lang w:val="en-US" w:eastAsia="zh-CN"/>
          <w14:textFill>
            <w14:solidFill>
              <w14:schemeClr w14:val="tx1"/>
            </w14:solidFill>
          </w14:textFill>
        </w:rPr>
        <w:t>BIM技术的项目，应根据招标文件明确的BIM技术应用范围、深度、交付标准和具体要求确定评审因素。响应性评审规定BIM标书模型数量、方案文件数量、动画曲线数量等内容，详细评审规定BIM各项评审因素包含的内容和详细要求，参照《安徽省房屋建筑和市政基础设施工程施工应用BIM技术招标投标评标办法实施导则》。</w:t>
      </w:r>
    </w:p>
    <w:p w14:paraId="322A4F47">
      <w:pPr>
        <w:pStyle w:val="68"/>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七</w:t>
      </w:r>
      <w:r>
        <w:rPr>
          <w:rFonts w:hint="eastAsia" w:ascii="Times New Roman" w:hAnsi="Times New Roman"/>
          <w:smallCaps w:val="0"/>
          <w:color w:val="000000" w:themeColor="text1"/>
          <w:highlight w:val="none"/>
          <w14:textFill>
            <w14:solidFill>
              <w14:schemeClr w14:val="tx1"/>
            </w14:solidFill>
          </w14:textFill>
        </w:rPr>
        <w:t>、</w:t>
      </w:r>
      <w:r>
        <w:rPr>
          <w:rFonts w:hint="eastAsia"/>
          <w:smallCaps w:val="0"/>
          <w:color w:val="000000" w:themeColor="text1"/>
          <w:highlight w:val="none"/>
          <w:lang w:eastAsia="zh-CN"/>
          <w14:textFill>
            <w14:solidFill>
              <w14:schemeClr w14:val="tx1"/>
            </w14:solidFill>
          </w14:textFill>
        </w:rPr>
        <w:t>示范文本</w:t>
      </w:r>
      <w:r>
        <w:rPr>
          <w:rFonts w:hint="eastAsia" w:ascii="Times New Roman" w:hAnsi="Times New Roman"/>
          <w:smallCaps w:val="0"/>
          <w:color w:val="000000" w:themeColor="text1"/>
          <w:highlight w:val="none"/>
          <w14:textFill>
            <w14:solidFill>
              <w14:schemeClr w14:val="tx1"/>
            </w14:solidFill>
          </w14:textFill>
        </w:rPr>
        <w:t>第四章“合同条款及格式”第二节“通用合同条款”，原则上应不加修改地直接引用。招标人编制项目“专用合同条款”时，可根据招标项目的具体特点和实际需要，对“通用合同条款”进行补充、细化。</w:t>
      </w:r>
    </w:p>
    <w:p w14:paraId="74B82617">
      <w:pPr>
        <w:pStyle w:val="68"/>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八</w:t>
      </w:r>
      <w:r>
        <w:rPr>
          <w:rFonts w:hint="eastAsia" w:ascii="Times New Roman" w:hAnsi="Times New Roman"/>
          <w:smallCaps w:val="0"/>
          <w:color w:val="000000" w:themeColor="text1"/>
          <w:highlight w:val="none"/>
          <w14:textFill>
            <w14:solidFill>
              <w14:schemeClr w14:val="tx1"/>
            </w14:solidFill>
          </w14:textFill>
        </w:rPr>
        <w:t>、</w:t>
      </w:r>
      <w:r>
        <w:rPr>
          <w:rFonts w:hint="eastAsia"/>
          <w:smallCaps w:val="0"/>
          <w:color w:val="000000" w:themeColor="text1"/>
          <w:highlight w:val="none"/>
          <w:lang w:eastAsia="zh-CN"/>
          <w14:textFill>
            <w14:solidFill>
              <w14:schemeClr w14:val="tx1"/>
            </w14:solidFill>
          </w14:textFill>
        </w:rPr>
        <w:t>示范文本</w:t>
      </w:r>
      <w:r>
        <w:rPr>
          <w:rFonts w:hint="eastAsia" w:ascii="Times New Roman" w:hAnsi="Times New Roman"/>
          <w:smallCaps w:val="0"/>
          <w:color w:val="000000" w:themeColor="text1"/>
          <w:highlight w:val="none"/>
          <w14:textFill>
            <w14:solidFill>
              <w14:schemeClr w14:val="tx1"/>
            </w14:solidFill>
          </w14:textFill>
        </w:rPr>
        <w:t>第五章“工程量清单”</w:t>
      </w:r>
      <w:r>
        <w:rPr>
          <w:rFonts w:hint="eastAsia"/>
          <w:smallCaps w:val="0"/>
          <w:color w:val="000000" w:themeColor="text1"/>
          <w:highlight w:val="none"/>
          <w:lang w:eastAsia="zh-CN"/>
          <w14:textFill>
            <w14:solidFill>
              <w14:schemeClr w14:val="tx1"/>
            </w14:solidFill>
          </w14:textFill>
        </w:rPr>
        <w:t>由</w:t>
      </w:r>
      <w:r>
        <w:rPr>
          <w:rFonts w:hint="eastAsia" w:ascii="Times New Roman" w:hAnsi="Times New Roman"/>
          <w:smallCaps w:val="0"/>
          <w:color w:val="000000" w:themeColor="text1"/>
          <w:highlight w:val="none"/>
          <w14:textFill>
            <w14:solidFill>
              <w14:schemeClr w14:val="tx1"/>
            </w14:solidFill>
          </w14:textFill>
        </w:rPr>
        <w:t>招标人根据</w:t>
      </w:r>
      <w:r>
        <w:rPr>
          <w:rFonts w:hint="eastAsia"/>
          <w:smallCaps w:val="0"/>
          <w:color w:val="000000" w:themeColor="text1"/>
          <w:highlight w:val="none"/>
          <w:lang w:eastAsia="zh-CN"/>
          <w14:textFill>
            <w14:solidFill>
              <w14:schemeClr w14:val="tx1"/>
            </w14:solidFill>
          </w14:textFill>
        </w:rPr>
        <w:t>工程量清单的国家标准、</w:t>
      </w:r>
      <w:r>
        <w:rPr>
          <w:rFonts w:hint="eastAsia" w:ascii="Times New Roman" w:hAnsi="Times New Roman"/>
          <w:smallCaps w:val="0"/>
          <w:color w:val="000000" w:themeColor="text1"/>
          <w:highlight w:val="none"/>
          <w14:textFill>
            <w14:solidFill>
              <w14:schemeClr w14:val="tx1"/>
            </w14:solidFill>
          </w14:textFill>
        </w:rPr>
        <w:t>安徽省建设工程工程量清单计价办法</w:t>
      </w:r>
      <w:r>
        <w:rPr>
          <w:rFonts w:hint="eastAsia"/>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相关费用定额、招标项目具体特点和实际</w:t>
      </w:r>
      <w:r>
        <w:rPr>
          <w:rFonts w:hint="eastAsia" w:ascii="Times New Roman" w:hAnsi="Times New Roman"/>
          <w:smallCaps w:val="0"/>
          <w:color w:val="000000" w:themeColor="text1"/>
          <w:highlight w:val="none"/>
          <w14:textFill>
            <w14:solidFill>
              <w14:schemeClr w14:val="tx1"/>
            </w14:solidFill>
          </w14:textFill>
        </w:rPr>
        <w:t>需要编制</w:t>
      </w:r>
      <w:r>
        <w:rPr>
          <w:rFonts w:hint="eastAsia"/>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招标人对工程有创优、创奖要求的，在编制最高投标限价时应以暂列金额的方式计列优质工程增加费，并在招标文件中明确该费用的计取标准和方法</w:t>
      </w:r>
      <w:r>
        <w:rPr>
          <w:rFonts w:hint="eastAsia"/>
          <w:smallCaps w:val="0"/>
          <w:color w:val="000000" w:themeColor="text1"/>
          <w:highlight w:val="none"/>
          <w:lang w:eastAsia="zh-CN"/>
          <w14:textFill>
            <w14:solidFill>
              <w14:schemeClr w14:val="tx1"/>
            </w14:solidFill>
          </w14:textFill>
        </w:rPr>
        <w:t>（</w:t>
      </w:r>
      <w:r>
        <w:rPr>
          <w:rFonts w:hint="eastAsia"/>
          <w:smallCaps w:val="0"/>
          <w:color w:val="000000" w:themeColor="text1"/>
          <w:highlight w:val="none"/>
          <w:lang w:val="en-US" w:eastAsia="zh-CN"/>
          <w14:textFill>
            <w14:solidFill>
              <w14:schemeClr w14:val="tx1"/>
            </w14:solidFill>
          </w14:textFill>
        </w:rPr>
        <w:t>招标人计列“优质工程增加费”的，该项目的“优质工程增加费”与“暂列金额”的合计金额不得超过最高投标限价的10%</w:t>
      </w:r>
      <w:r>
        <w:rPr>
          <w:rFonts w:hint="eastAsia"/>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smallCaps w:val="0"/>
          <w:color w:val="000000" w:themeColor="text1"/>
          <w:highlight w:val="none"/>
          <w:lang w:eastAsia="zh-CN"/>
          <w14:textFill>
            <w14:solidFill>
              <w14:schemeClr w14:val="tx1"/>
            </w14:solidFill>
          </w14:textFill>
        </w:rPr>
        <w:t>招标人</w:t>
      </w:r>
      <w:r>
        <w:rPr>
          <w:rFonts w:hint="eastAsia" w:ascii="Times New Roman" w:hAnsi="Times New Roman"/>
          <w:smallCaps w:val="0"/>
          <w:color w:val="000000" w:themeColor="text1"/>
          <w:highlight w:val="none"/>
          <w:lang w:eastAsia="zh-CN"/>
          <w14:textFill>
            <w14:solidFill>
              <w14:schemeClr w14:val="tx1"/>
            </w14:solidFill>
          </w14:textFill>
        </w:rPr>
        <w:t>应明确计价中的风险内容及其范围，不得采用无限风险、所有风险或类似语句规定计价中的风险内容及范围，避免将项目计价风险无限转嫁给投标人。</w:t>
      </w:r>
      <w:r>
        <w:rPr>
          <w:rFonts w:hint="eastAsia"/>
          <w:smallCaps w:val="0"/>
          <w:color w:val="000000" w:themeColor="text1"/>
          <w:highlight w:val="none"/>
          <w:lang w:eastAsia="zh-CN"/>
          <w14:textFill>
            <w14:solidFill>
              <w14:schemeClr w14:val="tx1"/>
            </w14:solidFill>
          </w14:textFill>
        </w:rPr>
        <w:t>前述自行编制内容应</w:t>
      </w:r>
      <w:r>
        <w:rPr>
          <w:rFonts w:hint="eastAsia" w:ascii="Times New Roman" w:hAnsi="Times New Roman"/>
          <w:smallCaps w:val="0"/>
          <w:color w:val="000000" w:themeColor="text1"/>
          <w:highlight w:val="none"/>
          <w14:textFill>
            <w14:solidFill>
              <w14:schemeClr w14:val="tx1"/>
            </w14:solidFill>
          </w14:textFill>
        </w:rPr>
        <w:t>与“投标人须知”、“通用合同条款”、“专用合同条款”、“技术标准和要求”、“图纸”</w:t>
      </w:r>
      <w:r>
        <w:rPr>
          <w:rFonts w:hint="eastAsia"/>
          <w:smallCaps w:val="0"/>
          <w:color w:val="000000" w:themeColor="text1"/>
          <w:highlight w:val="none"/>
          <w:lang w:eastAsia="zh-CN"/>
          <w14:textFill>
            <w14:solidFill>
              <w14:schemeClr w14:val="tx1"/>
            </w14:solidFill>
          </w14:textFill>
        </w:rPr>
        <w:t>等内容</w:t>
      </w:r>
      <w:r>
        <w:rPr>
          <w:rFonts w:hint="eastAsia" w:ascii="Times New Roman" w:hAnsi="Times New Roman"/>
          <w:smallCaps w:val="0"/>
          <w:color w:val="000000" w:themeColor="text1"/>
          <w:highlight w:val="none"/>
          <w14:textFill>
            <w14:solidFill>
              <w14:schemeClr w14:val="tx1"/>
            </w14:solidFill>
          </w14:textFill>
        </w:rPr>
        <w:t>相衔接。</w:t>
      </w:r>
    </w:p>
    <w:p w14:paraId="31D931C2">
      <w:pPr>
        <w:pStyle w:val="68"/>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九</w:t>
      </w:r>
      <w:r>
        <w:rPr>
          <w:rFonts w:hint="eastAsia" w:ascii="Times New Roman" w:hAnsi="Times New Roman"/>
          <w:smallCaps w:val="0"/>
          <w:color w:val="000000" w:themeColor="text1"/>
          <w:highlight w:val="none"/>
          <w14:textFill>
            <w14:solidFill>
              <w14:schemeClr w14:val="tx1"/>
            </w14:solidFill>
          </w14:textFill>
        </w:rPr>
        <w:t>、</w:t>
      </w:r>
      <w:r>
        <w:rPr>
          <w:rFonts w:hint="eastAsia"/>
          <w:smallCaps w:val="0"/>
          <w:color w:val="000000" w:themeColor="text1"/>
          <w:highlight w:val="none"/>
          <w:lang w:eastAsia="zh-CN"/>
          <w14:textFill>
            <w14:solidFill>
              <w14:schemeClr w14:val="tx1"/>
            </w14:solidFill>
          </w14:textFill>
        </w:rPr>
        <w:t>示范文本</w:t>
      </w:r>
      <w:r>
        <w:rPr>
          <w:rFonts w:hint="eastAsia" w:ascii="Times New Roman" w:hAnsi="Times New Roman"/>
          <w:smallCaps w:val="0"/>
          <w:color w:val="000000" w:themeColor="text1"/>
          <w:highlight w:val="none"/>
          <w14:textFill>
            <w14:solidFill>
              <w14:schemeClr w14:val="tx1"/>
            </w14:solidFill>
          </w14:textFill>
        </w:rPr>
        <w:t>第六章“图纸”由招标人根据招标项目具体特点和实际需要编制</w:t>
      </w:r>
      <w:r>
        <w:rPr>
          <w:rFonts w:hint="eastAsia"/>
          <w:smallCaps w:val="0"/>
          <w:color w:val="000000" w:themeColor="text1"/>
          <w:highlight w:val="none"/>
          <w:lang w:eastAsia="zh-CN"/>
          <w14:textFill>
            <w14:solidFill>
              <w14:schemeClr w14:val="tx1"/>
            </w14:solidFill>
          </w14:textFill>
        </w:rPr>
        <w:t>，并</w:t>
      </w:r>
      <w:r>
        <w:rPr>
          <w:rFonts w:hint="eastAsia" w:ascii="Times New Roman" w:hAnsi="Times New Roman"/>
          <w:smallCaps w:val="0"/>
          <w:color w:val="000000" w:themeColor="text1"/>
          <w:highlight w:val="none"/>
          <w14:textFill>
            <w14:solidFill>
              <w14:schemeClr w14:val="tx1"/>
            </w14:solidFill>
          </w14:textFill>
        </w:rPr>
        <w:t>与“投标人须知”、“通用合同条款”、“专用合同条款”、“技术标准和要求”</w:t>
      </w:r>
      <w:r>
        <w:rPr>
          <w:rFonts w:hint="eastAsia"/>
          <w:smallCaps w:val="0"/>
          <w:color w:val="000000" w:themeColor="text1"/>
          <w:highlight w:val="none"/>
          <w:lang w:eastAsia="zh-CN"/>
          <w14:textFill>
            <w14:solidFill>
              <w14:schemeClr w14:val="tx1"/>
            </w14:solidFill>
          </w14:textFill>
        </w:rPr>
        <w:t>等内容</w:t>
      </w:r>
      <w:r>
        <w:rPr>
          <w:rFonts w:hint="eastAsia" w:ascii="Times New Roman" w:hAnsi="Times New Roman"/>
          <w:smallCaps w:val="0"/>
          <w:color w:val="000000" w:themeColor="text1"/>
          <w:highlight w:val="none"/>
          <w14:textFill>
            <w14:solidFill>
              <w14:schemeClr w14:val="tx1"/>
            </w14:solidFill>
          </w14:textFill>
        </w:rPr>
        <w:t>相衔接。</w:t>
      </w:r>
    </w:p>
    <w:p w14:paraId="2A1FE5E2">
      <w:pPr>
        <w:pStyle w:val="68"/>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十</w:t>
      </w:r>
      <w:r>
        <w:rPr>
          <w:rFonts w:hint="eastAsia" w:ascii="Times New Roman" w:hAnsi="Times New Roman"/>
          <w:smallCaps w:val="0"/>
          <w:color w:val="000000" w:themeColor="text1"/>
          <w:highlight w:val="none"/>
          <w14:textFill>
            <w14:solidFill>
              <w14:schemeClr w14:val="tx1"/>
            </w14:solidFill>
          </w14:textFill>
        </w:rPr>
        <w:t>、</w:t>
      </w:r>
      <w:r>
        <w:rPr>
          <w:rFonts w:hint="eastAsia"/>
          <w:smallCaps w:val="0"/>
          <w:color w:val="000000" w:themeColor="text1"/>
          <w:highlight w:val="none"/>
          <w:lang w:eastAsia="zh-CN"/>
          <w14:textFill>
            <w14:solidFill>
              <w14:schemeClr w14:val="tx1"/>
            </w14:solidFill>
          </w14:textFill>
        </w:rPr>
        <w:t>示范文本</w:t>
      </w:r>
      <w:r>
        <w:rPr>
          <w:rFonts w:hint="eastAsia" w:ascii="Times New Roman" w:hAnsi="Times New Roman"/>
          <w:smallCaps w:val="0"/>
          <w:color w:val="000000" w:themeColor="text1"/>
          <w:highlight w:val="none"/>
          <w14:textFill>
            <w14:solidFill>
              <w14:schemeClr w14:val="tx1"/>
            </w14:solidFill>
          </w14:textFill>
        </w:rPr>
        <w:t>第七章“技术标准和要求”由招标人根据招标项目具体特点和实际需要编制，并与“投标人须知”、“通用合同条款”、“专用合同条款”相衔接。各项技术标准应符合国家强制性标准，不得要求或标明某一特定的专利、商标、名称、设计、原产地或生产供应者，不得含有倾向性或者排斥潜在投标人的其他内容。如必须引用某一生产供应者的技术标准才能准确或清楚地说明拟招标项目的技术标准时，则应当在参照后面加上“或相当于”字样。</w:t>
      </w:r>
    </w:p>
    <w:p w14:paraId="6F1ECCE2">
      <w:pPr>
        <w:pStyle w:val="68"/>
        <w:pageBreakBefore w:val="0"/>
        <w:kinsoku/>
        <w:wordWrap w:val="0"/>
        <w:overflowPunct/>
        <w:bidi w:val="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smallCaps w:val="0"/>
          <w:color w:val="000000" w:themeColor="text1"/>
          <w:highlight w:val="none"/>
          <w:lang w:val="en-US" w:eastAsia="zh-CN"/>
          <w14:textFill>
            <w14:solidFill>
              <w14:schemeClr w14:val="tx1"/>
            </w14:solidFill>
          </w14:textFill>
        </w:rPr>
        <w:t>十一、本招标文件示范文本中引用政策如有新规定，按照新规定执行。</w:t>
      </w:r>
    </w:p>
    <w:p w14:paraId="6EAEA348">
      <w:pPr>
        <w:pStyle w:val="68"/>
        <w:pageBreakBefore w:val="0"/>
        <w:kinsoku/>
        <w:wordWrap w:val="0"/>
        <w:overflowPunct/>
        <w:bidi w:val="0"/>
        <w:rPr>
          <w:rFonts w:hint="eastAsia" w:ascii="宋体" w:hAnsi="宋体" w:eastAsia="宋体"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十</w:t>
      </w:r>
      <w:r>
        <w:rPr>
          <w:rFonts w:hint="eastAsia"/>
          <w:smallCaps w:val="0"/>
          <w:color w:val="000000" w:themeColor="text1"/>
          <w:highlight w:val="none"/>
          <w:lang w:val="en-US" w:eastAsia="zh-CN"/>
          <w14:textFill>
            <w14:solidFill>
              <w14:schemeClr w14:val="tx1"/>
            </w14:solidFill>
          </w14:textFill>
        </w:rPr>
        <w:t>二</w:t>
      </w:r>
      <w:r>
        <w:rPr>
          <w:rFonts w:hint="eastAsia" w:ascii="Times New Roman" w:hAnsi="Times New Roman"/>
          <w:smallCaps w:val="0"/>
          <w:color w:val="000000" w:themeColor="text1"/>
          <w:highlight w:val="none"/>
          <w14:textFill>
            <w14:solidFill>
              <w14:schemeClr w14:val="tx1"/>
            </w14:solidFill>
          </w14:textFill>
        </w:rPr>
        <w:t>、示范文本</w:t>
      </w:r>
      <w:r>
        <w:rPr>
          <w:rFonts w:hint="eastAsia" w:ascii="Times New Roman" w:hAnsi="Times New Roman"/>
          <w:smallCaps w:val="0"/>
          <w:color w:val="000000" w:themeColor="text1"/>
          <w:highlight w:val="none"/>
          <w:lang w:eastAsia="zh-CN"/>
          <w14:textFill>
            <w14:solidFill>
              <w14:schemeClr w14:val="tx1"/>
            </w14:solidFill>
          </w14:textFill>
        </w:rPr>
        <w:t>将根据</w:t>
      </w:r>
      <w:r>
        <w:rPr>
          <w:rFonts w:hint="eastAsia"/>
          <w:smallCaps w:val="0"/>
          <w:color w:val="000000" w:themeColor="text1"/>
          <w:highlight w:val="none"/>
          <w:lang w:val="en-US" w:eastAsia="zh-CN"/>
          <w14:textFill>
            <w14:solidFill>
              <w14:schemeClr w14:val="tx1"/>
            </w14:solidFill>
          </w14:textFill>
        </w:rPr>
        <w:t>市级与</w:t>
      </w:r>
      <w:r>
        <w:rPr>
          <w:rFonts w:hint="eastAsia" w:ascii="Times New Roman" w:hAnsi="Times New Roman"/>
          <w:smallCaps w:val="0"/>
          <w:color w:val="000000" w:themeColor="text1"/>
          <w:highlight w:val="none"/>
          <w:lang w:eastAsia="zh-CN"/>
          <w14:textFill>
            <w14:solidFill>
              <w14:schemeClr w14:val="tx1"/>
            </w14:solidFill>
          </w14:textFill>
        </w:rPr>
        <w:t>各</w:t>
      </w:r>
      <w:r>
        <w:rPr>
          <w:rFonts w:hint="eastAsia"/>
          <w:smallCaps w:val="0"/>
          <w:color w:val="000000" w:themeColor="text1"/>
          <w:highlight w:val="none"/>
          <w:lang w:val="en-US" w:eastAsia="zh-CN"/>
          <w14:textFill>
            <w14:solidFill>
              <w14:schemeClr w14:val="tx1"/>
            </w14:solidFill>
          </w14:textFill>
        </w:rPr>
        <w:t>县区</w:t>
      </w:r>
      <w:r>
        <w:rPr>
          <w:rFonts w:hint="eastAsia" w:ascii="Times New Roman" w:hAnsi="Times New Roman"/>
          <w:smallCaps w:val="0"/>
          <w:color w:val="000000" w:themeColor="text1"/>
          <w:highlight w:val="none"/>
          <w:lang w:eastAsia="zh-CN"/>
          <w14:textFill>
            <w14:solidFill>
              <w14:schemeClr w14:val="tx1"/>
            </w14:solidFill>
          </w14:textFill>
        </w:rPr>
        <w:t>实际使用过程出现的问题及时进行修改。各使用单位或其他单位、个人对示范文本的修改意见和建议，可以向淮南市公共资源交易监督管理局业务科反映。</w:t>
      </w:r>
    </w:p>
    <w:p w14:paraId="1CCC84C4">
      <w:pPr>
        <w:pStyle w:val="68"/>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联系电话：0554-6818185。</w:t>
      </w:r>
    </w:p>
    <w:p w14:paraId="002A5A8A">
      <w:pPr>
        <w:pageBreakBefore w:val="0"/>
        <w:kinsoku/>
        <w:wordWrap w:val="0"/>
        <w:overflowPunct/>
        <w:bidi w:val="0"/>
        <w:spacing w:line="400" w:lineRule="exact"/>
        <w:rPr>
          <w:rFonts w:hint="eastAsia" w:ascii="Times New Roman" w:hAnsi="Times New Roman"/>
          <w:smallCaps w:val="0"/>
          <w:color w:val="000000" w:themeColor="text1"/>
          <w:highlight w:val="none"/>
          <w14:textFill>
            <w14:solidFill>
              <w14:schemeClr w14:val="tx1"/>
            </w14:solidFill>
          </w14:textFill>
        </w:rPr>
        <w:sectPr>
          <w:footerReference r:id="rId8" w:type="default"/>
          <w:footnotePr>
            <w:numFmt w:val="decimalEnclosedCircleChinese"/>
            <w:numRestart w:val="eachPage"/>
          </w:footnotePr>
          <w:pgSz w:w="11906" w:h="16838"/>
          <w:pgMar w:top="1588" w:right="1701" w:bottom="1418" w:left="1701" w:header="851" w:footer="851" w:gutter="0"/>
          <w:pgNumType w:fmt="decimal" w:start="1"/>
          <w:cols w:space="720" w:num="1"/>
          <w:docGrid w:type="lines" w:linePitch="312" w:charSpace="0"/>
        </w:sectPr>
      </w:pPr>
    </w:p>
    <w:p w14:paraId="29FC1EC0">
      <w:pPr>
        <w:pageBreakBefore w:val="0"/>
        <w:kinsoku/>
        <w:wordWrap w:val="0"/>
        <w:overflowPunct/>
        <w:bidi w:val="0"/>
        <w:spacing w:line="400" w:lineRule="exact"/>
        <w:rPr>
          <w:rFonts w:hint="eastAsia" w:ascii="Times New Roman" w:hAnsi="Times New Roman"/>
          <w:smallCaps w:val="0"/>
          <w:color w:val="000000" w:themeColor="text1"/>
          <w:highlight w:val="none"/>
          <w14:textFill>
            <w14:solidFill>
              <w14:schemeClr w14:val="tx1"/>
            </w14:solidFill>
          </w14:textFill>
        </w:rPr>
      </w:pPr>
    </w:p>
    <w:p w14:paraId="5F68B94F">
      <w:pPr>
        <w:pageBreakBefore w:val="0"/>
        <w:kinsoku/>
        <w:wordWrap w:val="0"/>
        <w:overflowPunct/>
        <w:bidi w:val="0"/>
        <w:spacing w:line="400" w:lineRule="exact"/>
        <w:rPr>
          <w:rFonts w:hint="eastAsia" w:ascii="Times New Roman" w:hAnsi="Times New Roman"/>
          <w:smallCaps w:val="0"/>
          <w:color w:val="000000" w:themeColor="text1"/>
          <w:highlight w:val="none"/>
          <w14:textFill>
            <w14:solidFill>
              <w14:schemeClr w14:val="tx1"/>
            </w14:solidFill>
          </w14:textFill>
        </w:rPr>
      </w:pPr>
    </w:p>
    <w:p w14:paraId="0828CF45">
      <w:pPr>
        <w:pageBreakBefore w:val="0"/>
        <w:kinsoku/>
        <w:wordWrap w:val="0"/>
        <w:overflowPunct/>
        <w:bidi w:val="0"/>
        <w:spacing w:line="400" w:lineRule="exact"/>
        <w:rPr>
          <w:rFonts w:hint="eastAsia" w:ascii="Times New Roman" w:hAnsi="Times New Roman"/>
          <w:smallCaps w:val="0"/>
          <w:color w:val="000000" w:themeColor="text1"/>
          <w:highlight w:val="none"/>
          <w14:textFill>
            <w14:solidFill>
              <w14:schemeClr w14:val="tx1"/>
            </w14:solidFill>
          </w14:textFill>
        </w:rPr>
      </w:pPr>
    </w:p>
    <w:p w14:paraId="7F3ED41B">
      <w:pPr>
        <w:pageBreakBefore w:val="0"/>
        <w:kinsoku/>
        <w:wordWrap w:val="0"/>
        <w:overflowPunct/>
        <w:bidi w:val="0"/>
        <w:spacing w:line="400" w:lineRule="exact"/>
        <w:rPr>
          <w:rFonts w:hint="eastAsia" w:ascii="Times New Roman" w:hAnsi="Times New Roman"/>
          <w:smallCaps w:val="0"/>
          <w:color w:val="000000" w:themeColor="text1"/>
          <w:highlight w:val="none"/>
          <w14:textFill>
            <w14:solidFill>
              <w14:schemeClr w14:val="tx1"/>
            </w14:solidFill>
          </w14:textFill>
        </w:rPr>
      </w:pPr>
    </w:p>
    <w:p w14:paraId="7236B3BE">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35ED77A7">
      <w:pPr>
        <w:pageBreakBefore w:val="0"/>
        <w:kinsoku/>
        <w:wordWrap w:val="0"/>
        <w:overflowPunct/>
        <w:bidi w:val="0"/>
        <w:spacing w:line="400" w:lineRule="exact"/>
        <w:rPr>
          <w:rFonts w:hint="eastAsia" w:ascii="Times New Roman" w:hAnsi="Times New Roman"/>
          <w:smallCaps w:val="0"/>
          <w:color w:val="000000" w:themeColor="text1"/>
          <w:highlight w:val="none"/>
          <w14:textFill>
            <w14:solidFill>
              <w14:schemeClr w14:val="tx1"/>
            </w14:solidFill>
          </w14:textFill>
        </w:rPr>
      </w:pPr>
    </w:p>
    <w:p w14:paraId="7892F2E7">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3458551C">
      <w:pPr>
        <w:pageBreakBefore w:val="0"/>
        <w:kinsoku/>
        <w:wordWrap w:val="0"/>
        <w:overflowPunct/>
        <w:bidi w:val="0"/>
        <w:jc w:val="center"/>
        <w:rPr>
          <w:rFonts w:hint="eastAsia" w:ascii="方正公文小标宋" w:hAnsi="方正公文小标宋" w:eastAsia="方正公文小标宋" w:cs="方正公文小标宋"/>
          <w:smallCaps w:val="0"/>
          <w:color w:val="000000" w:themeColor="text1"/>
          <w:sz w:val="28"/>
          <w:szCs w:val="28"/>
          <w:highlight w:val="none"/>
          <w14:textFill>
            <w14:solidFill>
              <w14:schemeClr w14:val="tx1"/>
            </w14:solidFill>
          </w14:textFill>
        </w:rPr>
      </w:pPr>
      <w:r>
        <w:rPr>
          <w:rFonts w:hint="eastAsia" w:ascii="方正公文小标宋" w:hAnsi="方正公文小标宋" w:eastAsia="方正公文小标宋" w:cs="方正公文小标宋"/>
          <w:smallCaps w:val="0"/>
          <w:color w:val="000000" w:themeColor="text1"/>
          <w:sz w:val="28"/>
          <w:szCs w:val="28"/>
          <w:highlight w:val="none"/>
          <w:u w:val="single"/>
          <w14:textFill>
            <w14:solidFill>
              <w14:schemeClr w14:val="tx1"/>
            </w14:solidFill>
          </w14:textFill>
        </w:rPr>
        <w:t xml:space="preserve">            </w:t>
      </w:r>
      <w:r>
        <w:rPr>
          <w:rFonts w:hint="eastAsia" w:ascii="方正公文小标宋" w:hAnsi="方正公文小标宋" w:eastAsia="方正公文小标宋" w:cs="方正公文小标宋"/>
          <w:smallCaps w:val="0"/>
          <w:color w:val="000000" w:themeColor="text1"/>
          <w:sz w:val="28"/>
          <w:szCs w:val="28"/>
          <w:highlight w:val="none"/>
          <w14:textFill>
            <w14:solidFill>
              <w14:schemeClr w14:val="tx1"/>
            </w14:solidFill>
          </w14:textFill>
        </w:rPr>
        <w:t>（项目名称</w:t>
      </w:r>
      <w:r>
        <w:rPr>
          <w:rFonts w:hint="eastAsia" w:ascii="方正公文小标宋" w:hAnsi="方正公文小标宋" w:eastAsia="方正公文小标宋" w:cs="方正公文小标宋"/>
          <w:smallCaps w:val="0"/>
          <w:color w:val="000000" w:themeColor="text1"/>
          <w:sz w:val="28"/>
          <w:szCs w:val="28"/>
          <w:highlight w:val="none"/>
          <w:u w:val="none"/>
          <w:lang w:eastAsia="zh-CN"/>
          <w14:textFill>
            <w14:solidFill>
              <w14:schemeClr w14:val="tx1"/>
            </w14:solidFill>
          </w14:textFill>
        </w:rPr>
        <w:t>）</w:t>
      </w:r>
      <w:r>
        <w:rPr>
          <w:rFonts w:hint="eastAsia" w:ascii="方正公文小标宋" w:hAnsi="方正公文小标宋" w:eastAsia="方正公文小标宋" w:cs="方正公文小标宋"/>
          <w:smallCaps w:val="0"/>
          <w:color w:val="000000" w:themeColor="text1"/>
          <w:sz w:val="28"/>
          <w:szCs w:val="28"/>
          <w:highlight w:val="none"/>
          <w:u w:val="single"/>
          <w14:textFill>
            <w14:solidFill>
              <w14:schemeClr w14:val="tx1"/>
            </w14:solidFill>
          </w14:textFill>
        </w:rPr>
        <w:t xml:space="preserve">            </w:t>
      </w:r>
      <w:r>
        <w:rPr>
          <w:rFonts w:hint="eastAsia" w:ascii="方正公文小标宋" w:hAnsi="方正公文小标宋" w:eastAsia="方正公文小标宋" w:cs="方正公文小标宋"/>
          <w:smallCaps w:val="0"/>
          <w:color w:val="000000" w:themeColor="text1"/>
          <w:sz w:val="28"/>
          <w:szCs w:val="28"/>
          <w:highlight w:val="none"/>
          <w14:textFill>
            <w14:solidFill>
              <w14:schemeClr w14:val="tx1"/>
            </w14:solidFill>
          </w14:textFill>
        </w:rPr>
        <w:t>标段施工招标</w:t>
      </w:r>
    </w:p>
    <w:p w14:paraId="04EFA6C5">
      <w:pPr>
        <w:pageBreakBefore w:val="0"/>
        <w:kinsoku/>
        <w:wordWrap w:val="0"/>
        <w:overflowPunct/>
        <w:bidi w:val="0"/>
        <w:rPr>
          <w:rFonts w:ascii="Times New Roman" w:hAnsi="Times New Roman"/>
          <w:smallCaps w:val="0"/>
          <w:color w:val="000000" w:themeColor="text1"/>
          <w:sz w:val="28"/>
          <w:szCs w:val="28"/>
          <w:highlight w:val="none"/>
          <w14:textFill>
            <w14:solidFill>
              <w14:schemeClr w14:val="tx1"/>
            </w14:solidFill>
          </w14:textFill>
        </w:rPr>
      </w:pPr>
    </w:p>
    <w:p w14:paraId="0CB5E908">
      <w:pPr>
        <w:pageBreakBefore w:val="0"/>
        <w:kinsoku/>
        <w:wordWrap w:val="0"/>
        <w:overflowPunct/>
        <w:bidi w:val="0"/>
        <w:rPr>
          <w:rFonts w:ascii="Times New Roman" w:hAnsi="Times New Roman"/>
          <w:smallCaps w:val="0"/>
          <w:color w:val="000000" w:themeColor="text1"/>
          <w:sz w:val="28"/>
          <w:szCs w:val="28"/>
          <w:highlight w:val="none"/>
          <w14:textFill>
            <w14:solidFill>
              <w14:schemeClr w14:val="tx1"/>
            </w14:solidFill>
          </w14:textFill>
        </w:rPr>
      </w:pPr>
    </w:p>
    <w:p w14:paraId="0975C4A2">
      <w:pPr>
        <w:pStyle w:val="70"/>
        <w:pageBreakBefore w:val="0"/>
        <w:kinsoku/>
        <w:wordWrap w:val="0"/>
        <w:overflowPunct/>
        <w:bidi w:val="0"/>
        <w:jc w:val="center"/>
        <w:rPr>
          <w:rFonts w:hint="eastAsia" w:ascii="方正公文小标宋" w:hAnsi="方正公文小标宋" w:eastAsia="方正公文小标宋" w:cs="方正公文小标宋"/>
          <w:smallCaps w:val="0"/>
          <w:color w:val="000000" w:themeColor="text1"/>
          <w:sz w:val="72"/>
          <w:szCs w:val="72"/>
          <w:highlight w:val="none"/>
          <w14:textFill>
            <w14:solidFill>
              <w14:schemeClr w14:val="tx1"/>
            </w14:solidFill>
          </w14:textFill>
        </w:rPr>
      </w:pPr>
      <w:r>
        <w:rPr>
          <w:rFonts w:hint="eastAsia" w:ascii="方正公文小标宋" w:hAnsi="方正公文小标宋" w:eastAsia="方正公文小标宋" w:cs="方正公文小标宋"/>
          <w:smallCaps w:val="0"/>
          <w:color w:val="000000" w:themeColor="text1"/>
          <w:sz w:val="72"/>
          <w:szCs w:val="72"/>
          <w:highlight w:val="none"/>
          <w14:textFill>
            <w14:solidFill>
              <w14:schemeClr w14:val="tx1"/>
            </w14:solidFill>
          </w14:textFill>
        </w:rPr>
        <w:t>招标文件</w:t>
      </w:r>
    </w:p>
    <w:p w14:paraId="32C96144">
      <w:pPr>
        <w:pageBreakBefore w:val="0"/>
        <w:kinsoku/>
        <w:wordWrap w:val="0"/>
        <w:overflowPunct/>
        <w:bidi w:val="0"/>
        <w:rPr>
          <w:rFonts w:ascii="Times New Roman" w:hAnsi="Times New Roman"/>
          <w:smallCaps w:val="0"/>
          <w:color w:val="000000" w:themeColor="text1"/>
          <w:sz w:val="28"/>
          <w:szCs w:val="28"/>
          <w:highlight w:val="none"/>
          <w14:textFill>
            <w14:solidFill>
              <w14:schemeClr w14:val="tx1"/>
            </w14:solidFill>
          </w14:textFill>
        </w:rPr>
      </w:pPr>
    </w:p>
    <w:p w14:paraId="3E37B1C6">
      <w:pPr>
        <w:pStyle w:val="72"/>
        <w:pageBreakBefore w:val="0"/>
        <w:kinsoku/>
        <w:wordWrap w:val="0"/>
        <w:overflowPunct/>
        <w:bidi w:val="0"/>
        <w:jc w:val="center"/>
        <w:rPr>
          <w:rFonts w:hint="eastAsia" w:ascii="方正公文小标宋" w:hAnsi="方正公文小标宋" w:eastAsia="方正公文小标宋" w:cs="方正公文小标宋"/>
          <w:smallCaps w:val="0"/>
          <w:color w:val="000000" w:themeColor="text1"/>
          <w:highlight w:val="none"/>
          <w:lang w:eastAsia="zh-CN"/>
          <w14:textFill>
            <w14:solidFill>
              <w14:schemeClr w14:val="tx1"/>
            </w14:solidFill>
          </w14:textFill>
        </w:rPr>
      </w:pPr>
      <w:r>
        <w:rPr>
          <w:rFonts w:hint="eastAsia" w:ascii="方正公文小标宋" w:hAnsi="方正公文小标宋" w:eastAsia="方正公文小标宋" w:cs="方正公文小标宋"/>
          <w:smallCaps w:val="0"/>
          <w:color w:val="000000" w:themeColor="text1"/>
          <w:highlight w:val="none"/>
          <w14:textFill>
            <w14:solidFill>
              <w14:schemeClr w14:val="tx1"/>
            </w14:solidFill>
          </w14:textFill>
        </w:rPr>
        <w:t>招标项目编号</w:t>
      </w:r>
      <w:r>
        <w:rPr>
          <w:rFonts w:hint="eastAsia" w:ascii="方正公文小标宋" w:hAnsi="方正公文小标宋" w:eastAsia="方正公文小标宋" w:cs="方正公文小标宋"/>
          <w:smallCaps w:val="0"/>
          <w:color w:val="000000" w:themeColor="text1"/>
          <w:highlight w:val="none"/>
          <w:u w:val="none"/>
          <w:lang w:eastAsia="zh-CN"/>
          <w14:textFill>
            <w14:solidFill>
              <w14:schemeClr w14:val="tx1"/>
            </w14:solidFill>
          </w14:textFill>
        </w:rPr>
        <w:t>：</w:t>
      </w:r>
    </w:p>
    <w:p w14:paraId="18A06E42">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4B6DD236">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2D65458A">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2315F131">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450A662C">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3FFA3612">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2E092331">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77A02940">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3D04591F">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69F81883">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612C142C">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32E79108">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4CDFD08C">
      <w:pPr>
        <w:pStyle w:val="69"/>
        <w:pageBreakBefore w:val="0"/>
        <w:kinsoku/>
        <w:wordWrap w:val="0"/>
        <w:overflowPunct/>
        <w:bidi w:val="0"/>
        <w:rPr>
          <w:rFonts w:hint="eastAsia" w:ascii="方正公文小标宋" w:hAnsi="方正公文小标宋" w:eastAsia="方正公文小标宋" w:cs="方正公文小标宋"/>
          <w:smallCaps w:val="0"/>
          <w:color w:val="000000" w:themeColor="text1"/>
          <w:highlight w:val="none"/>
          <w:lang w:eastAsia="zh-CN"/>
          <w14:textFill>
            <w14:solidFill>
              <w14:schemeClr w14:val="tx1"/>
            </w14:solidFill>
          </w14:textFill>
        </w:rPr>
      </w:pPr>
      <w:r>
        <w:rPr>
          <w:rFonts w:hint="eastAsia" w:ascii="方正公文小标宋" w:hAnsi="方正公文小标宋" w:eastAsia="方正公文小标宋" w:cs="方正公文小标宋"/>
          <w:smallCaps w:val="0"/>
          <w:color w:val="000000" w:themeColor="text1"/>
          <w:highlight w:val="none"/>
          <w14:textFill>
            <w14:solidFill>
              <w14:schemeClr w14:val="tx1"/>
            </w14:solidFill>
          </w14:textFill>
        </w:rPr>
        <w:t>招   标   人</w:t>
      </w:r>
      <w:r>
        <w:rPr>
          <w:rFonts w:hint="eastAsia" w:ascii="方正公文小标宋" w:hAnsi="方正公文小标宋" w:eastAsia="方正公文小标宋" w:cs="方正公文小标宋"/>
          <w:smallCaps w:val="0"/>
          <w:color w:val="000000" w:themeColor="text1"/>
          <w:highlight w:val="none"/>
          <w:u w:val="none"/>
          <w:lang w:eastAsia="zh-CN"/>
          <w14:textFill>
            <w14:solidFill>
              <w14:schemeClr w14:val="tx1"/>
            </w14:solidFill>
          </w14:textFill>
        </w:rPr>
        <w:t>：</w:t>
      </w:r>
      <w:r>
        <w:rPr>
          <w:rFonts w:hint="eastAsia" w:ascii="方正公文小标宋" w:hAnsi="方正公文小标宋" w:eastAsia="方正公文小标宋" w:cs="方正公文小标宋"/>
          <w:smallCaps w:val="0"/>
          <w:color w:val="000000" w:themeColor="text1"/>
          <w:highlight w:val="none"/>
          <w:u w:val="single"/>
          <w14:textFill>
            <w14:solidFill>
              <w14:schemeClr w14:val="tx1"/>
            </w14:solidFill>
          </w14:textFill>
        </w:rPr>
        <w:t xml:space="preserve">                    </w:t>
      </w:r>
      <w:r>
        <w:rPr>
          <w:rFonts w:hint="eastAsia" w:ascii="方正公文小标宋" w:hAnsi="方正公文小标宋" w:eastAsia="方正公文小标宋" w:cs="方正公文小标宋"/>
          <w:smallCaps w:val="0"/>
          <w:color w:val="000000" w:themeColor="text1"/>
          <w:highlight w:val="none"/>
          <w:lang w:eastAsia="zh-CN"/>
          <w14:textFill>
            <w14:solidFill>
              <w14:schemeClr w14:val="tx1"/>
            </w14:solidFill>
          </w14:textFill>
        </w:rPr>
        <w:t>（</w:t>
      </w:r>
      <w:r>
        <w:rPr>
          <w:rFonts w:hint="eastAsia" w:ascii="方正公文小标宋" w:hAnsi="方正公文小标宋" w:eastAsia="方正公文小标宋" w:cs="方正公文小标宋"/>
          <w:smallCaps w:val="0"/>
          <w:color w:val="000000" w:themeColor="text1"/>
          <w:highlight w:val="none"/>
          <w:lang w:val="en-US" w:eastAsia="zh-CN"/>
          <w14:textFill>
            <w14:solidFill>
              <w14:schemeClr w14:val="tx1"/>
            </w14:solidFill>
          </w14:textFill>
        </w:rPr>
        <w:t>盖单位章</w:t>
      </w:r>
      <w:r>
        <w:rPr>
          <w:rFonts w:hint="eastAsia" w:ascii="方正公文小标宋" w:hAnsi="方正公文小标宋" w:eastAsia="方正公文小标宋" w:cs="方正公文小标宋"/>
          <w:smallCaps w:val="0"/>
          <w:color w:val="000000" w:themeColor="text1"/>
          <w:highlight w:val="none"/>
          <w:lang w:eastAsia="zh-CN"/>
          <w14:textFill>
            <w14:solidFill>
              <w14:schemeClr w14:val="tx1"/>
            </w14:solidFill>
          </w14:textFill>
        </w:rPr>
        <w:t>）</w:t>
      </w:r>
    </w:p>
    <w:p w14:paraId="754D7DA3">
      <w:pPr>
        <w:pStyle w:val="69"/>
        <w:pageBreakBefore w:val="0"/>
        <w:kinsoku/>
        <w:wordWrap w:val="0"/>
        <w:overflowPunct/>
        <w:bidi w:val="0"/>
        <w:rPr>
          <w:rFonts w:hint="eastAsia" w:ascii="方正公文小标宋" w:hAnsi="方正公文小标宋" w:eastAsia="方正公文小标宋" w:cs="方正公文小标宋"/>
          <w:smallCaps w:val="0"/>
          <w:color w:val="000000" w:themeColor="text1"/>
          <w:highlight w:val="none"/>
          <w:lang w:eastAsia="zh-CN"/>
          <w14:textFill>
            <w14:solidFill>
              <w14:schemeClr w14:val="tx1"/>
            </w14:solidFill>
          </w14:textFill>
        </w:rPr>
      </w:pPr>
      <w:r>
        <w:rPr>
          <w:rFonts w:hint="eastAsia" w:ascii="方正公文小标宋" w:hAnsi="方正公文小标宋" w:eastAsia="方正公文小标宋" w:cs="方正公文小标宋"/>
          <w:smallCaps w:val="0"/>
          <w:color w:val="000000" w:themeColor="text1"/>
          <w:highlight w:val="none"/>
          <w14:textFill>
            <w14:solidFill>
              <w14:schemeClr w14:val="tx1"/>
            </w14:solidFill>
          </w14:textFill>
        </w:rPr>
        <w:t>招标代理机构</w:t>
      </w:r>
      <w:r>
        <w:rPr>
          <w:rFonts w:hint="eastAsia" w:ascii="方正公文小标宋" w:hAnsi="方正公文小标宋" w:eastAsia="方正公文小标宋" w:cs="方正公文小标宋"/>
          <w:smallCaps w:val="0"/>
          <w:color w:val="000000" w:themeColor="text1"/>
          <w:highlight w:val="none"/>
          <w:u w:val="none"/>
          <w:lang w:eastAsia="zh-CN"/>
          <w14:textFill>
            <w14:solidFill>
              <w14:schemeClr w14:val="tx1"/>
            </w14:solidFill>
          </w14:textFill>
        </w:rPr>
        <w:t>：</w:t>
      </w:r>
      <w:r>
        <w:rPr>
          <w:rFonts w:hint="eastAsia" w:ascii="方正公文小标宋" w:hAnsi="方正公文小标宋" w:eastAsia="方正公文小标宋" w:cs="方正公文小标宋"/>
          <w:smallCaps w:val="0"/>
          <w:color w:val="000000" w:themeColor="text1"/>
          <w:highlight w:val="none"/>
          <w:u w:val="single"/>
          <w14:textFill>
            <w14:solidFill>
              <w14:schemeClr w14:val="tx1"/>
            </w14:solidFill>
          </w14:textFill>
        </w:rPr>
        <w:t xml:space="preserve">                    </w:t>
      </w:r>
      <w:r>
        <w:rPr>
          <w:rFonts w:hint="eastAsia" w:ascii="方正公文小标宋" w:hAnsi="方正公文小标宋" w:eastAsia="方正公文小标宋" w:cs="方正公文小标宋"/>
          <w:smallCaps w:val="0"/>
          <w:color w:val="000000" w:themeColor="text1"/>
          <w:highlight w:val="none"/>
          <w:lang w:eastAsia="zh-CN"/>
          <w14:textFill>
            <w14:solidFill>
              <w14:schemeClr w14:val="tx1"/>
            </w14:solidFill>
          </w14:textFill>
        </w:rPr>
        <w:t>（</w:t>
      </w:r>
      <w:r>
        <w:rPr>
          <w:rFonts w:hint="eastAsia" w:ascii="方正公文小标宋" w:hAnsi="方正公文小标宋" w:eastAsia="方正公文小标宋" w:cs="方正公文小标宋"/>
          <w:smallCaps w:val="0"/>
          <w:color w:val="000000" w:themeColor="text1"/>
          <w:highlight w:val="none"/>
          <w:lang w:val="en-US" w:eastAsia="zh-CN"/>
          <w14:textFill>
            <w14:solidFill>
              <w14:schemeClr w14:val="tx1"/>
            </w14:solidFill>
          </w14:textFill>
        </w:rPr>
        <w:t>盖单位章</w:t>
      </w:r>
      <w:r>
        <w:rPr>
          <w:rFonts w:hint="eastAsia" w:ascii="方正公文小标宋" w:hAnsi="方正公文小标宋" w:eastAsia="方正公文小标宋" w:cs="方正公文小标宋"/>
          <w:smallCaps w:val="0"/>
          <w:color w:val="000000" w:themeColor="text1"/>
          <w:highlight w:val="none"/>
          <w:lang w:eastAsia="zh-CN"/>
          <w14:textFill>
            <w14:solidFill>
              <w14:schemeClr w14:val="tx1"/>
            </w14:solidFill>
          </w14:textFill>
        </w:rPr>
        <w:t>）</w:t>
      </w:r>
    </w:p>
    <w:p w14:paraId="2B2A7089">
      <w:pPr>
        <w:pStyle w:val="69"/>
        <w:pageBreakBefore w:val="0"/>
        <w:kinsoku/>
        <w:wordWrap w:val="0"/>
        <w:overflowPunct/>
        <w:bidi w:val="0"/>
        <w:rPr>
          <w:rFonts w:hint="eastAsia" w:ascii="方正公文小标宋" w:hAnsi="方正公文小标宋" w:eastAsia="方正公文小标宋" w:cs="方正公文小标宋"/>
          <w:smallCaps w:val="0"/>
          <w:color w:val="000000" w:themeColor="text1"/>
          <w:highlight w:val="none"/>
          <w14:textFill>
            <w14:solidFill>
              <w14:schemeClr w14:val="tx1"/>
            </w14:solidFill>
          </w14:textFill>
        </w:rPr>
      </w:pPr>
      <w:r>
        <w:rPr>
          <w:rFonts w:hint="eastAsia" w:ascii="方正公文小标宋" w:hAnsi="方正公文小标宋" w:eastAsia="方正公文小标宋" w:cs="方正公文小标宋"/>
          <w:smallCaps w:val="0"/>
          <w:color w:val="000000" w:themeColor="text1"/>
          <w:highlight w:val="none"/>
          <w:u w:val="single"/>
          <w14:textFill>
            <w14:solidFill>
              <w14:schemeClr w14:val="tx1"/>
            </w14:solidFill>
          </w14:textFill>
        </w:rPr>
        <w:t xml:space="preserve">      </w:t>
      </w:r>
      <w:r>
        <w:rPr>
          <w:rFonts w:hint="eastAsia" w:ascii="方正公文小标宋" w:hAnsi="方正公文小标宋" w:eastAsia="方正公文小标宋" w:cs="方正公文小标宋"/>
          <w:smallCaps w:val="0"/>
          <w:color w:val="000000" w:themeColor="text1"/>
          <w:highlight w:val="none"/>
          <w14:textFill>
            <w14:solidFill>
              <w14:schemeClr w14:val="tx1"/>
            </w14:solidFill>
          </w14:textFill>
        </w:rPr>
        <w:t>年</w:t>
      </w:r>
      <w:r>
        <w:rPr>
          <w:rFonts w:hint="eastAsia" w:ascii="方正公文小标宋" w:hAnsi="方正公文小标宋" w:eastAsia="方正公文小标宋" w:cs="方正公文小标宋"/>
          <w:smallCaps w:val="0"/>
          <w:color w:val="000000" w:themeColor="text1"/>
          <w:highlight w:val="none"/>
          <w:u w:val="single"/>
          <w14:textFill>
            <w14:solidFill>
              <w14:schemeClr w14:val="tx1"/>
            </w14:solidFill>
          </w14:textFill>
        </w:rPr>
        <w:t xml:space="preserve">      </w:t>
      </w:r>
      <w:r>
        <w:rPr>
          <w:rFonts w:hint="eastAsia" w:ascii="方正公文小标宋" w:hAnsi="方正公文小标宋" w:eastAsia="方正公文小标宋" w:cs="方正公文小标宋"/>
          <w:smallCaps w:val="0"/>
          <w:color w:val="000000" w:themeColor="text1"/>
          <w:highlight w:val="none"/>
          <w14:textFill>
            <w14:solidFill>
              <w14:schemeClr w14:val="tx1"/>
            </w14:solidFill>
          </w14:textFill>
        </w:rPr>
        <w:t>月</w:t>
      </w:r>
      <w:r>
        <w:rPr>
          <w:rFonts w:hint="eastAsia" w:ascii="方正公文小标宋" w:hAnsi="方正公文小标宋" w:eastAsia="方正公文小标宋" w:cs="方正公文小标宋"/>
          <w:smallCaps w:val="0"/>
          <w:color w:val="000000" w:themeColor="text1"/>
          <w:highlight w:val="none"/>
          <w:u w:val="single"/>
          <w14:textFill>
            <w14:solidFill>
              <w14:schemeClr w14:val="tx1"/>
            </w14:solidFill>
          </w14:textFill>
        </w:rPr>
        <w:t xml:space="preserve">      </w:t>
      </w:r>
      <w:r>
        <w:rPr>
          <w:rFonts w:hint="eastAsia" w:ascii="方正公文小标宋" w:hAnsi="方正公文小标宋" w:eastAsia="方正公文小标宋" w:cs="方正公文小标宋"/>
          <w:smallCaps w:val="0"/>
          <w:color w:val="000000" w:themeColor="text1"/>
          <w:highlight w:val="none"/>
          <w14:textFill>
            <w14:solidFill>
              <w14:schemeClr w14:val="tx1"/>
            </w14:solidFill>
          </w14:textFill>
        </w:rPr>
        <w:t>日</w:t>
      </w:r>
    </w:p>
    <w:p w14:paraId="7AA5DAE9">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4F942EEB">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sectPr>
          <w:footerReference r:id="rId9" w:type="default"/>
          <w:footnotePr>
            <w:numFmt w:val="decimalEnclosedCircleChinese"/>
            <w:numRestart w:val="eachPage"/>
          </w:footnotePr>
          <w:pgSz w:w="11906" w:h="16838"/>
          <w:pgMar w:top="1588" w:right="1701" w:bottom="1418" w:left="1701" w:header="851" w:footer="851" w:gutter="0"/>
          <w:pgNumType w:fmt="decimal" w:start="1"/>
          <w:cols w:space="720" w:num="1"/>
          <w:docGrid w:type="lines" w:linePitch="312" w:charSpace="0"/>
        </w:sectPr>
      </w:pPr>
    </w:p>
    <w:p w14:paraId="3D2FD602">
      <w:pPr>
        <w:pageBreakBefore w:val="0"/>
        <w:kinsoku/>
        <w:wordWrap w:val="0"/>
        <w:overflowPunct/>
        <w:bidi w:val="0"/>
        <w:ind w:firstLine="3534" w:firstLineChars="1100"/>
        <w:rPr>
          <w:rFonts w:hint="eastAsia" w:ascii="黑体" w:hAnsi="黑体" w:eastAsia="黑体"/>
          <w:b/>
          <w:bCs/>
          <w:color w:val="000000" w:themeColor="text1"/>
          <w:sz w:val="32"/>
          <w:szCs w:val="24"/>
          <w:highlight w:val="none"/>
          <w14:textFill>
            <w14:solidFill>
              <w14:schemeClr w14:val="tx1"/>
            </w14:solidFill>
          </w14:textFill>
        </w:rPr>
      </w:pPr>
      <w:r>
        <w:rPr>
          <w:rFonts w:hint="eastAsia" w:ascii="黑体" w:hAnsi="黑体" w:eastAsia="黑体"/>
          <w:b/>
          <w:bCs/>
          <w:color w:val="000000" w:themeColor="text1"/>
          <w:sz w:val="32"/>
          <w:szCs w:val="24"/>
          <w:highlight w:val="none"/>
          <w14:textFill>
            <w14:solidFill>
              <w14:schemeClr w14:val="tx1"/>
            </w14:solidFill>
          </w14:textFill>
        </w:rPr>
        <w:t>目</w:t>
      </w:r>
      <w:r>
        <w:rPr>
          <w:rFonts w:hint="eastAsia" w:ascii="黑体" w:hAnsi="黑体" w:eastAsia="黑体"/>
          <w:b/>
          <w:bCs/>
          <w:color w:val="000000" w:themeColor="text1"/>
          <w:sz w:val="32"/>
          <w:szCs w:val="24"/>
          <w:highlight w:val="none"/>
          <w:lang w:val="en-US" w:eastAsia="zh-CN"/>
          <w14:textFill>
            <w14:solidFill>
              <w14:schemeClr w14:val="tx1"/>
            </w14:solidFill>
          </w14:textFill>
        </w:rPr>
        <w:t xml:space="preserve">   </w:t>
      </w:r>
      <w:r>
        <w:rPr>
          <w:rFonts w:hint="eastAsia" w:ascii="黑体" w:hAnsi="黑体" w:eastAsia="黑体"/>
          <w:b/>
          <w:bCs/>
          <w:color w:val="000000" w:themeColor="text1"/>
          <w:sz w:val="32"/>
          <w:szCs w:val="24"/>
          <w:highlight w:val="none"/>
          <w14:textFill>
            <w14:solidFill>
              <w14:schemeClr w14:val="tx1"/>
            </w14:solidFill>
          </w14:textFill>
        </w:rPr>
        <w:t xml:space="preserve">  录</w:t>
      </w:r>
    </w:p>
    <w:p w14:paraId="4CC3F201">
      <w:pPr>
        <w:pageBreakBefore w:val="0"/>
        <w:tabs>
          <w:tab w:val="right" w:leader="dot" w:pos="8504"/>
        </w:tabs>
        <w:kinsoku/>
        <w:wordWrap w:val="0"/>
        <w:overflowPunct/>
        <w:bidi w:val="0"/>
        <w:adjustRightInd/>
        <w:spacing w:line="400" w:lineRule="exact"/>
        <w:jc w:val="center"/>
        <w:rPr>
          <w:rFonts w:hint="eastAsia" w:ascii="Times New Roman" w:hAnsi="Times New Roman" w:eastAsia="宋体" w:cs="Times New Roman"/>
          <w:smallCaps w:val="0"/>
          <w:color w:val="000000" w:themeColor="text1"/>
          <w:kern w:val="2"/>
          <w:sz w:val="24"/>
          <w:szCs w:val="21"/>
          <w:highlight w:val="none"/>
          <w:lang w:val="en-US" w:eastAsia="zh-CN" w:bidi="ar-SA"/>
          <w14:textFill>
            <w14:solidFill>
              <w14:schemeClr w14:val="tx1"/>
            </w14:solidFill>
          </w14:textFill>
        </w:rPr>
      </w:pPr>
      <w:r>
        <w:rPr>
          <w:rFonts w:hint="eastAsia" w:ascii="Times New Roman" w:hAnsi="Times New Roman" w:cs="宋体"/>
          <w:b/>
          <w:bCs/>
          <w:smallCaps w:val="0"/>
          <w:color w:val="000000" w:themeColor="text1"/>
          <w:highlight w:val="none"/>
          <w:lang w:val="en-US" w:eastAsia="zh-CN"/>
          <w14:textFill>
            <w14:solidFill>
              <w14:schemeClr w14:val="tx1"/>
            </w14:solidFill>
          </w14:textFill>
        </w:rPr>
        <w:t xml:space="preserve">  </w:t>
      </w:r>
      <w:r>
        <w:rPr>
          <w:rFonts w:hint="eastAsia" w:ascii="Times New Roman" w:hAnsi="Times New Roman" w:cs="宋体"/>
          <w:b/>
          <w:bCs/>
          <w:smallCaps w:val="0"/>
          <w:color w:val="000000" w:themeColor="text1"/>
          <w:highlight w:val="none"/>
          <w14:textFill>
            <w14:solidFill>
              <w14:schemeClr w14:val="tx1"/>
            </w14:solidFill>
          </w14:textFill>
        </w:rPr>
        <w:fldChar w:fldCharType="begin"/>
      </w:r>
      <w:r>
        <w:rPr>
          <w:rFonts w:hint="eastAsia" w:ascii="Times New Roman" w:hAnsi="Times New Roman" w:cs="宋体"/>
          <w:b/>
          <w:bCs/>
          <w:smallCaps w:val="0"/>
          <w:color w:val="000000" w:themeColor="text1"/>
          <w:highlight w:val="none"/>
          <w14:textFill>
            <w14:solidFill>
              <w14:schemeClr w14:val="tx1"/>
            </w14:solidFill>
          </w14:textFill>
        </w:rPr>
        <w:instrText xml:space="preserve"> TOC \o "1-2" \h \z \u </w:instrText>
      </w:r>
      <w:r>
        <w:rPr>
          <w:rFonts w:hint="eastAsia" w:ascii="Times New Roman" w:hAnsi="Times New Roman" w:cs="宋体"/>
          <w:b/>
          <w:bCs/>
          <w:smallCaps w:val="0"/>
          <w:color w:val="000000" w:themeColor="text1"/>
          <w:highlight w:val="none"/>
          <w14:textFill>
            <w14:solidFill>
              <w14:schemeClr w14:val="tx1"/>
            </w14:solidFill>
          </w14:textFill>
        </w:rPr>
        <w:fldChar w:fldCharType="separate"/>
      </w:r>
    </w:p>
    <w:p w14:paraId="06A0E6A6">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_Toc3888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黑体" w:hAnsi="黑体" w:eastAsia="黑体" w:cs="黑体"/>
          <w:bCs/>
          <w:snapToGrid w:val="0"/>
          <w:color w:val="000000" w:themeColor="text1"/>
          <w:kern w:val="2"/>
          <w:szCs w:val="32"/>
          <w:highlight w:val="none"/>
          <w:lang w:val="en-US" w:eastAsia="zh-CN" w:bidi="ar-SA"/>
          <w14:textFill>
            <w14:solidFill>
              <w14:schemeClr w14:val="tx1"/>
            </w14:solidFill>
          </w14:textFill>
        </w:rPr>
        <w:t>第一章</w:t>
      </w:r>
      <w:r>
        <w:rPr>
          <w:rFonts w:hint="eastAsia" w:cs="黑体"/>
          <w:bCs/>
          <w:snapToGrid w:val="0"/>
          <w:color w:val="000000" w:themeColor="text1"/>
          <w:kern w:val="2"/>
          <w:szCs w:val="32"/>
          <w:highlight w:val="none"/>
          <w:lang w:val="en-US" w:eastAsia="zh-CN" w:bidi="ar-SA"/>
          <w14:textFill>
            <w14:solidFill>
              <w14:schemeClr w14:val="tx1"/>
            </w14:solidFill>
          </w14:textFill>
        </w:rPr>
        <w:t xml:space="preserve"> </w:t>
      </w:r>
      <w:r>
        <w:rPr>
          <w:rFonts w:hint="eastAsia"/>
          <w:color w:val="000000" w:themeColor="text1"/>
          <w:highlight w:val="none"/>
          <w14:textFill>
            <w14:solidFill>
              <w14:schemeClr w14:val="tx1"/>
            </w14:solidFill>
          </w14:textFill>
        </w:rPr>
        <w:t>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_Toc3888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6E6D00F">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_Toc3053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1. 招标条件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5051DB4">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_Toc18694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2. 项目概况与招标范围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_Toc18694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A7934D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_Toc30975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3. 投标人资格要求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_Toc30975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E2851C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_Toc28598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4. 招标文件的获取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_Toc28598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EDDDB8F">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_Toc602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5. 投标文件的</w:t>
      </w:r>
      <w:r>
        <w:rPr>
          <w:rFonts w:hint="eastAsia" w:ascii="Times New Roman" w:hAnsi="Times New Roman"/>
          <w:smallCaps w:val="0"/>
          <w:color w:val="000000" w:themeColor="text1"/>
          <w:highlight w:val="none"/>
          <w:lang w:eastAsia="zh"/>
          <w14:textFill>
            <w14:solidFill>
              <w14:schemeClr w14:val="tx1"/>
            </w14:solidFill>
          </w14:textFill>
        </w:rPr>
        <w:t>提交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_Toc602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BD5E87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_Toc1543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6. 开标时间及地点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C2B5DDA">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_Toc10339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7.</w:t>
      </w:r>
      <w:r>
        <w:rPr>
          <w:rFonts w:hint="eastAsia" w:ascii="Times New Roman" w:hAnsi="Times New Roman"/>
          <w:smallCaps w:val="0"/>
          <w:color w:val="000000" w:themeColor="text1"/>
          <w:highlight w:val="non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评标</w:t>
      </w:r>
      <w:r>
        <w:rPr>
          <w:rFonts w:hint="eastAsia" w:ascii="Times New Roman" w:hAnsi="Times New Roman"/>
          <w:smallCaps w:val="0"/>
          <w:color w:val="000000" w:themeColor="text1"/>
          <w:highlight w:val="none"/>
          <w:lang w:val="en-US"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办法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_Toc10339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33E51F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_Toc22683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14:textFill>
            <w14:solidFill>
              <w14:schemeClr w14:val="tx1"/>
            </w14:solidFill>
          </w14:textFill>
        </w:rPr>
        <w:t>. 发布公告的媒介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_Toc22683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310046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_Toc25533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9. 联系方式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_Toc25533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7239CE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_Toc2537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10. 其他事项说明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6272CB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_Toc12253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11. 投标保证金收款银行账户信息</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_Toc12253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9E70D5F">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_Toc26373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黑体" w:hAnsi="黑体" w:eastAsia="黑体" w:cs="黑体"/>
          <w:bCs/>
          <w:snapToGrid w:val="0"/>
          <w:color w:val="000000" w:themeColor="text1"/>
          <w:kern w:val="2"/>
          <w:szCs w:val="32"/>
          <w:highlight w:val="none"/>
          <w:lang w:val="en-US" w:eastAsia="zh-CN" w:bidi="ar-SA"/>
          <w14:textFill>
            <w14:solidFill>
              <w14:schemeClr w14:val="tx1"/>
            </w14:solidFill>
          </w14:textFill>
        </w:rPr>
        <w:t>第一章 投标邀请书（适用于邀请招标）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_Toc26373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C7ACFEA">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_Toc12087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1. 招标条件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_Toc12087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C44CFC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_Toc5014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2. 项目概况与招标范围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_Toc5014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75C2BA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_Toc24008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3. 投标人资格要求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_Toc24008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F6FE5F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_Toc20150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4. 招标文件的获取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_Toc20150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5DB814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_Toc11534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5. 投标文件的</w:t>
      </w:r>
      <w:r>
        <w:rPr>
          <w:rFonts w:hint="eastAsia" w:ascii="Times New Roman" w:hAnsi="Times New Roman"/>
          <w:smallCaps w:val="0"/>
          <w:color w:val="000000" w:themeColor="text1"/>
          <w:highlight w:val="none"/>
          <w:lang w:eastAsia="zh-CN"/>
          <w14:textFill>
            <w14:solidFill>
              <w14:schemeClr w14:val="tx1"/>
            </w14:solidFill>
          </w14:textFill>
        </w:rPr>
        <w:t>提交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_Toc11534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502B06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_Toc24460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6. 开标时间及地点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_Toc24460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FAEE4D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_Toc31920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7. 确认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_Toc31920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792918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_Toc28631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8. 评标及定标办法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_Toc28631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5D1ACA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_Toc15709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9. 联系方式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_Toc15709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53FEA2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_Toc3019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10. 其他事项说明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E7FC5D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_Toc14253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11. 投标保证金收款银行账户信息</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_Toc14253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9317B15">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_Toc31220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w:t>
      </w:r>
      <w:r>
        <w:rPr>
          <w:rFonts w:hint="eastAsia" w:ascii="Times New Roman" w:hAnsi="Times New Roman"/>
          <w:smallCaps w:val="0"/>
          <w:color w:val="000000" w:themeColor="text1"/>
          <w:highlight w:val="none"/>
          <w:lang w:eastAsia="zh-CN"/>
          <w14:textFill>
            <w14:solidFill>
              <w14:schemeClr w14:val="tx1"/>
            </w14:solidFill>
          </w14:textFill>
        </w:rPr>
        <w:t xml:space="preserve"> </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_Toc31220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10E4554">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_Toc32522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 xml:space="preserve">第二章 </w:t>
      </w:r>
      <w:r>
        <w:rPr>
          <w:rFonts w:hint="eastAsia"/>
          <w:color w:val="000000" w:themeColor="text1"/>
          <w:highlight w:val="none"/>
          <w14:textFill>
            <w14:solidFill>
              <w14:schemeClr w14:val="tx1"/>
            </w14:solidFill>
          </w14:textFill>
        </w:rPr>
        <w:t>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_Toc32522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1B712FF">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_Toc29426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_Toc29426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BA00D0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_Toc6383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附录1  资格审查条件（资质最低条件）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_Toc6383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6A5DEF5">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_Toc16457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附录2  资格审查条件（财务最低要求）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_Toc16457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4D699A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_Toc25337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附录3  资格审查条件</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业绩最低要求</w:t>
      </w:r>
      <w:r>
        <w:rPr>
          <w:rFonts w:hint="eastAsia" w:ascii="Times New Roman" w:hAnsi="Times New Roman"/>
          <w:smallCaps w:val="0"/>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_Toc25337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164697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_Toc17061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附录4  资格审查条件(信誉最低要求)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_Toc17061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B7E8EB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_Toc22171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highlight w:val="none"/>
          <w:lang w:val="en-US" w:eastAsia="zh-CN" w:bidi="ar-SA"/>
          <w14:textFill>
            <w14:solidFill>
              <w14:schemeClr w14:val="tx1"/>
            </w14:solidFill>
          </w14:textFill>
        </w:rPr>
        <w:t>附录5  资格审查条件（项目经理最低要求）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_Toc22171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E6D20BE">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_Toc9020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highlight w:val="none"/>
          <w:lang w:val="en-US" w:eastAsia="zh-CN"/>
          <w14:textFill>
            <w14:solidFill>
              <w14:schemeClr w14:val="tx1"/>
            </w14:solidFill>
          </w14:textFill>
        </w:rPr>
        <w:t>1. 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_Toc9020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F65A91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_Toc32639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1.1 项目概况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_Toc32639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10FD00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_Toc20785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1.2 资金来源和落实情况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_Toc20785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D7FAABC">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_Toc25046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1.3 招标范围、计划工期、质量要求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_Toc25046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2F5391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_Toc13098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1.4 投标人资格要求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_Toc13098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478732A">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_Toc14362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1.5 费用承担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_Toc14362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732575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_Toc30323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1.6 保密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E39F69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_Toc27678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1.7 语言文字</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_Toc27678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1B9DEAC">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_Toc28774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1.8 计量单位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_Toc28774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AC662CE">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_Toc3423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1.9 踏勘现场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_Toc3423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DBED72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_Toc27638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1.10 投标预备会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_Toc27638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476129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_Toc22241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1.11 分包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_Toc22241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6EFDC6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_Toc19583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1.12 响应和偏离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_Toc19583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0547B3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_Toc10547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2. 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_Toc10547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EFF618A">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_Toc30811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2.1 招标文件的组成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_Toc30811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6BE5994">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_Toc16712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2.2 招标文件的澄清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_Toc16712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A15906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_Toc20674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2.3 招标文件的修改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_Toc20674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F468D7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_Toc31550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2.4 招标文件的异议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_Toc31550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49AE86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_Toc27134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3. 投标文件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_Toc27134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89D8FF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_Toc10324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3.1 投标文件的组成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_Toc10324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16FF71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_Toc3584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3.2 投标报价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_Toc3584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A283A2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_Toc31133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3.3 投标有效期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_Toc31133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DC34EF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_Toc9430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3.4 投标保证金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_Toc9430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76310B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_Toc19757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3.5 资格审查资料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_Toc19757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2911A3F">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_Toc14738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3.6 备选投标方案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_Toc14738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7CF48F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_Toc22999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3.7 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_Toc22999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7326D1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_Toc18333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4. 投标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_Toc18333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A2ADE8E">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_Toc21943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4.1 投标文件的加密（密封）和标记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_Toc21943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A4E117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_Toc7065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4.2 投标文件的提交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_Toc7065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F22B4B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_Toc22035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4.3 投标文件的修改与撤回</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_Toc22035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A2FDCE8">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_Toc11313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5. 开标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_Toc11313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F25970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_Toc23397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5.1 开标时间和地点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_Toc23397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A22DFE4">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_Toc12938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5.2 开标程序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_Toc12938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66EDA8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_Toc21128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5.3 开标异议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_Toc21128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29B8CB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_Toc18235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6. 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_Toc18235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6934B24">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_Toc23634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6.1 评标委员会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_Toc23634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7BB20AE">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_Toc12267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6.2 评标原则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_Toc12267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45A9FC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_Toc30516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6.3 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_Toc30516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F55FEB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_Toc11022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6</w:t>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w:t>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4</w:t>
      </w:r>
      <w:r>
        <w:rPr>
          <w:rFonts w:hint="eastAsia" w:ascii="Times New Roman" w:hAnsi="Times New Roman"/>
          <w:bCs w:val="0"/>
          <w:smallCaps w:val="0"/>
          <w:color w:val="000000" w:themeColor="text1"/>
          <w:kern w:val="2"/>
          <w:szCs w:val="24"/>
          <w:highlight w:val="none"/>
          <w:lang w:val="zh-CN" w:eastAsia="zh-CN" w:bidi="ar-SA"/>
          <w14:textFill>
            <w14:solidFill>
              <w14:schemeClr w14:val="tx1"/>
            </w14:solidFill>
          </w14:textFill>
        </w:rPr>
        <w:t xml:space="preserve"> 中标候选人公示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_Toc11022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3D35D6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_Toc17038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6.5 评标结果异议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_Toc17038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027C455">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_Toc12887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6.6 中标候选人履约能力审查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_Toc12887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561EE8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_Toc4561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7.定标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_Toc4561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4BBBBA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_Toc12754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7.1 定标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_Toc12754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AEC0B9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_Toc30133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7.2 中标通知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_Toc30133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058986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_Toc24776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7.3 中标结果公示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_Toc24776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807B4C8">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_Toc4833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8.合同授予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_Toc4833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8C4BE7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_Toc10951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8.1 履约保证金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49E512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_Toc19222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8.2签订合同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_Toc19222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EC134B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_Toc16857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 重新招标和不再招标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_Toc16857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7452D9C">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_Toc26481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9.1 重新招标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_Toc26481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25CEDC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_Toc26163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9.2 不再招标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_Toc26163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8627FEF">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_Toc13242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10</w:t>
      </w:r>
      <w:r>
        <w:rPr>
          <w:rFonts w:hint="eastAsia" w:ascii="Times New Roman" w:hAnsi="Times New Roman"/>
          <w:smallCaps w:val="0"/>
          <w:color w:val="000000" w:themeColor="text1"/>
          <w:highlight w:val="none"/>
          <w14:textFill>
            <w14:solidFill>
              <w14:schemeClr w14:val="tx1"/>
            </w14:solidFill>
          </w14:textFill>
        </w:rPr>
        <w:t>. 纪律和监督</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_Toc13242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15B3C1F">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_Toc25708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10.1 对招标人的纪律要求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_Toc25708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50F863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_Toc25204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10.2 对投标人的纪律要求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_Toc25204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35EE97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_Toc25653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10.3 对评标委员会成员的纪律要求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_Toc25653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378FC6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_Toc9944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10.4 对与评标活动有关的工作人员的纪律要求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_Toc9944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26A2B1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_Toc5353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10.5 投诉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_Toc5353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8658D4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_Toc16316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 需要补充的其他内容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_Toc16316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A1D5507">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_Toc23394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第三章  评标及定标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_Toc23394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8CA35FC">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_Toc637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（第一种</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经评审的最低投标价法</w:t>
      </w:r>
      <w:r>
        <w:rPr>
          <w:rFonts w:hint="eastAsia" w:ascii="Times New Roman" w:hAnsi="Times New Roman"/>
          <w:smallCaps w:val="0"/>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6F9254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_Toc29622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评标办法前附表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_Toc29622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BB7D33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_Toc11875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highlight w:val="none"/>
          <w:lang w:val="en-US" w:eastAsia="zh-CN" w:bidi="ar-SA"/>
          <w14:textFill>
            <w14:solidFill>
              <w14:schemeClr w14:val="tx1"/>
            </w14:solidFill>
          </w14:textFill>
        </w:rPr>
        <w:t>1. 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_Toc11875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ACA0A1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_Toc19842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2. 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_Toc19842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09B2FE8">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_Toc21541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2.1 初步评审标准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_Toc21541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2E129BE">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_Toc24558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2.2 详细评审标准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_Toc24558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A51EF5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_Toc14954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 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9D3043E">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_Toc23197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3.1 商务文件评审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_Toc23197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F20734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_Toc12160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3.2 报价文件初步评审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_Toc12160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85FB20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_Toc786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3.3 报价文件详细评审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1A9579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_Toc31136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3.4 技术文件初步评审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_Toc31136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55939C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_Toc19033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3.5 否决投标的其他情形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B6DF905">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_Toc25205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3.6 投标文件的澄清、说明或补正</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_Toc25205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085F83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_Toc17659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szCs w:val="24"/>
          <w:highlight w:val="none"/>
          <w:lang w:val="en-US" w:eastAsia="zh-CN" w:bidi="ar-SA"/>
          <w14:textFill>
            <w14:solidFill>
              <w14:schemeClr w14:val="tx1"/>
            </w14:solidFill>
          </w14:textFill>
        </w:rPr>
        <w:t>3.7 评标结果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_Toc17659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FE1AE01">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_Toc32709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第三章  评标及定标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_Toc32709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86B572E">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_Toc16259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（第</w:t>
      </w:r>
      <w:r>
        <w:rPr>
          <w:rFonts w:hint="eastAsia" w:ascii="Times New Roman" w:hAnsi="Times New Roman"/>
          <w:smallCaps w:val="0"/>
          <w:color w:val="000000" w:themeColor="text1"/>
          <w:highlight w:val="none"/>
          <w:lang w:val="en-US" w:eastAsia="zh-CN"/>
          <w14:textFill>
            <w14:solidFill>
              <w14:schemeClr w14:val="tx1"/>
            </w14:solidFill>
          </w14:textFill>
        </w:rPr>
        <w:t>二</w:t>
      </w:r>
      <w:r>
        <w:rPr>
          <w:rFonts w:hint="eastAsia" w:ascii="Times New Roman" w:hAnsi="Times New Roman"/>
          <w:smallCaps w:val="0"/>
          <w:color w:val="000000" w:themeColor="text1"/>
          <w:highlight w:val="none"/>
          <w14:textFill>
            <w14:solidFill>
              <w14:schemeClr w14:val="tx1"/>
            </w14:solidFill>
          </w14:textFill>
        </w:rPr>
        <w:t>种</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合理低价法</w:t>
      </w:r>
      <w:r>
        <w:rPr>
          <w:rFonts w:hint="eastAsia" w:ascii="Times New Roman" w:hAnsi="Times New Roman"/>
          <w:smallCaps w:val="0"/>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_Toc16259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712850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_Toc10856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评标办法前附表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_Toc10856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F0CB1F8">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_Toc15379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详细评审标准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_Toc15379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45BCDA5">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_Toc24048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附件1</w:t>
      </w:r>
      <w:r>
        <w:rPr>
          <w:rFonts w:hint="eastAsia" w:ascii="Times New Roman" w:hAnsi="Times New Roman" w:eastAsia="黑体"/>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有效值计算方法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_Toc24048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5D4576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_Toc18923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highlight w:val="none"/>
          <w:lang w:val="en-US" w:eastAsia="zh-CN" w:bidi="ar-SA"/>
          <w14:textFill>
            <w14:solidFill>
              <w14:schemeClr w14:val="tx1"/>
            </w14:solidFill>
          </w14:textFill>
        </w:rPr>
        <w:t>附件2：评审选择规则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_Toc18923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7BD4F8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_Toc20152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附件3</w:t>
      </w:r>
      <w:r>
        <w:rPr>
          <w:rFonts w:hint="eastAsia" w:ascii="Times New Roman" w:hAnsi="Times New Roman" w:eastAsia="黑体"/>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否决投标的其他情形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_Toc20152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561D1D4">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_Toc28101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val="0"/>
          <w:smallCaps w:val="0"/>
          <w:color w:val="000000" w:themeColor="text1"/>
          <w:kern w:val="2"/>
          <w:highlight w:val="none"/>
          <w:lang w:val="en-US" w:eastAsia="zh-CN" w:bidi="ar-SA"/>
          <w14:textFill>
            <w14:solidFill>
              <w14:schemeClr w14:val="tx1"/>
            </w14:solidFill>
          </w14:textFill>
        </w:rPr>
        <w:t>附件4：异常低价评审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_Toc28101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12798A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_Toc19061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1. 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C52A67E">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_Toc17548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2. 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_Toc17548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0E3BA38">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_Toc29490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3. 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_Toc29490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FD62B2C">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_Toc1132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第三章 评标及定标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_Toc1132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CD0A3EC">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_Toc23917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（第</w:t>
      </w:r>
      <w:r>
        <w:rPr>
          <w:rFonts w:hint="eastAsia" w:ascii="Times New Roman" w:hAnsi="Times New Roman"/>
          <w:smallCaps w:val="0"/>
          <w:color w:val="000000" w:themeColor="text1"/>
          <w:highlight w:val="none"/>
          <w:lang w:val="en-US" w:eastAsia="zh-CN"/>
          <w14:textFill>
            <w14:solidFill>
              <w14:schemeClr w14:val="tx1"/>
            </w14:solidFill>
          </w14:textFill>
        </w:rPr>
        <w:t>三</w:t>
      </w:r>
      <w:r>
        <w:rPr>
          <w:rFonts w:hint="eastAsia" w:ascii="Times New Roman" w:hAnsi="Times New Roman"/>
          <w:smallCaps w:val="0"/>
          <w:color w:val="000000" w:themeColor="text1"/>
          <w:highlight w:val="none"/>
          <w14:textFill>
            <w14:solidFill>
              <w14:schemeClr w14:val="tx1"/>
            </w14:solidFill>
          </w14:textFill>
        </w:rPr>
        <w:t>种</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综合评估法</w:t>
      </w:r>
      <w:r>
        <w:rPr>
          <w:rFonts w:hint="eastAsia" w:ascii="Times New Roman" w:hAnsi="Times New Roman"/>
          <w:smallCaps w:val="0"/>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_Toc23917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2463F4E">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_Toc16336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评标办法前附表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_Toc16336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20DF6AA">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_Toc22054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商务及技术文件初步评审标准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_Toc22054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E7A98A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_Toc2455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报价文件初步评审标准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92660E8">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_Toc16155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详细评审标准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_Toc16155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C5B559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_Toc21882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附件1：技术文件详细评审得分计算规则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_Toc21882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213520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_Toc14922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附件2：确定入围第三阶段报价文件评审的规定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9E5CA4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_Toc28161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附件3：否决投标的其他情形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_Toc28161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78D3D8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_Toc24215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附件4：异常低价评审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08B533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_Toc4882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1. 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_Toc4882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8EB4938">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_Toc9883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2. 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_Toc9883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4AD132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_Toc19975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3. 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_Toc19975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3CA8EF0">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_Toc10320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第四章 合同条款及格式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_Toc10320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B7E034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_Toc21084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第一节  合同协议书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_Toc21084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38E7A0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_Toc24754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第二节 通用合同条款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_Toc24754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76D902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_Toc4076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第三节  专用合同条款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_Toc4076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4BD65A8">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_Toc13437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附件1</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承包人承揽工程项目一览表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_Toc13437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73ED844">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_Toc11585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附件2</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发包人供应材料设备一览表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_Toc11585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2888B6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_Toc22527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附件3</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工程质量保修书(房屋建筑工程)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_Toc22527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B83DE8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_Toc32599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附件3</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工程质量保修书(市政公用工程)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_Toc32599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82584F4">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_Toc7815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附件4</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主要建设工程文件目录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A5F417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_Toc7548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附件5</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承包人用于本工程施工的机械设备表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_Toc7548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FC6C8D8">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_Toc30337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附件6</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承包人主要施工管理人员表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D798EA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_Toc26487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附件7：分包人主要施工管理人员表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_Toc26487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DAF3B4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_Toc26485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附件8：廉政责任书格式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_Toc26485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BBB377C">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_Toc23048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附件9：履约保证金格式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_Toc23048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A4C640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_Toc10522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附件10：预付款担保格式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_Toc10522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53752EE">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_Toc3127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附件11：支付担保格式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4CD4F8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_Toc25556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附件12：暂估价一览表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_Toc25556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1F246E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_Toc17487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kern w:val="2"/>
          <w:highlight w:val="none"/>
          <w:lang w:val="en-US" w:eastAsia="zh-CN" w:bidi="ar-SA"/>
          <w14:textFill>
            <w14:solidFill>
              <w14:schemeClr w14:val="tx1"/>
            </w14:solidFill>
          </w14:textFill>
        </w:rPr>
        <w:t>附件13：安全生产合同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_Toc17487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0168744">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_Toc28250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kern w:val="2"/>
          <w:highlight w:val="none"/>
          <w:lang w:val="en-US" w:eastAsia="zh-CN" w:bidi="ar-SA"/>
          <w14:textFill>
            <w14:solidFill>
              <w14:schemeClr w14:val="tx1"/>
            </w14:solidFill>
          </w14:textFill>
        </w:rPr>
        <w:t>附件14：项目经理质量终身责任制承诺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_Toc28250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3EE6B7D">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_Toc18805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ascii="Times New Roman" w:hAnsi="Times New Roman"/>
          <w:smallCaps w:val="0"/>
          <w:color w:val="000000" w:themeColor="text1"/>
          <w:highlight w:val="none"/>
          <w14:textFill>
            <w14:solidFill>
              <w14:schemeClr w14:val="tx1"/>
            </w14:solidFill>
          </w14:textFill>
        </w:rPr>
        <w:t>第五章  工程量清单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_Toc18805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42CF26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_Toc14681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 招标工程量清单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_Toc14681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77F38C8">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_Toc24903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2. 投标报价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_Toc24903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BD8D0E1">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_Toc694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3. 工程量清单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A36AA8E">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_Toc24520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第六章 图  纸</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_Toc24520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303522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_Toc31905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1.图纸目录（表6-1）</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_Toc31905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EFDA71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_Toc24921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2.图纸（另册，在电子交易系统下载）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539DB8A">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_Toc15128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第七章  技术标准和要求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_Toc15128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0E3054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_Toc10516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1. 一般要求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_Toc10516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CB195EC">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_Toc29862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2. 特殊技术标准和要求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_Toc29862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FBC009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_Toc31689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3. 适用的国家、行业以及地方标准、规范和规程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_Toc31689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4AF98D6">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_Toc27016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4. 招标人推荐品牌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_Toc27016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A72C89C">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_Toc5320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val="en-US" w:eastAsia="zh-CN"/>
          <w14:textFill>
            <w14:solidFill>
              <w14:schemeClr w14:val="tx1"/>
            </w14:solidFill>
          </w14:textFill>
        </w:rPr>
        <w:t xml:space="preserve">5. </w:t>
      </w:r>
      <w:r>
        <w:rPr>
          <w:rFonts w:hint="eastAsia" w:ascii="Times New Roman" w:hAnsi="Times New Roman"/>
          <w:smallCaps w:val="0"/>
          <w:color w:val="000000" w:themeColor="text1"/>
          <w:highlight w:val="none"/>
          <w14:textFill>
            <w14:solidFill>
              <w14:schemeClr w14:val="tx1"/>
            </w14:solidFill>
          </w14:textFill>
        </w:rPr>
        <w:t>BIM 技术工作要求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_Toc5320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AA9C719">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_Toc31683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第八章  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_Toc31683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196</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A2EB72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_Toc31244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投  标  文  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_Toc31244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A3A3B08">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_Toc23860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（商务文件）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_Toc23860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112237A">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_Toc29349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一、投标函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_Toc29349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1360F7B">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_Toc10943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二、法定代表人身份证明或授权委托书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B79D9E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_Toc14746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smallCaps w:val="0"/>
          <w:color w:val="000000" w:themeColor="text1"/>
          <w:kern w:val="2"/>
          <w:highlight w:val="none"/>
          <w:lang w:val="en-US" w:eastAsia="zh-CN" w:bidi="ar-SA"/>
          <w14:textFill>
            <w14:solidFill>
              <w14:schemeClr w14:val="tx1"/>
            </w14:solidFill>
          </w14:textFill>
        </w:rPr>
        <w:t>三、联合体协议书（如有）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_Toc14746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A68E6A0">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_Toc17987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kern w:val="2"/>
          <w:highlight w:val="none"/>
          <w:lang w:val="en-US" w:eastAsia="zh-CN" w:bidi="ar-SA"/>
          <w14:textFill>
            <w14:solidFill>
              <w14:schemeClr w14:val="tx1"/>
            </w14:solidFill>
          </w14:textFill>
        </w:rPr>
        <w:t>四、投标保证金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_Toc17987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5EFE29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_Toc6285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投标</w:t>
      </w:r>
      <w:r>
        <w:rPr>
          <w:rFonts w:hint="eastAsia" w:ascii="Times New Roman" w:hAnsi="Times New Roman"/>
          <w:smallCaps w:val="0"/>
          <w:color w:val="000000" w:themeColor="text1"/>
          <w:highlight w:val="none"/>
          <w:lang w:eastAsia="zh-CN"/>
          <w14:textFill>
            <w14:solidFill>
              <w14:schemeClr w14:val="tx1"/>
            </w14:solidFill>
          </w14:textFill>
        </w:rPr>
        <w:t>保函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_Toc6285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6C1E81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_Toc3339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lang w:eastAsia="zh-CN"/>
          <w14:textFill>
            <w14:solidFill>
              <w14:schemeClr w14:val="tx1"/>
            </w14:solidFill>
          </w14:textFill>
        </w:rPr>
        <w:t>投标保证金保证保险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_Toc3339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B65F7FF">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_Toc14020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五、项目管理机构</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_Toc14020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95A7433">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_Toc12192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smallCaps w:val="0"/>
          <w:color w:val="000000" w:themeColor="text1"/>
          <w:highlight w:val="none"/>
          <w14:textFill>
            <w14:solidFill>
              <w14:schemeClr w14:val="tx1"/>
            </w14:solidFill>
          </w14:textFill>
        </w:rPr>
        <w:t>六、拟分包项目情况表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_Toc12192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95F03ED">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_Toc18769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smallCaps w:val="0"/>
          <w:color w:val="000000" w:themeColor="text1"/>
          <w:highlight w:val="none"/>
          <w14:textFill>
            <w14:solidFill>
              <w14:schemeClr w14:val="tx1"/>
            </w14:solidFill>
          </w14:textFill>
        </w:rPr>
        <w:t>七、资格审查资料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0873844">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_Toc17892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八、商务文件详细评审资料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_Toc17892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AA2C2D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_Toc12261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九、其他资料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_Toc12261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228</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C94973A">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_Toc23716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投  标  文  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_Toc23716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55772C9">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_Toc14415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（报价文件）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_Toc14415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A4996B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_Toc22790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一、投标函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_Toc22790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95B1FA2">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_Toc3942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二、工程量清单报价书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_Toc3942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578D4845">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_Toc18346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cs="宋体"/>
          <w:smallCaps w:val="0"/>
          <w:color w:val="000000" w:themeColor="text1"/>
          <w:szCs w:val="32"/>
          <w:highlight w:val="none"/>
          <w:lang w:eastAsia="zh-CN"/>
          <w14:textFill>
            <w14:solidFill>
              <w14:schemeClr w14:val="tx1"/>
            </w14:solidFill>
          </w14:textFill>
        </w:rPr>
        <w:t>三、其他资料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_Toc18346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064CE7C">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_Toc24038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投  标  文  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_Toc24038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06074B37">
      <w:pPr>
        <w:pStyle w:val="17"/>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_Toc10889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（技术文件）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_Toc10889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255</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FD1BDA1">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_Toc29005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一、 施工组织设计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_Toc29005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257</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6A40CA40">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_Toc18158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附表一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拟投入本标段的主要施工设备表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_Toc18158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2418C3B">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_Toc30830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smallCaps w:val="0"/>
          <w:color w:val="000000" w:themeColor="text1"/>
          <w:kern w:val="2"/>
          <w:highlight w:val="none"/>
          <w:lang w:val="en-US" w:eastAsia="zh-CN" w:bidi="ar-SA"/>
          <w14:textFill>
            <w14:solidFill>
              <w14:schemeClr w14:val="tx1"/>
            </w14:solidFill>
          </w14:textFill>
        </w:rPr>
        <w:t>附表二：拟配备本标段的试验和检测仪器设备表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_Toc30830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49CCA913">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_Toc31791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bCs/>
          <w:smallCaps w:val="0"/>
          <w:color w:val="000000" w:themeColor="text1"/>
          <w:kern w:val="2"/>
          <w:highlight w:val="none"/>
          <w:lang w:val="en-US" w:eastAsia="zh-CN" w:bidi="ar-SA"/>
          <w14:textFill>
            <w14:solidFill>
              <w14:schemeClr w14:val="tx1"/>
            </w14:solidFill>
          </w14:textFill>
        </w:rPr>
        <w:t>附表三：劳动力计划表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_Toc31791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259</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5D88C52">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_Toc23002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kern w:val="2"/>
          <w:highlight w:val="none"/>
          <w:lang w:val="en-US" w:eastAsia="zh-CN" w:bidi="ar-SA"/>
          <w14:textFill>
            <w14:solidFill>
              <w14:schemeClr w14:val="tx1"/>
            </w14:solidFill>
          </w14:textFill>
        </w:rPr>
        <w:t>附表四：计划开、竣工日期和施工进度网络图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_Toc23002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260</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1B4499F1">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_Toc12544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kern w:val="2"/>
          <w:highlight w:val="none"/>
          <w:lang w:val="en-US" w:eastAsia="zh-CN" w:bidi="ar-SA"/>
          <w14:textFill>
            <w14:solidFill>
              <w14:schemeClr w14:val="tx1"/>
            </w14:solidFill>
          </w14:textFill>
        </w:rPr>
        <w:t>附表五：施工总平面图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_Toc12544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261</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7ECA54A1">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_Toc6733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附表六</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临时用地表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_Toc6733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262</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98E000E">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_Toc5275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二、新材料、新工艺、新技术应用（如有）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_Toc5275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263</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2E93505F">
      <w:pPr>
        <w:pStyle w:val="15"/>
        <w:pageBreakBefore w:val="0"/>
        <w:tabs>
          <w:tab w:val="right" w:leader="dot" w:pos="8504"/>
        </w:tabs>
        <w:kinsoku/>
        <w:wordWrap w:val="0"/>
        <w:overflowPunct/>
        <w:bidi w:val="0"/>
        <w:rPr>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HYPERLINK \l _Toc15293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三、其他内容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_Toc15293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264</w:t>
      </w:r>
      <w:r>
        <w:rPr>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fldChar w:fldCharType="end"/>
      </w:r>
    </w:p>
    <w:p w14:paraId="316D0F8F">
      <w:pPr>
        <w:pStyle w:val="40"/>
        <w:pageBreakBefore w:val="0"/>
        <w:numPr>
          <w:ilvl w:val="0"/>
          <w:numId w:val="0"/>
        </w:numPr>
        <w:kinsoku/>
        <w:wordWrap w:val="0"/>
        <w:overflowPunct/>
        <w:bidi w:val="0"/>
        <w:rPr>
          <w:rFonts w:hint="eastAsia" w:ascii="Times New Roman" w:hAnsi="Times New Roman"/>
          <w:smallCaps w:val="0"/>
          <w:color w:val="000000" w:themeColor="text1"/>
          <w:highlight w:val="none"/>
          <w14:textFill>
            <w14:solidFill>
              <w14:schemeClr w14:val="tx1"/>
            </w14:solidFill>
          </w14:textFill>
        </w:rPr>
        <w:sectPr>
          <w:footerReference r:id="rId10" w:type="default"/>
          <w:footnotePr>
            <w:numFmt w:val="decimalEnclosedCircleChinese"/>
            <w:numRestart w:val="eachPage"/>
          </w:footnotePr>
          <w:pgSz w:w="11906" w:h="16838"/>
          <w:pgMar w:top="1588" w:right="1701" w:bottom="1418" w:left="1701" w:header="851" w:footer="851" w:gutter="0"/>
          <w:pgNumType w:fmt="decimal"/>
          <w:cols w:space="720" w:num="1"/>
          <w:docGrid w:type="lines" w:linePitch="312" w:charSpace="0"/>
        </w:sectPr>
      </w:pPr>
      <w:r>
        <w:rPr>
          <w:rFonts w:hint="eastAsia" w:ascii="Times New Roman" w:hAnsi="Times New Roman"/>
          <w:smallCaps w:val="0"/>
          <w:color w:val="000000" w:themeColor="text1"/>
          <w:highlight w:val="none"/>
          <w14:textFill>
            <w14:solidFill>
              <w14:schemeClr w14:val="tx1"/>
            </w14:solidFill>
          </w14:textFill>
        </w:rPr>
        <w:fldChar w:fldCharType="end"/>
      </w:r>
      <w:bookmarkStart w:id="0" w:name="_Toc3888"/>
    </w:p>
    <w:p w14:paraId="3B6A76D0">
      <w:pPr>
        <w:pStyle w:val="40"/>
        <w:pageBreakBefore w:val="0"/>
        <w:numPr>
          <w:ilvl w:val="0"/>
          <w:numId w:val="0"/>
        </w:numPr>
        <w:kinsoku/>
        <w:wordWrap w:val="0"/>
        <w:overflowPunct/>
        <w:bidi w:val="0"/>
        <w:rPr>
          <w:rFonts w:hint="eastAsia"/>
          <w:color w:val="000000" w:themeColor="text1"/>
          <w:highlight w:val="none"/>
          <w14:textFill>
            <w14:solidFill>
              <w14:schemeClr w14:val="tx1"/>
            </w14:solidFill>
          </w14:textFill>
        </w:rPr>
      </w:pPr>
      <w:r>
        <w:rPr>
          <w:rFonts w:hint="eastAsia" w:ascii="黑体" w:hAnsi="黑体" w:eastAsia="黑体" w:cs="黑体"/>
          <w:bCs/>
          <w:snapToGrid w:val="0"/>
          <w:color w:val="000000" w:themeColor="text1"/>
          <w:kern w:val="2"/>
          <w:sz w:val="32"/>
          <w:szCs w:val="32"/>
          <w:highlight w:val="none"/>
          <w:lang w:val="en-US" w:eastAsia="zh-CN" w:bidi="ar-SA"/>
          <w14:textFill>
            <w14:solidFill>
              <w14:schemeClr w14:val="tx1"/>
            </w14:solidFill>
          </w14:textFill>
        </w:rPr>
        <w:t>第一章</w:t>
      </w:r>
      <w:r>
        <w:rPr>
          <w:rFonts w:hint="eastAsia" w:cs="黑体"/>
          <w:bCs/>
          <w:snapToGrid w:val="0"/>
          <w:color w:val="000000" w:themeColor="text1"/>
          <w:kern w:val="2"/>
          <w:sz w:val="32"/>
          <w:szCs w:val="32"/>
          <w:highlight w:val="none"/>
          <w:lang w:val="en-US" w:eastAsia="zh-CN" w:bidi="ar-SA"/>
          <w14:textFill>
            <w14:solidFill>
              <w14:schemeClr w14:val="tx1"/>
            </w14:solidFill>
          </w14:textFill>
        </w:rPr>
        <w:t xml:space="preserve"> </w:t>
      </w:r>
      <w:r>
        <w:rPr>
          <w:rFonts w:hint="eastAsia"/>
          <w:color w:val="000000" w:themeColor="text1"/>
          <w:highlight w:val="none"/>
          <w14:textFill>
            <w14:solidFill>
              <w14:schemeClr w14:val="tx1"/>
            </w14:solidFill>
          </w14:textFill>
        </w:rPr>
        <w:t>招标公告</w:t>
      </w:r>
      <w:bookmarkEnd w:id="0"/>
    </w:p>
    <w:p w14:paraId="40F4D213">
      <w:pPr>
        <w:pageBreakBefore w:val="0"/>
        <w:numPr>
          <w:ilvl w:val="0"/>
          <w:numId w:val="0"/>
        </w:numPr>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63022CAB">
      <w:pPr>
        <w:pStyle w:val="72"/>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bookmarkStart w:id="1" w:name="_Toc28622"/>
      <w:bookmarkStart w:id="2" w:name="_Toc5952"/>
      <w:bookmarkStart w:id="3" w:name="_Toc10700"/>
      <w:bookmarkStart w:id="4" w:name="_Toc10199"/>
      <w:bookmarkStart w:id="5" w:name="_Toc7109"/>
      <w:bookmarkStart w:id="6" w:name="_Toc10695"/>
      <w:bookmarkStart w:id="7" w:name="_Toc32477"/>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招标项目名称）招标公告</w:t>
      </w:r>
      <w:bookmarkEnd w:id="1"/>
      <w:bookmarkEnd w:id="2"/>
      <w:bookmarkEnd w:id="3"/>
      <w:bookmarkEnd w:id="4"/>
      <w:bookmarkEnd w:id="5"/>
      <w:bookmarkEnd w:id="6"/>
      <w:bookmarkEnd w:id="7"/>
    </w:p>
    <w:p w14:paraId="768BDCBB">
      <w:pPr>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p>
    <w:p w14:paraId="474CBBB7">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8" w:name="_Toc27029"/>
      <w:bookmarkStart w:id="9" w:name="_Toc6727"/>
      <w:bookmarkStart w:id="10" w:name="_Toc3053"/>
      <w:r>
        <w:rPr>
          <w:rFonts w:hint="eastAsia" w:ascii="Times New Roman" w:hAnsi="Times New Roman"/>
          <w:smallCaps w:val="0"/>
          <w:color w:val="000000" w:themeColor="text1"/>
          <w:highlight w:val="none"/>
          <w14:textFill>
            <w14:solidFill>
              <w14:schemeClr w14:val="tx1"/>
            </w14:solidFill>
          </w14:textFill>
        </w:rPr>
        <w:t>1. 招标条件</w:t>
      </w:r>
      <w:bookmarkEnd w:id="8"/>
      <w:bookmarkEnd w:id="9"/>
      <w:bookmarkEnd w:id="10"/>
    </w:p>
    <w:p w14:paraId="1FB2B52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 项目名称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C42856D">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 项目审批、核准或备案机关名称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6807026">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 批文名称及编号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CAEEBD2">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 xml:space="preserve">1.4 </w:t>
      </w:r>
      <w:r>
        <w:rPr>
          <w:rFonts w:hint="eastAsia" w:ascii="宋体" w:hAnsi="宋体" w:eastAsia="宋体" w:cs="宋体"/>
          <w:color w:val="000000" w:themeColor="text1"/>
          <w:highlight w:val="none"/>
          <w14:textFill>
            <w14:solidFill>
              <w14:schemeClr w14:val="tx1"/>
            </w14:solidFill>
          </w14:textFill>
        </w:rPr>
        <w:t>项目代码</w:t>
      </w:r>
      <w:r>
        <w:rPr>
          <w:rFonts w:hint="eastAsia" w:ascii="宋体" w:hAnsi="宋体" w:eastAsia="宋体" w:cs="宋体"/>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7F892FD">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 xml:space="preserve"> 招标人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C91745D">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6</w:t>
      </w:r>
      <w:r>
        <w:rPr>
          <w:rFonts w:hint="eastAsia" w:ascii="Times New Roman" w:hAnsi="Times New Roman"/>
          <w:smallCaps w:val="0"/>
          <w:color w:val="000000" w:themeColor="text1"/>
          <w:highlight w:val="none"/>
          <w14:textFill>
            <w14:solidFill>
              <w14:schemeClr w14:val="tx1"/>
            </w14:solidFill>
          </w14:textFill>
        </w:rPr>
        <w:t xml:space="preserve"> 项目业主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586CF10">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7</w:t>
      </w:r>
      <w:r>
        <w:rPr>
          <w:rFonts w:hint="eastAsia" w:ascii="Times New Roman" w:hAnsi="Times New Roman"/>
          <w:smallCaps w:val="0"/>
          <w:color w:val="000000" w:themeColor="text1"/>
          <w:highlight w:val="none"/>
          <w14:textFill>
            <w14:solidFill>
              <w14:schemeClr w14:val="tx1"/>
            </w14:solidFill>
          </w14:textFill>
        </w:rPr>
        <w:t xml:space="preserve"> 资金来源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991BBB5">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 xml:space="preserve">8 </w:t>
      </w:r>
      <w:r>
        <w:rPr>
          <w:rFonts w:hint="eastAsia" w:ascii="Times New Roman" w:hAnsi="Times New Roman"/>
          <w:smallCaps w:val="0"/>
          <w:color w:val="000000" w:themeColor="text1"/>
          <w:highlight w:val="none"/>
          <w14:textFill>
            <w14:solidFill>
              <w14:schemeClr w14:val="tx1"/>
            </w14:solidFill>
          </w14:textFill>
        </w:rPr>
        <w:t>项目出资比例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4F2B99F">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1" w:name="_Toc30317"/>
      <w:bookmarkStart w:id="12" w:name="_Toc18694"/>
      <w:bookmarkStart w:id="13" w:name="_Toc7385"/>
      <w:r>
        <w:rPr>
          <w:rFonts w:hint="eastAsia" w:ascii="Times New Roman" w:hAnsi="Times New Roman"/>
          <w:smallCaps w:val="0"/>
          <w:color w:val="000000" w:themeColor="text1"/>
          <w:highlight w:val="none"/>
          <w14:textFill>
            <w14:solidFill>
              <w14:schemeClr w14:val="tx1"/>
            </w14:solidFill>
          </w14:textFill>
        </w:rPr>
        <w:t>2. 项目概况与招标范围</w:t>
      </w:r>
      <w:bookmarkEnd w:id="11"/>
      <w:bookmarkEnd w:id="12"/>
      <w:bookmarkEnd w:id="13"/>
    </w:p>
    <w:p w14:paraId="157A3246">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 招标项目名称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518992F">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 招标项目编号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AE7CB56">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2.3 标段划分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277AA7E">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2.4 招标项目标段编号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C580BD4">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2.5 建设地点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F48EEE5">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2.6 建设规模</w:t>
      </w:r>
      <w:r>
        <w:rPr>
          <w:rStyle w:val="28"/>
          <w:rFonts w:hint="eastAsia" w:ascii="Times New Roman" w:hAnsi="Times New Roman"/>
          <w:smallCaps w:val="0"/>
          <w:color w:val="000000" w:themeColor="text1"/>
          <w:highlight w:val="none"/>
          <w14:textFill>
            <w14:solidFill>
              <w14:schemeClr w14:val="tx1"/>
            </w14:solidFill>
          </w14:textFill>
        </w:rPr>
        <w:footnoteReference w:id="0"/>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429A65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2.7 合同估算价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C6585E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2.8 计划工期</w:t>
      </w:r>
      <w:r>
        <w:rPr>
          <w:rFonts w:hint="eastAsia" w:ascii="Times New Roman" w:hAnsi="Times New Roman"/>
          <w:smallCaps w:val="0"/>
          <w:color w:val="000000" w:themeColor="text1"/>
          <w:highlight w:val="none"/>
          <w:vertAlign w:val="superscript"/>
          <w14:textFill>
            <w14:solidFill>
              <w14:schemeClr w14:val="tx1"/>
            </w14:solidFill>
          </w14:textFill>
        </w:rPr>
        <w:footnoteReference w:id="1"/>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7AAD4D8">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2.9 招标范围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8B10065">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2.10 项目类别</w:t>
      </w:r>
      <w:r>
        <w:rPr>
          <w:rFonts w:hint="eastAsia" w:ascii="Times New Roman" w:hAnsi="Times New Roman"/>
          <w:smallCaps w:val="0"/>
          <w:color w:val="000000" w:themeColor="text1"/>
          <w:highlight w:val="none"/>
          <w:vertAlign w:val="superscript"/>
          <w14:textFill>
            <w14:solidFill>
              <w14:schemeClr w14:val="tx1"/>
            </w14:solidFill>
          </w14:textFill>
        </w:rPr>
        <w:footnoteReference w:id="2"/>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8D0A2E4">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 其他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E9240A9">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4" w:name="_Toc30975"/>
      <w:bookmarkStart w:id="15" w:name="_Toc20219"/>
      <w:bookmarkStart w:id="16" w:name="_Toc22374"/>
      <w:r>
        <w:rPr>
          <w:rFonts w:hint="eastAsia" w:ascii="Times New Roman" w:hAnsi="Times New Roman"/>
          <w:smallCaps w:val="0"/>
          <w:color w:val="000000" w:themeColor="text1"/>
          <w:highlight w:val="none"/>
          <w14:textFill>
            <w14:solidFill>
              <w14:schemeClr w14:val="tx1"/>
            </w14:solidFill>
          </w14:textFill>
        </w:rPr>
        <w:t>3. 投标人资格要求</w:t>
      </w:r>
      <w:r>
        <w:rPr>
          <w:rFonts w:hint="eastAsia" w:ascii="Times New Roman" w:hAnsi="Times New Roman"/>
          <w:smallCaps w:val="0"/>
          <w:color w:val="000000" w:themeColor="text1"/>
          <w:highlight w:val="none"/>
          <w:vertAlign w:val="superscript"/>
          <w14:textFill>
            <w14:solidFill>
              <w14:schemeClr w14:val="tx1"/>
            </w14:solidFill>
          </w14:textFill>
        </w:rPr>
        <w:footnoteReference w:id="3"/>
      </w:r>
      <w:bookmarkEnd w:id="14"/>
      <w:bookmarkEnd w:id="15"/>
      <w:bookmarkEnd w:id="16"/>
    </w:p>
    <w:p w14:paraId="5D51330D">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 投标人资质要求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投标人须具备</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资质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且具备有效的安全生产许可证</w:t>
      </w:r>
      <w:r>
        <w:rPr>
          <w:rFonts w:hint="eastAsia" w:ascii="Times New Roman" w:hAnsi="Times New Roman"/>
          <w:smallCaps w:val="0"/>
          <w:color w:val="000000" w:themeColor="text1"/>
          <w:highlight w:val="none"/>
          <w:vertAlign w:val="superscript"/>
          <w:lang w:val="en-US" w:eastAsia="zh-CN"/>
          <w14:textFill>
            <w14:solidFill>
              <w14:schemeClr w14:val="tx1"/>
            </w14:solidFill>
          </w14:textFill>
        </w:rPr>
        <w:footnoteReference w:id="4"/>
      </w:r>
      <w:r>
        <w:rPr>
          <w:rFonts w:hint="eastAsia" w:ascii="Times New Roman" w:hAnsi="Times New Roman"/>
          <w:smallCaps w:val="0"/>
          <w:color w:val="000000" w:themeColor="text1"/>
          <w:highlight w:val="none"/>
          <w14:textFill>
            <w14:solidFill>
              <w14:schemeClr w14:val="tx1"/>
            </w14:solidFill>
          </w14:textFill>
        </w:rPr>
        <w:t>。</w:t>
      </w:r>
    </w:p>
    <w:p w14:paraId="3683ED4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3.2 投标人业绩要</w:t>
      </w:r>
      <w:r>
        <w:rPr>
          <w:rFonts w:hint="eastAsia" w:ascii="Times New Roman" w:hAnsi="Times New Roman"/>
          <w:smallCaps w:val="0"/>
          <w:color w:val="000000" w:themeColor="text1"/>
          <w:highlight w:val="none"/>
          <w14:textFill>
            <w14:solidFill>
              <w14:schemeClr w14:val="tx1"/>
            </w14:solidFill>
          </w14:textFill>
        </w:rPr>
        <w:t>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8F197C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b/>
          <w:bCs w:val="0"/>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 项目经理资格要求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投标人拟委任项目经理须具备</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（专业及级别</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注册建造师资格，具备有效的安全生产考核合格(B类)证书</w:t>
      </w:r>
      <w:r>
        <w:rPr>
          <w:rFonts w:hint="eastAsia" w:ascii="Times New Roman" w:hAnsi="Times New Roman"/>
          <w:smallCaps w:val="0"/>
          <w:color w:val="000000" w:themeColor="text1"/>
          <w:highlight w:val="none"/>
          <w:vertAlign w:val="superscript"/>
          <w14:textFill>
            <w14:solidFill>
              <w14:schemeClr w14:val="tx1"/>
            </w14:solidFill>
          </w14:textFill>
        </w:rPr>
        <w:footnoteReference w:id="5"/>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且目前未在其他项目上任职或虽在其他项目上任职但本项目中标后能够从该项目撤离。</w:t>
      </w:r>
      <w:r>
        <w:rPr>
          <w:rFonts w:hint="eastAsia" w:ascii="Times New Roman" w:hAnsi="Times New Roman"/>
          <w:smallCaps w:val="0"/>
          <w:color w:val="000000" w:themeColor="text1"/>
          <w:highlight w:val="none"/>
          <w:lang w:eastAsia="zh-CN"/>
          <w14:textFill>
            <w14:solidFill>
              <w14:schemeClr w14:val="tx1"/>
            </w14:solidFill>
          </w14:textFill>
        </w:rPr>
        <w:t>保证项目经理与投标人已建立劳动关系，并提供 投标相关人员社保声明函 或 社保缴纳记录（社保声明函与社保缴纳记录的时间范围至少为投标截止时间前半年内任意连续3个月）。如为事业单位的须提供注册地县级及以上行政主管部门、人力资源和社会保障或编制部门出具的有效证明其属事业编制身份、在该单位从业的证明文件。拟派项目经理提供到岗履约承诺书（按照投标文件格式的内容进行承诺）。社保证明材料包括但不限于养老保险，如为退休人员，应提供人设部门颁发的退休证明材料。</w:t>
      </w:r>
    </w:p>
    <w:p w14:paraId="6F910647">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 项目经理业绩要求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BF5624F">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 投标人财务要求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p>
    <w:p w14:paraId="68080BE0">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u w:val="singl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3.6 投标人信誉要求</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4A13A779">
      <w:pPr>
        <w:pageBreakBefore w:val="0"/>
        <w:kinsoku/>
        <w:wordWrap w:val="0"/>
        <w:overflowPunct/>
        <w:bidi w:val="0"/>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投标人按照信誉要求提供 </w:t>
      </w:r>
      <w:r>
        <w:rPr>
          <w:rFonts w:hint="eastAsia" w:ascii="宋体" w:hAnsi="宋体" w:eastAsia="宋体" w:cs="宋体"/>
          <w:b/>
          <w:color w:val="000000" w:themeColor="text1"/>
          <w:sz w:val="21"/>
          <w:szCs w:val="21"/>
          <w:highlight w:val="none"/>
          <w14:textFill>
            <w14:solidFill>
              <w14:schemeClr w14:val="tx1"/>
            </w14:solidFill>
          </w14:textFill>
        </w:rPr>
        <w:t>①～</w:t>
      </w:r>
      <w:r>
        <w:rPr>
          <w:rFonts w:hint="eastAsia" w:ascii="宋体" w:hAnsi="宋体" w:cs="宋体"/>
          <w:b/>
          <w:color w:val="000000" w:themeColor="text1"/>
          <w:kern w:val="0"/>
          <w:sz w:val="21"/>
          <w:szCs w:val="21"/>
          <w:highlight w:val="none"/>
          <w:lang w:val="en-US" w:eastAsia="zh-CN"/>
          <w14:textFill>
            <w14:solidFill>
              <w14:schemeClr w14:val="tx1"/>
            </w14:solidFill>
          </w14:textFill>
        </w:rPr>
        <w:t>④</w:t>
      </w:r>
      <w:r>
        <w:rPr>
          <w:rFonts w:hint="eastAsia" w:ascii="宋体" w:hAnsi="宋体" w:eastAsia="宋体" w:cs="宋体"/>
          <w:b/>
          <w:color w:val="000000" w:themeColor="text1"/>
          <w:sz w:val="21"/>
          <w:szCs w:val="21"/>
          <w:highlight w:val="none"/>
          <w14:textFill>
            <w14:solidFill>
              <w14:schemeClr w14:val="tx1"/>
            </w14:solidFill>
          </w14:textFill>
        </w:rPr>
        <w:t xml:space="preserve">对应网站的信誉查询截图 </w:t>
      </w:r>
      <w:r>
        <w:rPr>
          <w:rFonts w:hint="eastAsia" w:ascii="宋体" w:hAnsi="宋体" w:cs="宋体"/>
          <w:bCs/>
          <w:color w:val="000000" w:themeColor="text1"/>
          <w:sz w:val="21"/>
          <w:szCs w:val="21"/>
          <w:highlight w:val="none"/>
          <w:lang w:val="en-US" w:eastAsia="zh-CN"/>
          <w14:textFill>
            <w14:solidFill>
              <w14:schemeClr w14:val="tx1"/>
            </w14:solidFill>
          </w14:textFill>
        </w:rPr>
        <w:t xml:space="preserve">或按照招标文件格式提供 </w:t>
      </w:r>
      <w:r>
        <w:rPr>
          <w:rFonts w:hint="eastAsia" w:ascii="宋体" w:hAnsi="宋体" w:cs="宋体"/>
          <w:b/>
          <w:bCs w:val="0"/>
          <w:color w:val="000000" w:themeColor="text1"/>
          <w:sz w:val="21"/>
          <w:szCs w:val="21"/>
          <w:highlight w:val="none"/>
          <w:lang w:val="en-US" w:eastAsia="zh-CN"/>
          <w14:textFill>
            <w14:solidFill>
              <w14:schemeClr w14:val="tx1"/>
            </w14:solidFill>
          </w14:textFill>
        </w:rPr>
        <w:t>信誉</w:t>
      </w:r>
      <w:r>
        <w:rPr>
          <w:rFonts w:hint="eastAsia" w:ascii="宋体" w:hAnsi="宋体" w:eastAsia="宋体" w:cs="宋体"/>
          <w:b/>
          <w:bCs/>
          <w:color w:val="000000" w:themeColor="text1"/>
          <w:sz w:val="21"/>
          <w:szCs w:val="21"/>
          <w:highlight w:val="none"/>
          <w14:textFill>
            <w14:solidFill>
              <w14:schemeClr w14:val="tx1"/>
            </w14:solidFill>
          </w14:textFill>
        </w:rPr>
        <w:t>承诺书</w:t>
      </w:r>
      <w:r>
        <w:rPr>
          <w:rFonts w:hint="eastAsia" w:ascii="宋体" w:hAnsi="宋体" w:cs="宋体"/>
          <w:b/>
          <w:color w:val="000000" w:themeColor="text1"/>
          <w:sz w:val="21"/>
          <w:szCs w:val="21"/>
          <w:highlight w:val="none"/>
          <w:lang w:eastAsia="zh-CN"/>
          <w14:textFill>
            <w14:solidFill>
              <w14:schemeClr w14:val="tx1"/>
            </w14:solidFill>
          </w14:textFill>
        </w:rPr>
        <w:t>（</w:t>
      </w:r>
      <w:r>
        <w:rPr>
          <w:rFonts w:hint="eastAsia" w:ascii="宋体" w:hAnsi="宋体" w:cs="宋体"/>
          <w:b/>
          <w:color w:val="000000" w:themeColor="text1"/>
          <w:sz w:val="21"/>
          <w:szCs w:val="21"/>
          <w:highlight w:val="none"/>
          <w:lang w:val="en-US" w:eastAsia="zh-CN"/>
          <w14:textFill>
            <w14:solidFill>
              <w14:schemeClr w14:val="tx1"/>
            </w14:solidFill>
          </w14:textFill>
        </w:rPr>
        <w:t>联合体投标的，联合体各方均需满足信誉要求</w:t>
      </w:r>
      <w:r>
        <w:rPr>
          <w:rFonts w:hint="eastAsia" w:ascii="宋体" w:hAnsi="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p>
    <w:p w14:paraId="002A6ADE">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①</w:t>
      </w:r>
      <w:r>
        <w:rPr>
          <w:rFonts w:hint="eastAsia" w:ascii="宋体" w:hAnsi="宋体" w:cs="宋体"/>
          <w:color w:val="000000" w:themeColor="text1"/>
          <w:kern w:val="0"/>
          <w:sz w:val="21"/>
          <w:szCs w:val="21"/>
          <w:highlight w:val="none"/>
          <w:lang w:val="en-US" w:eastAsia="zh-CN"/>
          <w14:textFill>
            <w14:solidFill>
              <w14:schemeClr w14:val="tx1"/>
            </w14:solidFill>
          </w14:textFill>
        </w:rPr>
        <w:t>在投标截止时间前，</w:t>
      </w:r>
      <w:r>
        <w:rPr>
          <w:rFonts w:hint="eastAsia" w:ascii="宋体" w:hAnsi="宋体" w:eastAsia="宋体" w:cs="宋体"/>
          <w:color w:val="000000" w:themeColor="text1"/>
          <w:kern w:val="0"/>
          <w:sz w:val="21"/>
          <w:szCs w:val="21"/>
          <w:highlight w:val="none"/>
          <w14:textFill>
            <w14:solidFill>
              <w14:schemeClr w14:val="tx1"/>
            </w14:solidFill>
          </w14:textFill>
        </w:rPr>
        <w:t>未被最高人民法院在“中国执行信息公开网”网站（http://zxgk.court.gov.cn）列</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为</w:t>
      </w:r>
      <w:r>
        <w:rPr>
          <w:rFonts w:hint="eastAsia" w:ascii="宋体" w:hAnsi="宋体" w:eastAsia="宋体" w:cs="宋体"/>
          <w:color w:val="000000" w:themeColor="text1"/>
          <w:kern w:val="0"/>
          <w:sz w:val="21"/>
          <w:szCs w:val="21"/>
          <w:highlight w:val="none"/>
          <w14:textFill>
            <w14:solidFill>
              <w14:schemeClr w14:val="tx1"/>
            </w14:solidFill>
          </w14:textFill>
        </w:rPr>
        <w:t>失信被执行人（可提供</w:t>
      </w:r>
      <w:r>
        <w:rPr>
          <w:rFonts w:hint="eastAsia" w:ascii="宋体" w:hAnsi="宋体" w:cs="宋体"/>
          <w:color w:val="000000" w:themeColor="text1"/>
          <w:kern w:val="0"/>
          <w:sz w:val="21"/>
          <w:szCs w:val="21"/>
          <w:highlight w:val="none"/>
          <w:lang w:val="en-US" w:eastAsia="zh-CN"/>
          <w14:textFill>
            <w14:solidFill>
              <w14:schemeClr w14:val="tx1"/>
            </w14:solidFill>
          </w14:textFill>
        </w:rPr>
        <w:t>“中国执行信息公开网”-“失信被执行人”</w:t>
      </w:r>
      <w:r>
        <w:rPr>
          <w:rFonts w:hint="eastAsia" w:ascii="宋体" w:hAnsi="宋体" w:eastAsia="宋体" w:cs="宋体"/>
          <w:color w:val="000000" w:themeColor="text1"/>
          <w:kern w:val="0"/>
          <w:sz w:val="21"/>
          <w:szCs w:val="21"/>
          <w:highlight w:val="none"/>
          <w14:textFill>
            <w14:solidFill>
              <w14:schemeClr w14:val="tx1"/>
            </w14:solidFill>
          </w14:textFill>
        </w:rPr>
        <w:t>查询截图，无</w:t>
      </w:r>
      <w:r>
        <w:rPr>
          <w:rFonts w:hint="eastAsia" w:ascii="宋体" w:hAnsi="宋体" w:cs="宋体"/>
          <w:color w:val="000000" w:themeColor="text1"/>
          <w:kern w:val="0"/>
          <w:sz w:val="21"/>
          <w:szCs w:val="21"/>
          <w:highlight w:val="none"/>
          <w:lang w:val="en-US" w:eastAsia="zh-CN"/>
          <w14:textFill>
            <w14:solidFill>
              <w14:schemeClr w14:val="tx1"/>
            </w14:solidFill>
          </w14:textFill>
        </w:rPr>
        <w:t>失信被执行人</w:t>
      </w:r>
      <w:r>
        <w:rPr>
          <w:rFonts w:hint="eastAsia" w:ascii="宋体" w:hAnsi="宋体" w:eastAsia="宋体" w:cs="宋体"/>
          <w:color w:val="000000" w:themeColor="text1"/>
          <w:kern w:val="0"/>
          <w:sz w:val="21"/>
          <w:szCs w:val="21"/>
          <w:highlight w:val="none"/>
          <w14:textFill>
            <w14:solidFill>
              <w14:schemeClr w14:val="tx1"/>
            </w14:solidFill>
          </w14:textFill>
        </w:rPr>
        <w:t>惩戒信息）；</w:t>
      </w:r>
    </w:p>
    <w:p w14:paraId="064EC0F4">
      <w:pPr>
        <w:keepNext w:val="0"/>
        <w:keepLines w:val="0"/>
        <w:pageBreakBefore w:val="0"/>
        <w:kinsoku/>
        <w:wordWrap w:val="0"/>
        <w:overflowPunct/>
        <w:topLinePunct w:val="0"/>
        <w:autoSpaceDE/>
        <w:autoSpaceDN/>
        <w:bidi w:val="0"/>
        <w:adjustRightInd/>
        <w:snapToGrid/>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②</w:t>
      </w:r>
      <w:r>
        <w:rPr>
          <w:rFonts w:hint="eastAsia" w:ascii="宋体" w:hAnsi="宋体" w:cs="宋体"/>
          <w:color w:val="000000" w:themeColor="text1"/>
          <w:kern w:val="0"/>
          <w:sz w:val="21"/>
          <w:szCs w:val="21"/>
          <w:highlight w:val="none"/>
          <w:lang w:val="en-US" w:eastAsia="zh-CN"/>
          <w14:textFill>
            <w14:solidFill>
              <w14:schemeClr w14:val="tx1"/>
            </w14:solidFill>
          </w14:textFill>
        </w:rPr>
        <w:t>在投标截止时间前，</w:t>
      </w:r>
      <w:r>
        <w:rPr>
          <w:rFonts w:hint="eastAsia" w:ascii="宋体" w:hAnsi="宋体" w:eastAsia="宋体" w:cs="宋体"/>
          <w:color w:val="000000" w:themeColor="text1"/>
          <w:kern w:val="0"/>
          <w:sz w:val="21"/>
          <w:szCs w:val="21"/>
          <w:highlight w:val="none"/>
          <w14:textFill>
            <w14:solidFill>
              <w14:schemeClr w14:val="tx1"/>
            </w14:solidFill>
          </w14:textFill>
        </w:rPr>
        <w:t>未被国家市场监督管理部门在国家企业信用信息公示系统（www.gsxt.gov.cn）中列入严重违法失信企业名单。（提供投标人在国家企业信用信息公示系统网页查询截图，严重违法失信一栏中无不良记录）；</w:t>
      </w:r>
    </w:p>
    <w:p w14:paraId="16E403DB">
      <w:pPr>
        <w:keepNext w:val="0"/>
        <w:keepLines w:val="0"/>
        <w:pageBreakBefore w:val="0"/>
        <w:kinsoku/>
        <w:wordWrap w:val="0"/>
        <w:overflowPunct/>
        <w:topLinePunct w:val="0"/>
        <w:autoSpaceDE/>
        <w:autoSpaceDN/>
        <w:bidi w:val="0"/>
        <w:adjustRightInd/>
        <w:snapToGrid/>
        <w:ind w:firstLine="420" w:firstLineChars="200"/>
        <w:textAlignment w:val="auto"/>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③</w:t>
      </w:r>
      <w:r>
        <w:rPr>
          <w:rFonts w:hint="eastAsia" w:ascii="宋体" w:hAnsi="宋体" w:cs="宋体"/>
          <w:color w:val="000000" w:themeColor="text1"/>
          <w:kern w:val="0"/>
          <w:sz w:val="21"/>
          <w:szCs w:val="21"/>
          <w:highlight w:val="none"/>
          <w:lang w:val="en-US" w:eastAsia="zh-CN"/>
          <w14:textFill>
            <w14:solidFill>
              <w14:schemeClr w14:val="tx1"/>
            </w14:solidFill>
          </w14:textFill>
        </w:rPr>
        <w:t>在投标截止时间前，</w:t>
      </w:r>
      <w:r>
        <w:rPr>
          <w:rFonts w:hint="eastAsia" w:ascii="宋体" w:hAnsi="宋体" w:eastAsia="宋体" w:cs="宋体"/>
          <w:color w:val="000000" w:themeColor="text1"/>
          <w:kern w:val="0"/>
          <w:sz w:val="21"/>
          <w:szCs w:val="21"/>
          <w:highlight w:val="none"/>
          <w14:textFill>
            <w14:solidFill>
              <w14:schemeClr w14:val="tx1"/>
            </w14:solidFill>
          </w14:textFill>
        </w:rPr>
        <w:t>未被全国建筑市场监管公共服务平台（jzsc.mohurd.gov.cn）列入“黑名单记录”（提供全国建筑市场监管公共服务平台“黑名单记录”里的企业查询网页截图）</w:t>
      </w:r>
    </w:p>
    <w:p w14:paraId="043E4330">
      <w:pPr>
        <w:keepNext w:val="0"/>
        <w:keepLines w:val="0"/>
        <w:pageBreakBefore w:val="0"/>
        <w:kinsoku/>
        <w:wordWrap w:val="0"/>
        <w:overflowPunct/>
        <w:topLinePunct w:val="0"/>
        <w:autoSpaceDE/>
        <w:autoSpaceDN/>
        <w:bidi w:val="0"/>
        <w:adjustRightInd/>
        <w:snapToGrid/>
        <w:ind w:firstLine="420" w:firstLineChars="200"/>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④在投标截止时间前，</w:t>
      </w:r>
      <w:r>
        <w:rPr>
          <w:rFonts w:hint="eastAsia" w:ascii="Times New Roman" w:hAnsi="Times New Roman"/>
          <w:smallCaps w:val="0"/>
          <w:color w:val="000000" w:themeColor="text1"/>
          <w:sz w:val="21"/>
          <w:szCs w:val="21"/>
          <w:highlight w:val="none"/>
          <w:lang w:val="en-US" w:eastAsia="zh-CN"/>
          <w14:textFill>
            <w14:solidFill>
              <w14:schemeClr w14:val="tx1"/>
            </w14:solidFill>
          </w14:textFill>
        </w:rPr>
        <w:t>未被</w:t>
      </w:r>
      <w:r>
        <w:rPr>
          <w:rFonts w:hint="eastAsia" w:ascii="宋体" w:hAnsi="宋体" w:eastAsia="宋体" w:cs="宋体"/>
          <w:color w:val="000000" w:themeColor="text1"/>
          <w:sz w:val="21"/>
          <w:szCs w:val="21"/>
          <w:highlight w:val="none"/>
          <w14:textFill>
            <w14:solidFill>
              <w14:schemeClr w14:val="tx1"/>
            </w14:solidFill>
          </w14:textFill>
        </w:rPr>
        <w:t>全国建筑市场监管公共服务平台（jzsc.mohurd.gov.cn）</w:t>
      </w:r>
      <w:r>
        <w:rPr>
          <w:rFonts w:hint="eastAsia" w:ascii="宋体" w:hAnsi="宋体" w:cs="宋体"/>
          <w:color w:val="000000" w:themeColor="text1"/>
          <w:sz w:val="21"/>
          <w:szCs w:val="21"/>
          <w:highlight w:val="none"/>
          <w:lang w:val="en-US" w:eastAsia="zh-CN"/>
          <w14:textFill>
            <w14:solidFill>
              <w14:schemeClr w14:val="tx1"/>
            </w14:solidFill>
          </w14:textFill>
        </w:rPr>
        <w:t>标记为“资质异常”企业。（提供企业在</w:t>
      </w:r>
      <w:r>
        <w:rPr>
          <w:rFonts w:hint="eastAsia" w:ascii="宋体" w:hAnsi="宋体" w:eastAsia="宋体" w:cs="宋体"/>
          <w:color w:val="000000" w:themeColor="text1"/>
          <w:sz w:val="21"/>
          <w:szCs w:val="21"/>
          <w:highlight w:val="none"/>
          <w14:textFill>
            <w14:solidFill>
              <w14:schemeClr w14:val="tx1"/>
            </w14:solidFill>
          </w14:textFill>
        </w:rPr>
        <w:t>全国建筑市场监管公共服务平台“</w:t>
      </w:r>
      <w:r>
        <w:rPr>
          <w:rFonts w:hint="eastAsia" w:ascii="宋体" w:hAnsi="宋体" w:cs="宋体"/>
          <w:color w:val="000000" w:themeColor="text1"/>
          <w:sz w:val="21"/>
          <w:szCs w:val="21"/>
          <w:highlight w:val="none"/>
          <w:lang w:val="en-US" w:eastAsia="zh-CN"/>
          <w14:textFill>
            <w14:solidFill>
              <w14:schemeClr w14:val="tx1"/>
            </w14:solidFill>
          </w14:textFill>
        </w:rPr>
        <w:t>动态核查</w:t>
      </w:r>
      <w:r>
        <w:rPr>
          <w:rFonts w:hint="eastAsia" w:ascii="宋体" w:hAnsi="宋体" w:eastAsia="宋体" w:cs="宋体"/>
          <w:color w:val="000000" w:themeColor="text1"/>
          <w:sz w:val="21"/>
          <w:szCs w:val="21"/>
          <w:highlight w:val="none"/>
          <w14:textFill>
            <w14:solidFill>
              <w14:schemeClr w14:val="tx1"/>
            </w14:solidFill>
          </w14:textFill>
        </w:rPr>
        <w:t>”里的查询网页截图</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w:t>
      </w:r>
    </w:p>
    <w:p w14:paraId="794F29DA">
      <w:pPr>
        <w:keepNext w:val="0"/>
        <w:keepLines w:val="0"/>
        <w:pageBreakBefore w:val="0"/>
        <w:kinsoku/>
        <w:wordWrap w:val="0"/>
        <w:overflowPunct/>
        <w:topLinePunct w:val="0"/>
        <w:autoSpaceDE/>
        <w:autoSpaceDN/>
        <w:bidi w:val="0"/>
        <w:adjustRightInd/>
        <w:snapToGrid/>
        <w:ind w:firstLine="420" w:firstLineChars="200"/>
        <w:textAlignment w:val="auto"/>
        <w:rPr>
          <w:rFonts w:hint="default" w:eastAsia="宋体"/>
          <w:color w:val="000000" w:themeColor="text1"/>
          <w:sz w:val="21"/>
          <w:szCs w:val="18"/>
          <w:highlight w:val="none"/>
          <w:lang w:val="en-US" w:eastAsia="zh-CN"/>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⑤投标人在开标日前（含当日）24个月内未被淮南市及其所辖县、区（园区）行业主管部门以串通投标、弄虚作假、出借资质、转包、违法分包等违法违规行为进行行政处罚（以</w:t>
      </w:r>
      <w:r>
        <w:rPr>
          <w:rFonts w:hint="eastAsia"/>
          <w:color w:val="000000" w:themeColor="text1"/>
          <w:sz w:val="21"/>
          <w:szCs w:val="18"/>
          <w:highlight w:val="none"/>
          <w:lang w:val="en-US" w:eastAsia="zh-CN"/>
          <w14:textFill>
            <w14:solidFill>
              <w14:schemeClr w14:val="tx1"/>
            </w14:solidFill>
          </w14:textFill>
        </w:rPr>
        <w:t>行政处罚决定书下达日期为准）；投标人拟派的项目经理未被淮南市建设管理部门记不良行为记录且在公示期内（以公布日期为准）。此项要求由投标人提供承诺书。</w:t>
      </w:r>
    </w:p>
    <w:p w14:paraId="24417D55">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lang w:val="en-US" w:eastAsia="zh-CN"/>
          <w14:textFill>
            <w14:solidFill>
              <w14:schemeClr w14:val="tx1"/>
            </w14:solidFill>
          </w14:textFill>
        </w:rPr>
        <w:t>7</w:t>
      </w:r>
      <w:r>
        <w:rPr>
          <w:rFonts w:hint="eastAsia" w:ascii="Times New Roman" w:hAnsi="Times New Roman"/>
          <w:smallCaps w:val="0"/>
          <w:color w:val="000000" w:themeColor="text1"/>
          <w:highlight w:val="none"/>
          <w14:textFill>
            <w14:solidFill>
              <w14:schemeClr w14:val="tx1"/>
            </w14:solidFill>
          </w14:textFill>
        </w:rPr>
        <w:t>本次招标</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(接受或不接受)</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联合体投标</w:t>
      </w:r>
      <w:r>
        <w:rPr>
          <w:rFonts w:hint="eastAsia" w:ascii="Times New Roman" w:hAnsi="Times New Roman"/>
          <w:smallCaps w:val="0"/>
          <w:color w:val="000000" w:themeColor="text1"/>
          <w:highlight w:val="none"/>
          <w:vertAlign w:val="superscript"/>
          <w:lang w:val="en-US" w:eastAsia="zh-CN"/>
          <w14:textFill>
            <w14:solidFill>
              <w14:schemeClr w14:val="tx1"/>
            </w14:solidFill>
          </w14:textFill>
        </w:rPr>
        <w:footnoteReference w:id="6"/>
      </w:r>
      <w:r>
        <w:rPr>
          <w:rFonts w:hint="eastAsia" w:ascii="Times New Roman" w:hAnsi="Times New Roman"/>
          <w:smallCaps w:val="0"/>
          <w:color w:val="000000" w:themeColor="text1"/>
          <w:highlight w:val="none"/>
          <w14:textFill>
            <w14:solidFill>
              <w14:schemeClr w14:val="tx1"/>
            </w14:solidFill>
          </w14:textFill>
        </w:rPr>
        <w:t>。</w:t>
      </w:r>
    </w:p>
    <w:p w14:paraId="433B6DB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联合体投标的，应满足下列要求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组成联合体的家数不超过</w:t>
      </w:r>
      <w:r>
        <w:rPr>
          <w:rFonts w:hint="eastAsia" w:ascii="宋体" w:hAnsi="宋体" w:cs="宋体"/>
          <w:color w:val="000000" w:themeColor="text1"/>
          <w:sz w:val="21"/>
          <w:szCs w:val="21"/>
          <w:highlight w:val="none"/>
          <w:u w:val="singl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u w:val="single"/>
          <w14:textFill>
            <w14:solidFill>
              <w14:schemeClr w14:val="tx1"/>
            </w14:solidFill>
          </w14:textFill>
        </w:rPr>
        <w:t>家。联合体各方应签订联合体投标协议书，明确联合体牵头人和各方的工作内容及权利义务。联合体投标的，网上领取招标文件、编制投标文件、电子签章、上传、解密、提交履约担保等工作均由其牵头人负责办理（牵头人应当是承担项目主要或主体部分的成员），其他联合体成员配合</w:t>
      </w:r>
      <w:r>
        <w:rPr>
          <w:rFonts w:hint="eastAsia" w:ascii="Times New Roman" w:hAnsi="Times New Roman"/>
          <w:smallCaps w:val="0"/>
          <w:color w:val="000000" w:themeColor="text1"/>
          <w:highlight w:val="none"/>
          <w14:textFill>
            <w14:solidFill>
              <w14:schemeClr w14:val="tx1"/>
            </w14:solidFill>
          </w14:textFill>
        </w:rPr>
        <w:t>。</w:t>
      </w:r>
    </w:p>
    <w:p w14:paraId="775F8248">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14:textFill>
            <w14:solidFill>
              <w14:schemeClr w14:val="tx1"/>
            </w14:solidFill>
          </w14:textFill>
        </w:rPr>
        <w:t xml:space="preserve"> 各投标人均可就本招标项目上述标段中的</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(具体数量)</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个标段投标，但最多允许中标</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(具体数量)</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个标段(适用于分标段的招标项目)。</w:t>
      </w:r>
    </w:p>
    <w:p w14:paraId="67930D5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u w:val="none"/>
          <w:lang w:val="en-US"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3.</w:t>
      </w:r>
      <w:r>
        <w:rPr>
          <w:rFonts w:hint="eastAsia" w:ascii="Times New Roman" w:hAnsi="Times New Roman"/>
          <w:smallCaps w:val="0"/>
          <w:color w:val="000000" w:themeColor="text1"/>
          <w:highlight w:val="none"/>
          <w:lang w:val="en-US" w:eastAsia="zh-CN"/>
          <w14:textFill>
            <w14:solidFill>
              <w14:schemeClr w14:val="tx1"/>
            </w14:solidFill>
          </w14:textFill>
        </w:rPr>
        <w:t>9 落实政府采购政策需满足的资格要求</w:t>
      </w:r>
      <w:r>
        <w:rPr>
          <w:rStyle w:val="28"/>
          <w:rFonts w:hint="eastAsia" w:ascii="Times New Roman" w:hAnsi="Times New Roman"/>
          <w:smallCaps w:val="0"/>
          <w:color w:val="000000" w:themeColor="text1"/>
          <w:highlight w:val="none"/>
          <w:lang w:val="en-US" w:eastAsia="zh-CN"/>
          <w14:textFill>
            <w14:solidFill>
              <w14:schemeClr w14:val="tx1"/>
            </w14:solidFill>
          </w14:textFill>
        </w:rPr>
        <w:footnoteReference w:id="7"/>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6CFF630D">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□无，本项目不属于政府采购工程建设项目，不适用政府采购相关政策。</w:t>
      </w:r>
    </w:p>
    <w:p w14:paraId="39D97F33">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□无，即本次招标符合不专门面向中小企业预留采购份额的情形。</w:t>
      </w:r>
    </w:p>
    <w:p w14:paraId="69A4D58C">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□本招标项目整体预留专门面向中小企业采购，即投标人提供的工程由中小微企业、监狱企业或残疾人福利性单位承建。</w:t>
      </w:r>
    </w:p>
    <w:p w14:paraId="3C06F58B">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□本招标项目整体预留专门面向小微企业采购，即投标人提供的工程由小微企业、监狱企业或残疾人福利性单位承建。</w:t>
      </w:r>
    </w:p>
    <w:p w14:paraId="7ABD125D">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□本招标项目【标段号】整体预留专门面向中小企业采购，即该标段投标人提供的工程由中小微企业、监狱企业或残疾人福利性单位承建。</w:t>
      </w:r>
    </w:p>
    <w:p w14:paraId="0B689B97">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□本招标项目【标段号】整体预留专门面向小微企业采购，即该标段投标人提供的工程由小微企业、监狱企业或残疾人福利性单位承建。</w:t>
      </w:r>
    </w:p>
    <w:p w14:paraId="1A344BEA">
      <w:pPr>
        <w:pStyle w:val="16"/>
        <w:keepNext w:val="0"/>
        <w:keepLines w:val="0"/>
        <w:pageBreakBefore w:val="0"/>
        <w:widowControl w:val="0"/>
        <w:kinsoku/>
        <w:wordWrap w:val="0"/>
        <w:overflowPunct/>
        <w:topLinePunct w:val="0"/>
        <w:autoSpaceDE/>
        <w:autoSpaceDN/>
        <w:bidi w:val="0"/>
        <w:adjustRightInd w:val="0"/>
        <w:snapToGrid w:val="0"/>
        <w:ind w:firstLine="420" w:firstLineChars="200"/>
        <w:textAlignment w:val="auto"/>
        <w:rPr>
          <w:rFonts w:hint="default"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pP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t>□本招标项目部分预留专门面向中小企业采购。要求投标人以联合体形式参加投标，且联合体中中小企业承担的部分达到项目合同总金额的</w:t>
      </w:r>
      <w:r>
        <w:rPr>
          <w:rFonts w:hint="eastAsia" w:ascii="Times New Roman" w:hAnsi="Times New Roman" w:eastAsia="宋体" w:cs="黑体"/>
          <w:bCs/>
          <w:smallCaps w:val="0"/>
          <w:snapToGrid w:val="0"/>
          <w:color w:val="000000" w:themeColor="text1"/>
          <w:kern w:val="2"/>
          <w:sz w:val="21"/>
          <w:szCs w:val="32"/>
          <w:highlight w:val="none"/>
          <w:u w:val="single"/>
          <w:lang w:val="en-US" w:eastAsia="zh-CN" w:bidi="ar-SA"/>
          <w14:textFill>
            <w14:solidFill>
              <w14:schemeClr w14:val="tx1"/>
            </w14:solidFill>
          </w14:textFill>
        </w:rPr>
        <w:t xml:space="preserve">   </w:t>
      </w: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t>%以上，其中小微企业承担的比例不低于</w:t>
      </w:r>
      <w:r>
        <w:rPr>
          <w:rFonts w:hint="eastAsia" w:ascii="Times New Roman" w:hAnsi="Times New Roman" w:eastAsia="宋体" w:cs="黑体"/>
          <w:bCs/>
          <w:smallCaps w:val="0"/>
          <w:snapToGrid w:val="0"/>
          <w:color w:val="000000" w:themeColor="text1"/>
          <w:kern w:val="2"/>
          <w:sz w:val="21"/>
          <w:szCs w:val="32"/>
          <w:highlight w:val="none"/>
          <w:u w:val="single"/>
          <w:lang w:val="en-US" w:eastAsia="zh-CN" w:bidi="ar-SA"/>
          <w14:textFill>
            <w14:solidFill>
              <w14:schemeClr w14:val="tx1"/>
            </w14:solidFill>
          </w14:textFill>
        </w:rPr>
        <w:t xml:space="preserve">   </w:t>
      </w: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t>%。组成联合体的中小企业与联合体内其他企业之间不得存在直接控股、管理关系。如果投标人本身就属于中小企业，视同已符合本款资格条件，无需再与其他中小企业组成联合体参加投标活动</w:t>
      </w: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footnoteReference w:id="8"/>
      </w: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t>。</w:t>
      </w:r>
    </w:p>
    <w:p w14:paraId="269274ED">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□本招标项目部分预留专门面向中小企业采购。要求大企业向中小企业分包的形式参加投标，且接受分包的中小企业承担的部分达到项目合同总金额的</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%以上，其中接受分包的小微企业承担的比例不低于</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%。接受分包合同的中小企业与分包企业之间不得存在直接控股、管理关系。如果投标人本身就属于中小企业，视同已符合本款资格条件，无需再向其他中小企业分包</w:t>
      </w:r>
      <w:r>
        <w:rPr>
          <w:rStyle w:val="28"/>
          <w:rFonts w:hint="eastAsia" w:ascii="Times New Roman" w:hAnsi="Times New Roman"/>
          <w:smallCaps w:val="0"/>
          <w:color w:val="000000" w:themeColor="text1"/>
          <w:highlight w:val="none"/>
          <w:lang w:val="en-US" w:eastAsia="zh-CN"/>
          <w14:textFill>
            <w14:solidFill>
              <w14:schemeClr w14:val="tx1"/>
            </w14:solidFill>
          </w14:textFill>
        </w:rPr>
        <w:footnoteReference w:id="9"/>
      </w:r>
      <w:r>
        <w:rPr>
          <w:rFonts w:hint="eastAsia" w:ascii="Times New Roman" w:hAnsi="Times New Roman"/>
          <w:smallCaps w:val="0"/>
          <w:color w:val="000000" w:themeColor="text1"/>
          <w:highlight w:val="none"/>
          <w:lang w:val="en-US" w:eastAsia="zh-CN"/>
          <w14:textFill>
            <w14:solidFill>
              <w14:schemeClr w14:val="tx1"/>
            </w14:solidFill>
          </w14:textFill>
        </w:rPr>
        <w:t>。</w:t>
      </w:r>
    </w:p>
    <w:p w14:paraId="0457E6C1">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lang w:val="en-US" w:eastAsia="zh-CN"/>
          <w14:textFill>
            <w14:solidFill>
              <w14:schemeClr w14:val="tx1"/>
            </w14:solidFill>
          </w14:textFill>
        </w:rPr>
        <w:t xml:space="preserve">10 </w:t>
      </w:r>
      <w:r>
        <w:rPr>
          <w:rFonts w:hint="eastAsia" w:ascii="Times New Roman" w:hAnsi="Times New Roman"/>
          <w:smallCaps w:val="0"/>
          <w:color w:val="000000" w:themeColor="text1"/>
          <w:highlight w:val="none"/>
          <w14:textFill>
            <w14:solidFill>
              <w14:schemeClr w14:val="tx1"/>
            </w14:solidFill>
          </w14:textFill>
        </w:rPr>
        <w:t>其他要求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51E840B">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7" w:name="_Toc28598"/>
      <w:bookmarkStart w:id="18" w:name="_Toc26150"/>
      <w:bookmarkStart w:id="19" w:name="_Toc23678"/>
      <w:r>
        <w:rPr>
          <w:rFonts w:hint="eastAsia" w:ascii="Times New Roman" w:hAnsi="Times New Roman"/>
          <w:smallCaps w:val="0"/>
          <w:color w:val="000000" w:themeColor="text1"/>
          <w:highlight w:val="none"/>
          <w14:textFill>
            <w14:solidFill>
              <w14:schemeClr w14:val="tx1"/>
            </w14:solidFill>
          </w14:textFill>
        </w:rPr>
        <w:t>4. 招标文件的获取</w:t>
      </w:r>
      <w:bookmarkEnd w:id="17"/>
      <w:bookmarkEnd w:id="18"/>
      <w:bookmarkEnd w:id="19"/>
    </w:p>
    <w:p w14:paraId="2A881F0F">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4.1 获取时间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none"/>
          <w:lang w:val="en-US" w:eastAsia="zh-CN"/>
          <w14:textFill>
            <w14:solidFill>
              <w14:schemeClr w14:val="tx1"/>
            </w14:solidFill>
          </w14:textFill>
        </w:rPr>
        <w:t>自</w:t>
      </w:r>
      <w:r>
        <w:rPr>
          <w:rFonts w:hint="eastAsia"/>
          <w:color w:val="000000" w:themeColor="text1"/>
          <w:highlight w:val="none"/>
          <w14:textFill>
            <w14:solidFill>
              <w14:schemeClr w14:val="tx1"/>
            </w14:solidFill>
          </w14:textFill>
        </w:rPr>
        <w:t>本公告发布之日起至本项目投标截止时间（北京时间，以本中心网站服务器时间为准</w:t>
      </w:r>
      <w:r>
        <w:rPr>
          <w:rFonts w:hint="eastAsia" w:ascii="宋体" w:hAnsi="宋体" w:eastAsia="宋体" w:cs="宋体"/>
          <w:color w:val="000000" w:themeColor="text1"/>
          <w:sz w:val="21"/>
          <w:szCs w:val="21"/>
          <w:highlight w:val="none"/>
          <w14:textFill>
            <w14:solidFill>
              <w14:schemeClr w14:val="tx1"/>
            </w14:solidFill>
          </w14:textFill>
        </w:rPr>
        <w:t>。</w:t>
      </w:r>
    </w:p>
    <w:p w14:paraId="243FD847">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 获取方式</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911A23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4.2.1</w:t>
      </w:r>
      <w:r>
        <w:rPr>
          <w:rFonts w:hint="eastAsia" w:ascii="宋体" w:hAnsi="宋体" w:eastAsia="宋体" w:cs="宋体"/>
          <w:color w:val="000000" w:themeColor="text1"/>
          <w:sz w:val="21"/>
          <w:szCs w:val="21"/>
          <w:highlight w:val="none"/>
          <w14:textFill>
            <w14:solidFill>
              <w14:schemeClr w14:val="tx1"/>
            </w14:solidFill>
          </w14:textFill>
        </w:rPr>
        <w:t>潜在供应商（投标人）须在“安徽省公共资源交易市场主体库”（http://ggzy.ah.gov.cn/ahggfwpt-zhutiku）登记注册，并通过验证。</w:t>
      </w:r>
    </w:p>
    <w:p w14:paraId="3F146603">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4.2.2</w:t>
      </w:r>
      <w:r>
        <w:rPr>
          <w:rFonts w:hint="eastAsia" w:ascii="Times New Roman" w:hAnsi="Times New Roman"/>
          <w:smallCaps w:val="0"/>
          <w:color w:val="000000" w:themeColor="text1"/>
          <w:highlight w:val="none"/>
          <w14:textFill>
            <w14:solidFill>
              <w14:schemeClr w14:val="tx1"/>
            </w14:solidFill>
          </w14:textFill>
        </w:rPr>
        <w:t>登录“淮南市公共资源交易中心网(http://jy.ggj.huainan.gov.cn/)”，点击“交易平台”，登录淮南市公共资源交易平台，填写投标信息，查阅、领取文件。投标人须随时关注该项目答疑及补充通知，并关注淮南市公共资源交易中心网信息动态。投标人如因关注不及时错过信息下载，后果自负。</w:t>
      </w:r>
    </w:p>
    <w:p w14:paraId="1F7E650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4.3</w:t>
      </w:r>
      <w:r>
        <w:rPr>
          <w:rFonts w:hint="eastAsia" w:ascii="Times New Roman" w:hAnsi="Times New Roman"/>
          <w:smallCaps w:val="0"/>
          <w:color w:val="000000" w:themeColor="text1"/>
          <w:highlight w:val="none"/>
          <w14:textFill>
            <w14:solidFill>
              <w14:schemeClr w14:val="tx1"/>
            </w14:solidFill>
          </w14:textFill>
        </w:rPr>
        <w:t>招标文件售价：0元</w:t>
      </w:r>
    </w:p>
    <w:p w14:paraId="6AB9865C">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4.4</w:t>
      </w:r>
      <w:r>
        <w:rPr>
          <w:rFonts w:hint="eastAsia" w:ascii="Times New Roman" w:hAnsi="Times New Roman"/>
          <w:smallCaps w:val="0"/>
          <w:color w:val="000000" w:themeColor="text1"/>
          <w:highlight w:val="none"/>
          <w:lang w:eastAsia="zh-CN"/>
          <w14:textFill>
            <w14:solidFill>
              <w14:schemeClr w14:val="tx1"/>
            </w14:solidFill>
          </w14:textFill>
        </w:rPr>
        <w:t>获取地点：网上获取，获取网址：淮南市公共资源交易中心网站（http://jy.ggj.huainan.gov.cn/）</w:t>
      </w:r>
    </w:p>
    <w:p w14:paraId="21477726">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smallCaps w:val="0"/>
          <w:color w:val="000000" w:themeColor="text1"/>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sz w:val="21"/>
          <w:szCs w:val="21"/>
          <w:highlight w:val="none"/>
          <w14:textFill>
            <w14:solidFill>
              <w14:schemeClr w14:val="tx1"/>
            </w14:solidFill>
          </w14:textFill>
        </w:rPr>
        <w:t>相关事项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029EED74">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4.5.1 </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招标文件获取过程中有技术或操作疑问，请拨打交易平台技术支持热线：0512-58188516。</w:t>
      </w:r>
    </w:p>
    <w:p w14:paraId="75719881">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4.5.2 </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CA锁（证书KEY）办理、续费、登录等问题，请查阅本网站“办事指南”栏目中“CA数字证书和电子签章”内容，也可拨打驻交易中心电话0554-6818265-4。</w:t>
      </w:r>
    </w:p>
    <w:p w14:paraId="0C463252">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4.5.3 </w:t>
      </w:r>
      <w:r>
        <w:rPr>
          <w:rFonts w:hint="default" w:ascii="Times New Roman" w:hAnsi="Times New Roman" w:eastAsia="宋体" w:cs="Times New Roman"/>
          <w:color w:val="000000" w:themeColor="text1"/>
          <w:sz w:val="21"/>
          <w:szCs w:val="21"/>
          <w:highlight w:val="none"/>
          <w14:textFill>
            <w14:solidFill>
              <w14:schemeClr w14:val="tx1"/>
            </w14:solidFill>
          </w14:textFill>
        </w:rPr>
        <w:t>项目相关情况疑问（咨询）请与本公告联系方式中的招标（采购）人、代理机构联系。</w:t>
      </w:r>
    </w:p>
    <w:p w14:paraId="7A0BA7B1">
      <w:pPr>
        <w:pStyle w:val="77"/>
        <w:pageBreakBefore w:val="0"/>
        <w:kinsoku/>
        <w:wordWrap w:val="0"/>
        <w:overflowPunct/>
        <w:bidi w:val="0"/>
        <w:rPr>
          <w:rFonts w:hint="eastAsia" w:ascii="Times New Roman" w:hAnsi="Times New Roman" w:eastAsia="黑体"/>
          <w:smallCaps w:val="0"/>
          <w:color w:val="000000" w:themeColor="text1"/>
          <w:highlight w:val="none"/>
          <w:lang w:eastAsia="zh"/>
          <w14:textFill>
            <w14:solidFill>
              <w14:schemeClr w14:val="tx1"/>
            </w14:solidFill>
          </w14:textFill>
        </w:rPr>
      </w:pPr>
      <w:bookmarkStart w:id="20" w:name="_Toc5093"/>
      <w:bookmarkStart w:id="21" w:name="_Toc3167"/>
      <w:bookmarkStart w:id="22" w:name="_Toc602"/>
      <w:r>
        <w:rPr>
          <w:rFonts w:hint="eastAsia" w:ascii="Times New Roman" w:hAnsi="Times New Roman"/>
          <w:smallCaps w:val="0"/>
          <w:color w:val="000000" w:themeColor="text1"/>
          <w:highlight w:val="none"/>
          <w14:textFill>
            <w14:solidFill>
              <w14:schemeClr w14:val="tx1"/>
            </w14:solidFill>
          </w14:textFill>
        </w:rPr>
        <w:t>5. 投标文件的</w:t>
      </w:r>
      <w:bookmarkEnd w:id="20"/>
      <w:bookmarkEnd w:id="21"/>
      <w:r>
        <w:rPr>
          <w:rFonts w:hint="eastAsia" w:ascii="Times New Roman" w:hAnsi="Times New Roman"/>
          <w:smallCaps w:val="0"/>
          <w:color w:val="000000" w:themeColor="text1"/>
          <w:highlight w:val="none"/>
          <w:lang w:eastAsia="zh"/>
          <w14:textFill>
            <w14:solidFill>
              <w14:schemeClr w14:val="tx1"/>
            </w14:solidFill>
          </w14:textFill>
        </w:rPr>
        <w:t>提交</w:t>
      </w:r>
      <w:bookmarkEnd w:id="22"/>
    </w:p>
    <w:p w14:paraId="33F0D283">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both"/>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投标文件递交的截止时间(投标截止时间，下同</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XXXX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 xml:space="preserve"> 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分，投标人应在截止时间前通过</w:t>
      </w:r>
      <w:r>
        <w:rPr>
          <w:rFonts w:hint="eastAsia" w:ascii="宋体" w:hAnsi="宋体" w:eastAsia="宋体" w:cs="宋体"/>
          <w:bCs/>
          <w:snapToGrid w:val="0"/>
          <w:color w:val="000000" w:themeColor="text1"/>
          <w:kern w:val="0"/>
          <w:sz w:val="21"/>
          <w:szCs w:val="21"/>
          <w:highlight w:val="none"/>
          <w:u w:val="single"/>
          <w14:textFill>
            <w14:solidFill>
              <w14:schemeClr w14:val="tx1"/>
            </w14:solidFill>
          </w14:textFill>
        </w:rPr>
        <w:t xml:space="preserve"> 淮南市公共资源交易中心网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（电子交易系统</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）递交电子投标文件。</w:t>
      </w:r>
    </w:p>
    <w:p w14:paraId="71A35435">
      <w:pPr>
        <w:pageBreakBefore w:val="0"/>
        <w:kinsoku/>
        <w:wordWrap w:val="0"/>
        <w:overflowPunct/>
        <w:bidi w:val="0"/>
        <w:spacing w:line="440" w:lineRule="exact"/>
        <w:ind w:firstLine="435"/>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投标人应充分考虑网上递交投标文件时的不可预见因素，逾期未完成上传或未按规定加密的投标文件，</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电子交易系统</w:t>
      </w:r>
      <w:r>
        <w:rPr>
          <w:rStyle w:val="96"/>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将拒绝</w:t>
      </w:r>
      <w:r>
        <w:rPr>
          <w:rFonts w:hint="eastAsia" w:ascii="宋体" w:hAnsi="宋体" w:eastAsia="宋体" w:cs="宋体"/>
          <w:snapToGrid w:val="0"/>
          <w:color w:val="000000" w:themeColor="text1"/>
          <w:kern w:val="0"/>
          <w:sz w:val="21"/>
          <w:szCs w:val="21"/>
          <w:highlight w:val="none"/>
          <w14:textFill>
            <w14:solidFill>
              <w14:schemeClr w14:val="tx1"/>
            </w14:solidFill>
          </w14:textFill>
        </w:rPr>
        <w:t>接收</w:t>
      </w:r>
      <w:r>
        <w:rPr>
          <w:rStyle w:val="96"/>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并</w:t>
      </w:r>
      <w:r>
        <w:rPr>
          <w:rFonts w:hint="eastAsia" w:ascii="宋体" w:hAnsi="宋体" w:eastAsia="宋体" w:cs="宋体"/>
          <w:snapToGrid w:val="0"/>
          <w:color w:val="000000" w:themeColor="text1"/>
          <w:kern w:val="0"/>
          <w:sz w:val="21"/>
          <w:szCs w:val="21"/>
          <w:highlight w:val="none"/>
          <w:lang w:val="zh-CN"/>
          <w14:textFill>
            <w14:solidFill>
              <w14:schemeClr w14:val="tx1"/>
            </w14:solidFill>
          </w14:textFill>
        </w:rPr>
        <w:t>提示</w:t>
      </w:r>
      <w:r>
        <w:rPr>
          <w:rFonts w:hint="eastAsia" w:ascii="宋体" w:hAnsi="宋体" w:eastAsia="宋体" w:cs="宋体"/>
          <w:snapToGrid w:val="0"/>
          <w:color w:val="000000" w:themeColor="text1"/>
          <w:kern w:val="0"/>
          <w:sz w:val="21"/>
          <w:szCs w:val="21"/>
          <w:highlight w:val="none"/>
          <w14:textFill>
            <w14:solidFill>
              <w14:schemeClr w14:val="tx1"/>
            </w14:solidFill>
          </w14:textFill>
        </w:rPr>
        <w:t>。</w:t>
      </w:r>
    </w:p>
    <w:p w14:paraId="1460960C">
      <w:pPr>
        <w:keepNext w:val="0"/>
        <w:keepLines w:val="0"/>
        <w:pageBreakBefore w:val="0"/>
        <w:widowControl w:val="0"/>
        <w:kinsoku/>
        <w:wordWrap w:val="0"/>
        <w:overflowPunct/>
        <w:topLinePunct/>
        <w:autoSpaceDE/>
        <w:autoSpaceDN/>
        <w:bidi w:val="0"/>
        <w:adjustRightInd/>
        <w:snapToGrid/>
        <w:spacing w:beforeLines="0" w:afterLines="0" w:line="360" w:lineRule="auto"/>
        <w:ind w:firstLine="422" w:firstLineChars="200"/>
        <w:jc w:val="both"/>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注：本项目实行网上开评标，网上上传加密的电子版投标文件，投标人必须在30分钟内远程解密完成。</w:t>
      </w:r>
    </w:p>
    <w:p w14:paraId="1B1FE1E9">
      <w:pPr>
        <w:keepNext w:val="0"/>
        <w:keepLines w:val="0"/>
        <w:pageBreakBefore w:val="0"/>
        <w:widowControl w:val="0"/>
        <w:kinsoku/>
        <w:wordWrap w:val="0"/>
        <w:overflowPunct/>
        <w:topLinePunct/>
        <w:autoSpaceDE/>
        <w:autoSpaceDN/>
        <w:bidi w:val="0"/>
        <w:adjustRightInd/>
        <w:snapToGrid/>
        <w:spacing w:beforeLines="0" w:afterLines="0"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出现下列情况的，投标人必须重新用数字证书签章和加密投标文件，并在投标截止时间之前上传完成到网上招投标系统：</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数字证书到期后重新续期；</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数字证书因遗失、损坏、企业信息变更等情况更换新证书。</w:t>
      </w:r>
    </w:p>
    <w:p w14:paraId="7340F8E5">
      <w:pPr>
        <w:keepNext w:val="0"/>
        <w:keepLines w:val="0"/>
        <w:pageBreakBefore w:val="0"/>
        <w:widowControl w:val="0"/>
        <w:kinsoku/>
        <w:wordWrap w:val="0"/>
        <w:overflowPunct/>
        <w:topLinePunct/>
        <w:autoSpaceDE/>
        <w:autoSpaceDN/>
        <w:bidi w:val="0"/>
        <w:adjustRightInd/>
        <w:snapToGrid/>
        <w:spacing w:beforeLines="0" w:afterLines="0"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投标人由于数字证书遗失、损坏、更换、续期等情况导致投标文件无法解密，由投标人自行承担责任。</w:t>
      </w:r>
    </w:p>
    <w:p w14:paraId="4607ABBB">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23" w:name="_Toc7567"/>
      <w:bookmarkStart w:id="24" w:name="_Toc14649"/>
      <w:bookmarkStart w:id="25" w:name="_Toc1543"/>
      <w:r>
        <w:rPr>
          <w:rFonts w:hint="eastAsia" w:ascii="Times New Roman" w:hAnsi="Times New Roman"/>
          <w:smallCaps w:val="0"/>
          <w:color w:val="000000" w:themeColor="text1"/>
          <w:highlight w:val="none"/>
          <w14:textFill>
            <w14:solidFill>
              <w14:schemeClr w14:val="tx1"/>
            </w14:solidFill>
          </w14:textFill>
        </w:rPr>
        <w:t>6. 开标时间及地点</w:t>
      </w:r>
      <w:bookmarkEnd w:id="23"/>
      <w:bookmarkEnd w:id="24"/>
      <w:bookmarkEnd w:id="25"/>
    </w:p>
    <w:p w14:paraId="6D3E85F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6.1 开标时间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时</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p w14:paraId="07DB7A9E">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6.2 开标地点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9728B92">
      <w:pPr>
        <w:pStyle w:val="77"/>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bookmarkStart w:id="26" w:name="_Toc8268"/>
      <w:bookmarkStart w:id="27" w:name="_Toc20301"/>
      <w:bookmarkStart w:id="28" w:name="_Toc10339"/>
      <w:bookmarkStart w:id="29" w:name="_Toc25618"/>
      <w:bookmarkStart w:id="30" w:name="_Toc11112"/>
      <w:bookmarkStart w:id="31" w:name="_Toc130919062"/>
      <w:bookmarkStart w:id="32" w:name="_Toc18375"/>
      <w:bookmarkStart w:id="33" w:name="_Toc16866"/>
      <w:r>
        <w:rPr>
          <w:rFonts w:hint="eastAsia" w:ascii="Times New Roman" w:hAnsi="Times New Roman"/>
          <w:smallCaps w:val="0"/>
          <w:color w:val="000000" w:themeColor="text1"/>
          <w:highlight w:val="none"/>
          <w14:textFill>
            <w14:solidFill>
              <w14:schemeClr w14:val="tx1"/>
            </w14:solidFill>
          </w14:textFill>
        </w:rPr>
        <w:t>7.</w:t>
      </w:r>
      <w:r>
        <w:rPr>
          <w:rFonts w:hint="eastAsia" w:ascii="Times New Roman" w:hAnsi="Times New Roman"/>
          <w:smallCaps w:val="0"/>
          <w:color w:val="000000" w:themeColor="text1"/>
          <w:highlight w:val="non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评标</w:t>
      </w:r>
      <w:r>
        <w:rPr>
          <w:rFonts w:hint="eastAsia" w:ascii="Times New Roman" w:hAnsi="Times New Roman"/>
          <w:smallCaps w:val="0"/>
          <w:color w:val="000000" w:themeColor="text1"/>
          <w:highlight w:val="none"/>
          <w:lang w:val="en-US"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办法</w:t>
      </w:r>
      <w:bookmarkEnd w:id="26"/>
      <w:bookmarkEnd w:id="27"/>
      <w:bookmarkEnd w:id="28"/>
      <w:bookmarkEnd w:id="29"/>
      <w:bookmarkEnd w:id="30"/>
      <w:bookmarkEnd w:id="31"/>
      <w:bookmarkEnd w:id="32"/>
      <w:r>
        <w:rPr>
          <w:rFonts w:hint="eastAsia" w:ascii="Times New Roman" w:hAnsi="Times New Roman"/>
          <w:smallCaps w:val="0"/>
          <w:color w:val="000000" w:themeColor="text1"/>
          <w:highlight w:val="none"/>
          <w:lang w:val="en-US" w:eastAsia="zh-CN"/>
          <w14:textFill>
            <w14:solidFill>
              <w14:schemeClr w14:val="tx1"/>
            </w14:solidFill>
          </w14:textFill>
        </w:rPr>
        <w:t xml:space="preserve"> </w:t>
      </w:r>
    </w:p>
    <w:p w14:paraId="51AA8B6D">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7.1 资格审查方式：</w:t>
      </w:r>
      <w:r>
        <w:rPr>
          <w:rFonts w:hint="eastAsia" w:ascii="宋体" w:hAnsi="宋体" w:eastAsia="宋体" w:cs="宋体"/>
          <w:bCs/>
          <w:snapToGrid w:val="0"/>
          <w:color w:val="000000" w:themeColor="text1"/>
          <w:kern w:val="0"/>
          <w:sz w:val="21"/>
          <w:szCs w:val="21"/>
          <w:highlight w:val="none"/>
          <w:u w:val="single"/>
          <w:lang w:eastAsia="zh-CN"/>
          <w14:textFill>
            <w14:solidFill>
              <w14:schemeClr w14:val="tx1"/>
            </w14:solidFill>
          </w14:textFill>
        </w:rPr>
        <w:sym w:font="Wingdings" w:char="00A8"/>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 xml:space="preserve">资格后审  </w:t>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sym w:font="Wingdings" w:char="00A8"/>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资格预审</w:t>
      </w:r>
    </w:p>
    <w:p w14:paraId="4553801F">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u w:val="single"/>
          <w14:textFill>
            <w14:solidFill>
              <w14:schemeClr w14:val="tx1"/>
            </w14:solidFill>
          </w14:textFill>
        </w:rPr>
      </w:pPr>
      <w:r>
        <w:rPr>
          <w:rFonts w:hint="eastAsia" w:ascii="宋体" w:hAnsi="宋体" w:eastAsia="宋体" w:cs="宋体"/>
          <w:b w:val="0"/>
          <w:bCs/>
          <w:snapToGrid w:val="0"/>
          <w:color w:val="000000" w:themeColor="text1"/>
          <w:kern w:val="0"/>
          <w:sz w:val="21"/>
          <w:szCs w:val="21"/>
          <w:highlight w:val="none"/>
          <w:u w:val="none"/>
          <w:lang w:val="en-US" w:eastAsia="zh-CN"/>
          <w14:textFill>
            <w14:solidFill>
              <w14:schemeClr w14:val="tx1"/>
            </w14:solidFill>
          </w14:textFill>
        </w:rPr>
        <w:t>7.2 评标办法：</w:t>
      </w:r>
      <w:r>
        <w:rPr>
          <w:rFonts w:hint="eastAsia" w:ascii="宋体" w:hAnsi="宋体" w:eastAsia="宋体" w:cs="宋体"/>
          <w:b w:val="0"/>
          <w:bCs/>
          <w:color w:val="000000" w:themeColor="text1"/>
          <w:sz w:val="21"/>
          <w:szCs w:val="21"/>
          <w:highlight w:val="none"/>
          <w:u w:val="single"/>
          <w14:textFill>
            <w14:solidFill>
              <w14:schemeClr w14:val="tx1"/>
            </w14:solidFill>
          </w14:textFill>
        </w:rPr>
        <w:t xml:space="preserve">       </w:t>
      </w:r>
      <w:r>
        <w:rPr>
          <w:rFonts w:hint="eastAsia" w:ascii="Times New Roman" w:hAnsi="Times New Roman"/>
          <w:smallCaps w:val="0"/>
          <w:color w:val="000000" w:themeColor="text1"/>
          <w:sz w:val="21"/>
          <w:szCs w:val="21"/>
          <w:highlight w:val="none"/>
          <w:lang w:eastAsia="zh-CN"/>
          <w14:textFill>
            <w14:solidFill>
              <w14:schemeClr w14:val="tx1"/>
            </w14:solidFill>
          </w14:textFill>
        </w:rPr>
        <w:t>（</w:t>
      </w:r>
      <w:r>
        <w:rPr>
          <w:rFonts w:hint="eastAsia" w:ascii="Times New Roman" w:hAnsi="Times New Roman"/>
          <w:smallCaps w:val="0"/>
          <w:color w:val="000000" w:themeColor="text1"/>
          <w:sz w:val="21"/>
          <w:szCs w:val="21"/>
          <w:highlight w:val="none"/>
          <w:lang w:val="en-US" w:eastAsia="zh-CN"/>
          <w14:textFill>
            <w14:solidFill>
              <w14:schemeClr w14:val="tx1"/>
            </w14:solidFill>
          </w14:textFill>
        </w:rPr>
        <w:t>详见招标文件第三章“评标及定标”</w:t>
      </w:r>
      <w:r>
        <w:rPr>
          <w:rFonts w:hint="eastAsia" w:ascii="Times New Roman" w:hAnsi="Times New Roman"/>
          <w:smallCaps w:val="0"/>
          <w:color w:val="000000" w:themeColor="text1"/>
          <w:sz w:val="21"/>
          <w:szCs w:val="21"/>
          <w:highlight w:val="none"/>
          <w:u w:val="none"/>
          <w:lang w:eastAsia="zh-CN"/>
          <w14:textFill>
            <w14:solidFill>
              <w14:schemeClr w14:val="tx1"/>
            </w14:solidFill>
          </w14:textFill>
        </w:rPr>
        <w:t>）</w:t>
      </w:r>
    </w:p>
    <w:p w14:paraId="0D026B57">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t>7.3 是否采用“电子暗标横向评审”方式：</w:t>
      </w:r>
      <w:r>
        <w:rPr>
          <w:rFonts w:hint="eastAsia" w:ascii="宋体" w:hAnsi="宋体" w:eastAsia="宋体" w:cs="宋体"/>
          <w:b w:val="0"/>
          <w:bCs/>
          <w:snapToGrid w:val="0"/>
          <w:color w:val="000000" w:themeColor="text1"/>
          <w:kern w:val="0"/>
          <w:sz w:val="21"/>
          <w:szCs w:val="21"/>
          <w:highlight w:val="none"/>
          <w:u w:val="single"/>
          <w:lang w:eastAsia="zh-CN"/>
          <w14:textFill>
            <w14:solidFill>
              <w14:schemeClr w14:val="tx1"/>
            </w14:solidFill>
          </w14:textFill>
        </w:rPr>
        <w:sym w:font="Wingdings" w:char="00A8"/>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t xml:space="preserve">是  </w:t>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sym w:font="Wingdings" w:char="00A8"/>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t>否</w:t>
      </w:r>
    </w:p>
    <w:p w14:paraId="5AFA4265">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snapToGrid w:val="0"/>
          <w:color w:val="000000" w:themeColor="text1"/>
          <w:kern w:val="0"/>
          <w:sz w:val="21"/>
          <w:szCs w:val="21"/>
          <w:highlight w:val="none"/>
          <w:lang w:val="en-US" w:eastAsia="zh-CN"/>
          <w14:textFill>
            <w14:solidFill>
              <w14:schemeClr w14:val="tx1"/>
            </w14:solidFill>
          </w14:textFill>
        </w:rPr>
        <w:t xml:space="preserve">7.4 </w:t>
      </w:r>
      <w:r>
        <w:rPr>
          <w:rFonts w:hint="eastAsia" w:ascii="宋体" w:hAnsi="宋体" w:eastAsia="宋体" w:cs="宋体"/>
          <w:b w:val="0"/>
          <w:bCs/>
          <w:snapToGrid w:val="0"/>
          <w:color w:val="000000" w:themeColor="text1"/>
          <w:kern w:val="0"/>
          <w:sz w:val="21"/>
          <w:szCs w:val="21"/>
          <w:highlight w:val="none"/>
          <w14:textFill>
            <w14:solidFill>
              <w14:schemeClr w14:val="tx1"/>
            </w14:solidFill>
          </w14:textFill>
        </w:rPr>
        <w:t>是否采用“评定分离”方式：</w:t>
      </w:r>
      <w:r>
        <w:rPr>
          <w:rFonts w:hint="eastAsia" w:ascii="宋体" w:hAnsi="宋体" w:eastAsia="宋体" w:cs="宋体"/>
          <w:b w:val="0"/>
          <w:bCs/>
          <w:snapToGrid w:val="0"/>
          <w:color w:val="000000" w:themeColor="text1"/>
          <w:kern w:val="0"/>
          <w:sz w:val="21"/>
          <w:szCs w:val="21"/>
          <w:highlight w:val="none"/>
          <w:u w:val="single"/>
          <w:lang w:eastAsia="zh-CN"/>
          <w14:textFill>
            <w14:solidFill>
              <w14:schemeClr w14:val="tx1"/>
            </w14:solidFill>
          </w14:textFill>
        </w:rPr>
        <w:sym w:font="Wingdings" w:char="00A8"/>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采用“评定分离”  </w:t>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sym w:font="Wingdings" w:char="00A8"/>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t>不</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采用“评定分离”</w:t>
      </w:r>
    </w:p>
    <w:p w14:paraId="28EFE0F6">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34" w:name="_Toc22683"/>
      <w:bookmarkStart w:id="35" w:name="_Toc1438"/>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14:textFill>
            <w14:solidFill>
              <w14:schemeClr w14:val="tx1"/>
            </w14:solidFill>
          </w14:textFill>
        </w:rPr>
        <w:t>. 发布公告的媒介</w:t>
      </w:r>
      <w:bookmarkEnd w:id="33"/>
      <w:bookmarkEnd w:id="34"/>
      <w:bookmarkEnd w:id="35"/>
    </w:p>
    <w:p w14:paraId="11379C28">
      <w:pPr>
        <w:pageBreakBefore w:val="0"/>
        <w:kinsoku/>
        <w:wordWrap w:val="0"/>
        <w:overflowPunct/>
        <w:bidi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bookmarkStart w:id="36" w:name="_Toc24100"/>
      <w:bookmarkStart w:id="37" w:name="_Toc25533"/>
      <w:bookmarkStart w:id="38" w:name="_Toc19890"/>
      <w:r>
        <w:rPr>
          <w:rFonts w:hint="eastAsia" w:ascii="宋体" w:hAnsi="宋体" w:eastAsia="宋体" w:cs="宋体"/>
          <w:color w:val="000000" w:themeColor="text1"/>
          <w:sz w:val="21"/>
          <w:szCs w:val="21"/>
          <w:highlight w:val="none"/>
          <w14:textFill>
            <w14:solidFill>
              <w14:schemeClr w14:val="tx1"/>
            </w14:solidFill>
          </w14:textFill>
        </w:rPr>
        <w:t xml:space="preserve">本次招标公告同时在 </w:t>
      </w:r>
      <w:r>
        <w:rPr>
          <w:rFonts w:hint="eastAsia" w:ascii="宋体" w:hAnsi="宋体" w:cs="宋体"/>
          <w:b/>
          <w:snapToGrid w:val="0"/>
          <w:color w:val="000000" w:themeColor="text1"/>
          <w:kern w:val="0"/>
          <w:sz w:val="21"/>
          <w:szCs w:val="21"/>
          <w:highlight w:val="none"/>
          <w:u w:val="single"/>
          <w14:textFill>
            <w14:solidFill>
              <w14:schemeClr w14:val="tx1"/>
            </w14:solidFill>
          </w14:textFill>
        </w:rPr>
        <w:t>淮南市公共资源交易中心</w:t>
      </w:r>
      <w:r>
        <w:rPr>
          <w:rFonts w:hint="eastAsia" w:ascii="宋体" w:hAnsi="宋体" w:cs="宋体"/>
          <w:b/>
          <w:snapToGrid w:val="0"/>
          <w:color w:val="000000" w:themeColor="text1"/>
          <w:kern w:val="0"/>
          <w:sz w:val="21"/>
          <w:szCs w:val="21"/>
          <w:highlight w:val="none"/>
          <w:u w:val="single"/>
          <w:lang w:eastAsia="zh-CN"/>
          <w14:textFill>
            <w14:solidFill>
              <w14:schemeClr w14:val="tx1"/>
            </w14:solidFill>
          </w14:textFill>
        </w:rPr>
        <w:t>；</w:t>
      </w:r>
      <w:r>
        <w:rPr>
          <w:rFonts w:hint="eastAsia" w:ascii="宋体" w:hAnsi="宋体" w:cs="宋体"/>
          <w:b/>
          <w:color w:val="000000" w:themeColor="text1"/>
          <w:sz w:val="21"/>
          <w:szCs w:val="21"/>
          <w:highlight w:val="none"/>
          <w:u w:val="single"/>
          <w14:textFill>
            <w14:solidFill>
              <w14:schemeClr w14:val="tx1"/>
            </w14:solidFill>
          </w14:textFill>
        </w:rPr>
        <w:t>安徽省招标投标信息网</w:t>
      </w:r>
      <w:r>
        <w:rPr>
          <w:rFonts w:hint="eastAsia" w:ascii="宋体" w:hAnsi="宋体" w:cs="宋体"/>
          <w:b/>
          <w:color w:val="000000" w:themeColor="text1"/>
          <w:sz w:val="21"/>
          <w:szCs w:val="21"/>
          <w:highlight w:val="none"/>
          <w:u w:val="single"/>
          <w:lang w:eastAsia="zh-CN"/>
          <w14:textFill>
            <w14:solidFill>
              <w14:schemeClr w14:val="tx1"/>
            </w14:solidFill>
          </w14:textFill>
        </w:rPr>
        <w:t>；</w:t>
      </w:r>
      <w:r>
        <w:rPr>
          <w:rFonts w:hint="eastAsia" w:ascii="宋体" w:hAnsi="宋体" w:cs="宋体"/>
          <w:b/>
          <w:color w:val="000000" w:themeColor="text1"/>
          <w:sz w:val="21"/>
          <w:szCs w:val="21"/>
          <w:highlight w:val="none"/>
          <w:u w:val="single"/>
          <w14:textFill>
            <w14:solidFill>
              <w14:schemeClr w14:val="tx1"/>
            </w14:solidFill>
          </w14:textFill>
        </w:rPr>
        <w:t>安徽省公共资源交易监管网</w:t>
      </w:r>
      <w:r>
        <w:rPr>
          <w:rFonts w:hint="eastAsia" w:ascii="宋体" w:hAnsi="宋体" w:cs="宋体"/>
          <w:b/>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上发布。</w:t>
      </w:r>
    </w:p>
    <w:p w14:paraId="6F3FE47E">
      <w:pPr>
        <w:pStyle w:val="77"/>
        <w:pageBreakBefore w:val="0"/>
        <w:numPr>
          <w:ilvl w:val="0"/>
          <w:numId w:val="4"/>
        </w:numPr>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联系方式</w:t>
      </w:r>
      <w:bookmarkEnd w:id="36"/>
      <w:bookmarkEnd w:id="37"/>
      <w:bookmarkEnd w:id="38"/>
    </w:p>
    <w:p w14:paraId="410C7B71">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.1 招标人</w:t>
      </w:r>
    </w:p>
    <w:p w14:paraId="6703E83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 标 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32BC53A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18985AF3">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272D3BC3">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 系 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783BAC7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701D6CF0">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.2 招标代理机构</w:t>
      </w:r>
    </w:p>
    <w:p w14:paraId="02D7522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招标代理机构</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16D68205">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23D1BE4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494A39E1">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 系 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6A11CA7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21D69D81">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.3 电子交易系统</w:t>
      </w:r>
    </w:p>
    <w:p w14:paraId="62003E23">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电子交易系统名称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淮南市公共资源交易中心网                      </w:t>
      </w:r>
    </w:p>
    <w:p w14:paraId="5ED69D5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电子交易系统电话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0512-58188516                       </w:t>
      </w:r>
    </w:p>
    <w:p w14:paraId="6E2133BD">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.4 电子服务系统</w:t>
      </w:r>
      <w:r>
        <w:rPr>
          <w:rFonts w:hint="eastAsia" w:ascii="Times New Roman" w:hAnsi="Times New Roman"/>
          <w:smallCaps w:val="0"/>
          <w:color w:val="000000" w:themeColor="text1"/>
          <w:highlight w:val="none"/>
          <w14:textFill>
            <w14:solidFill>
              <w14:schemeClr w14:val="tx1"/>
            </w14:solidFill>
          </w14:textFill>
        </w:rPr>
        <w:tab/>
      </w:r>
    </w:p>
    <w:p w14:paraId="579C24E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电子服务系统名称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淮南市公共资源交易中心网                      </w:t>
      </w:r>
    </w:p>
    <w:p w14:paraId="7BD5BA4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电子服务系统电话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0512-58188516                      </w:t>
      </w:r>
    </w:p>
    <w:p w14:paraId="7BE9900E">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 xml:space="preserve">.5 </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p>
    <w:p w14:paraId="15C8A0E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180F69B8">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0E0BD171">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25B0179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9.6 异议联系人</w:t>
      </w:r>
    </w:p>
    <w:p w14:paraId="04023A2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eastAsia="宋体" w:cs="宋体"/>
          <w:smallCaps w:val="0"/>
          <w:color w:val="000000" w:themeColor="text1"/>
          <w:highlight w:val="none"/>
          <w:lang w:val="en-US" w:eastAsia="zh-CN"/>
          <w14:textFill>
            <w14:solidFill>
              <w14:schemeClr w14:val="tx1"/>
            </w14:solidFill>
          </w14:textFill>
        </w:rPr>
      </w:pPr>
      <w:r>
        <w:rPr>
          <w:rFonts w:hint="eastAsia" w:ascii="宋体" w:hAnsi="宋体" w:eastAsia="宋体" w:cs="宋体"/>
          <w:smallCaps w:val="0"/>
          <w:color w:val="000000" w:themeColor="text1"/>
          <w:highlight w:val="none"/>
          <w:lang w:val="en-US" w:eastAsia="zh-CN"/>
          <w14:textFill>
            <w14:solidFill>
              <w14:schemeClr w14:val="tx1"/>
            </w14:solidFill>
          </w14:textFill>
        </w:rPr>
        <w:t>异议（质疑）联系人：XX（招标人）、XX（代理机构）</w:t>
      </w:r>
    </w:p>
    <w:p w14:paraId="2BFED044">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eastAsia="宋体" w:cs="宋体"/>
          <w:smallCaps w:val="0"/>
          <w:color w:val="000000" w:themeColor="text1"/>
          <w:highlight w:val="none"/>
          <w:lang w:val="en-US" w:eastAsia="zh-CN"/>
          <w14:textFill>
            <w14:solidFill>
              <w14:schemeClr w14:val="tx1"/>
            </w14:solidFill>
          </w14:textFill>
        </w:rPr>
      </w:pPr>
      <w:r>
        <w:rPr>
          <w:rFonts w:hint="eastAsia" w:ascii="宋体" w:hAnsi="宋体" w:eastAsia="宋体" w:cs="宋体"/>
          <w:smallCaps w:val="0"/>
          <w:color w:val="000000" w:themeColor="text1"/>
          <w:highlight w:val="none"/>
          <w:lang w:val="en-US" w:eastAsia="zh-CN"/>
          <w14:textFill>
            <w14:solidFill>
              <w14:schemeClr w14:val="tx1"/>
            </w14:solidFill>
          </w14:textFill>
        </w:rPr>
        <w:t>异议（质疑）联系电话：XXXX（招标人）、XXXX（代理机构）</w:t>
      </w:r>
    </w:p>
    <w:p w14:paraId="185CD960">
      <w:pPr>
        <w:pStyle w:val="77"/>
        <w:pageBreakBefore w:val="0"/>
        <w:numPr>
          <w:ilvl w:val="0"/>
          <w:numId w:val="5"/>
        </w:numPr>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bookmarkStart w:id="39" w:name="_Toc17947"/>
      <w:bookmarkStart w:id="40" w:name="_Toc2537"/>
      <w:bookmarkStart w:id="41" w:name="_Toc30287"/>
      <w:r>
        <w:rPr>
          <w:rFonts w:hint="eastAsia" w:ascii="Times New Roman" w:hAnsi="Times New Roman"/>
          <w:smallCaps w:val="0"/>
          <w:color w:val="000000" w:themeColor="text1"/>
          <w:highlight w:val="none"/>
          <w:lang w:val="en-US" w:eastAsia="zh-CN"/>
          <w14:textFill>
            <w14:solidFill>
              <w14:schemeClr w14:val="tx1"/>
            </w14:solidFill>
          </w14:textFill>
        </w:rPr>
        <w:t>其他事项说明</w:t>
      </w:r>
      <w:bookmarkEnd w:id="39"/>
      <w:bookmarkEnd w:id="40"/>
      <w:bookmarkEnd w:id="41"/>
    </w:p>
    <w:p w14:paraId="0A8A6803">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bookmarkStart w:id="42" w:name="_Toc29725"/>
      <w:bookmarkStart w:id="43" w:name="_Toc12253"/>
      <w:bookmarkStart w:id="44" w:name="_Toc3757"/>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10</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.1 投标人应合理安排招标文件获取时间，特别是网络速度慢的地区防止在系统关闭前网络拥堵无法操作。如果因计算机及网络故障造成无法完成招标文件获取，责任自负。</w:t>
      </w:r>
    </w:p>
    <w:p w14:paraId="7DB405B5">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10.</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2 本项目采用“不见面开标”形式，具体通知请投标人在淮南市公共资源交易中心网上查看。投标人远程投标，无需至现场参加开标。如有人员到现场应当做好人员健康防护工作。如因系统问题无法远程解密，投标人请咨询淮南市公共资源交易中心系统技术客服电话：0512-58188516。不见面开标大厅网址：</w:t>
      </w:r>
      <w:r>
        <w:rPr>
          <w:rFonts w:hint="eastAsia" w:ascii="宋体" w:hAnsi="宋体" w:eastAsia="宋体" w:cs="宋体"/>
          <w:color w:val="000000" w:themeColor="text1"/>
          <w:sz w:val="21"/>
          <w:szCs w:val="21"/>
          <w:highlight w:val="none"/>
          <w14:textFill>
            <w14:solidFill>
              <w14:schemeClr w14:val="tx1"/>
            </w14:solidFill>
          </w14:textFill>
        </w:rPr>
        <w:t>jy.ggj.huainan.gov.cn:8091/BidOpening/bidopeninghallaction/hall/login。</w:t>
      </w:r>
    </w:p>
    <w:p w14:paraId="5E53E217">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10</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.3 本项目实行网上开评标，网上上传加密的电子版投标文件（其他要求详见招标文件）。本项目采用“不见面开标”方式。本项目为远程解密、远程在线开标。投标人应在开标时间前提供使用CA数字证书登录“不见面开标系统”，等待开标并按系统提示进行相应的投标人解密等事项。具体操作方法见中心网站，通知公告栏——《淮南不见面开标大厅操作手册》。从“不见面开标大厅”完成解密。</w:t>
      </w:r>
    </w:p>
    <w:p w14:paraId="3D063F05">
      <w:pPr>
        <w:pStyle w:val="77"/>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 投标保证金收款银行账户信息</w:t>
      </w:r>
      <w:bookmarkEnd w:id="42"/>
      <w:bookmarkEnd w:id="43"/>
      <w:bookmarkEnd w:id="44"/>
    </w:p>
    <w:p w14:paraId="4B53C40C">
      <w:pPr>
        <w:keepNext w:val="0"/>
        <w:keepLines w:val="0"/>
        <w:pageBreakBefore w:val="0"/>
        <w:widowControl w:val="0"/>
        <w:kinsoku/>
        <w:wordWrap w:val="0"/>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递交金额：</w:t>
      </w:r>
      <w:r>
        <w:rPr>
          <w:rFonts w:hint="eastAsia" w:ascii="宋体" w:hAnsi="宋体" w:eastAsia="宋体" w:cs="宋体"/>
          <w:b/>
          <w:bCs/>
          <w:color w:val="000000" w:themeColor="text1"/>
          <w:sz w:val="21"/>
          <w:szCs w:val="21"/>
          <w:highlight w:val="none"/>
          <w14:textFill>
            <w14:solidFill>
              <w14:schemeClr w14:val="tx1"/>
            </w14:solidFill>
          </w14:textFill>
        </w:rPr>
        <w:t>人民币</w:t>
      </w:r>
      <w:r>
        <w:rPr>
          <w:rFonts w:hint="eastAsia" w:ascii="宋体" w:hAnsi="宋体" w:eastAsia="宋体" w:cs="宋体"/>
          <w:b/>
          <w:bCs/>
          <w:color w:val="000000" w:themeColor="text1"/>
          <w:sz w:val="21"/>
          <w:szCs w:val="21"/>
          <w:highlight w:val="none"/>
          <w14:textFill>
            <w14:solidFill>
              <w14:schemeClr w14:val="tx1"/>
            </w14:solidFill>
          </w14:textFill>
        </w:rPr>
        <w:t>XXXX</w:t>
      </w:r>
      <w:r>
        <w:rPr>
          <w:rFonts w:hint="eastAsia" w:ascii="宋体" w:hAnsi="宋体" w:eastAsia="宋体" w:cs="宋体"/>
          <w:b/>
          <w:bCs/>
          <w:color w:val="000000" w:themeColor="text1"/>
          <w:sz w:val="21"/>
          <w:szCs w:val="21"/>
          <w:highlight w:val="none"/>
          <w14:textFill>
            <w14:solidFill>
              <w14:schemeClr w14:val="tx1"/>
            </w14:solidFill>
          </w14:textFill>
        </w:rPr>
        <w:t>元整（￥：</w:t>
      </w:r>
      <w:r>
        <w:rPr>
          <w:rFonts w:hint="eastAsia" w:ascii="宋体" w:hAnsi="宋体" w:eastAsia="宋体" w:cs="宋体"/>
          <w:b/>
          <w:bCs/>
          <w:color w:val="000000" w:themeColor="text1"/>
          <w:sz w:val="21"/>
          <w:szCs w:val="21"/>
          <w:highlight w:val="none"/>
          <w14:textFill>
            <w14:solidFill>
              <w14:schemeClr w14:val="tx1"/>
            </w14:solidFill>
          </w14:textFill>
        </w:rPr>
        <w:t>XXXX</w:t>
      </w:r>
      <w:r>
        <w:rPr>
          <w:rFonts w:hint="eastAsia" w:ascii="宋体" w:hAnsi="宋体" w:eastAsia="宋体" w:cs="宋体"/>
          <w:b/>
          <w:bCs/>
          <w:color w:val="000000" w:themeColor="text1"/>
          <w:sz w:val="21"/>
          <w:szCs w:val="21"/>
          <w:highlight w:val="none"/>
          <w14:textFill>
            <w14:solidFill>
              <w14:schemeClr w14:val="tx1"/>
            </w14:solidFill>
          </w14:textFill>
        </w:rPr>
        <w:t>）</w:t>
      </w:r>
    </w:p>
    <w:p w14:paraId="30C69963">
      <w:pPr>
        <w:pStyle w:val="21"/>
        <w:keepNext w:val="0"/>
        <w:keepLines w:val="0"/>
        <w:pageBreakBefore w:val="0"/>
        <w:widowControl w:val="0"/>
        <w:kinsoku/>
        <w:wordWrap w:val="0"/>
        <w:overflowPunct/>
        <w:topLinePunct w:val="0"/>
        <w:autoSpaceDE/>
        <w:autoSpaceDN/>
        <w:bidi w:val="0"/>
        <w:adjustRightInd/>
        <w:snapToGrid/>
        <w:spacing w:before="0" w:line="360" w:lineRule="auto"/>
        <w:ind w:left="0" w:right="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递交方式：</w:t>
      </w:r>
      <w:r>
        <w:rPr>
          <w:rFonts w:hint="eastAsia" w:ascii="宋体" w:hAnsi="宋体" w:eastAsia="宋体" w:cs="宋体"/>
          <w:color w:val="000000" w:themeColor="text1"/>
          <w:sz w:val="21"/>
          <w:szCs w:val="21"/>
          <w:highlight w:val="none"/>
          <w:lang w:val="en-US" w:eastAsia="zh-CN"/>
          <w14:textFill>
            <w14:solidFill>
              <w14:schemeClr w14:val="tx1"/>
            </w14:solidFill>
          </w14:textFill>
        </w:rPr>
        <w:t>1、银行转账；2、银行电汇；3、网银支付；4、银行保函；5、电子保函；6、保证保险。以上支付方式均可</w:t>
      </w:r>
    </w:p>
    <w:p w14:paraId="2AE4C248">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为减轻投标人及供应商负担，鼓励优先使用电子投标保函形式（具体操作请登录“淮南 市公共资源交易中心网”（http://jy.ggj.huainan.gov.cn/），点击“资料下载”，查询 “淮南市电子投标保函使用手册”，采用纸质保函，投标人应从基本账户开户行出具见索即付无条件不可撤销的纸质保函，否则其投标将被否决；其次通过银行转账、电汇、网银支付、电子保函等方式递交。投标人应按时足额从基本户转入（电汇）至本项目所提供的保证金账户之一中，开标前（服务时间）到账为准。招标结束投标保证金本息一并退还。</w:t>
      </w:r>
    </w:p>
    <w:p w14:paraId="28A13CD8">
      <w:pPr>
        <w:keepNext w:val="0"/>
        <w:keepLines w:val="0"/>
        <w:pageBreakBefore w:val="0"/>
        <w:widowControl w:val="0"/>
        <w:kinsoku/>
        <w:wordWrap w:val="0"/>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保证金账户（选择一家银行进行缴费）：</w:t>
      </w:r>
    </w:p>
    <w:tbl>
      <w:tblPr>
        <w:tblStyle w:val="22"/>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1"/>
        <w:gridCol w:w="2414"/>
        <w:gridCol w:w="2914"/>
        <w:gridCol w:w="2573"/>
      </w:tblGrid>
      <w:tr w14:paraId="3C43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341" w:type="dxa"/>
            <w:shd w:val="clear" w:color="auto" w:fill="D8D8D8"/>
            <w:noWrap w:val="0"/>
            <w:tcMar>
              <w:top w:w="0" w:type="dxa"/>
              <w:left w:w="108" w:type="dxa"/>
              <w:bottom w:w="0" w:type="dxa"/>
              <w:right w:w="108" w:type="dxa"/>
            </w:tcMar>
            <w:vAlign w:val="center"/>
          </w:tcPr>
          <w:p w14:paraId="1DAA7E63">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银行类别</w:t>
            </w:r>
          </w:p>
        </w:tc>
        <w:tc>
          <w:tcPr>
            <w:tcW w:w="2414" w:type="dxa"/>
            <w:shd w:val="clear" w:color="auto" w:fill="D8D8D8"/>
            <w:noWrap w:val="0"/>
            <w:tcMar>
              <w:top w:w="0" w:type="dxa"/>
              <w:left w:w="108" w:type="dxa"/>
              <w:bottom w:w="0" w:type="dxa"/>
              <w:right w:w="108" w:type="dxa"/>
            </w:tcMar>
            <w:vAlign w:val="center"/>
          </w:tcPr>
          <w:p w14:paraId="1CA528D5">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户名</w:t>
            </w:r>
          </w:p>
        </w:tc>
        <w:tc>
          <w:tcPr>
            <w:tcW w:w="2914" w:type="dxa"/>
            <w:shd w:val="clear" w:color="auto" w:fill="D8D8D8"/>
            <w:noWrap w:val="0"/>
            <w:tcMar>
              <w:top w:w="0" w:type="dxa"/>
              <w:left w:w="108" w:type="dxa"/>
              <w:bottom w:w="0" w:type="dxa"/>
              <w:right w:w="108" w:type="dxa"/>
            </w:tcMar>
            <w:vAlign w:val="center"/>
          </w:tcPr>
          <w:p w14:paraId="539B512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账号</w:t>
            </w:r>
          </w:p>
        </w:tc>
        <w:tc>
          <w:tcPr>
            <w:tcW w:w="2573" w:type="dxa"/>
            <w:shd w:val="clear" w:color="auto" w:fill="D8D8D8"/>
            <w:noWrap w:val="0"/>
            <w:tcMar>
              <w:top w:w="0" w:type="dxa"/>
              <w:left w:w="108" w:type="dxa"/>
              <w:bottom w:w="0" w:type="dxa"/>
              <w:right w:w="108" w:type="dxa"/>
            </w:tcMar>
            <w:vAlign w:val="center"/>
          </w:tcPr>
          <w:p w14:paraId="6883472C">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开户银行</w:t>
            </w:r>
          </w:p>
        </w:tc>
      </w:tr>
      <w:tr w14:paraId="021B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14471B03">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2B851F7D">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3395255E">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eastAsia" w:eastAsia="宋体"/>
                <w:color w:val="000000" w:themeColor="text1"/>
                <w:sz w:val="21"/>
                <w:szCs w:val="21"/>
                <w:highlight w:val="none"/>
                <w:lang w:val="en-US" w:eastAsia="zh-CN"/>
                <w14:textFill>
                  <w14:solidFill>
                    <w14:schemeClr w14:val="tx1"/>
                  </w14:solidFill>
                </w14:textFill>
              </w:rPr>
            </w:pPr>
          </w:p>
        </w:tc>
        <w:tc>
          <w:tcPr>
            <w:tcW w:w="2573" w:type="dxa"/>
            <w:noWrap w:val="0"/>
            <w:tcMar>
              <w:top w:w="0" w:type="dxa"/>
              <w:left w:w="108" w:type="dxa"/>
              <w:bottom w:w="0" w:type="dxa"/>
              <w:right w:w="108" w:type="dxa"/>
            </w:tcMar>
            <w:vAlign w:val="center"/>
          </w:tcPr>
          <w:p w14:paraId="4DE8B925">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r>
      <w:tr w14:paraId="6675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3E56F861">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66DF10A6">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4E82B509">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573" w:type="dxa"/>
            <w:noWrap w:val="0"/>
            <w:tcMar>
              <w:top w:w="0" w:type="dxa"/>
              <w:left w:w="108" w:type="dxa"/>
              <w:bottom w:w="0" w:type="dxa"/>
              <w:right w:w="108" w:type="dxa"/>
            </w:tcMar>
            <w:vAlign w:val="center"/>
          </w:tcPr>
          <w:p w14:paraId="57AC1388">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r>
      <w:tr w14:paraId="4167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020D08CC">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0FA446C0">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5F03FE3D">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573" w:type="dxa"/>
            <w:noWrap w:val="0"/>
            <w:tcMar>
              <w:top w:w="0" w:type="dxa"/>
              <w:left w:w="108" w:type="dxa"/>
              <w:bottom w:w="0" w:type="dxa"/>
              <w:right w:w="108" w:type="dxa"/>
            </w:tcMar>
            <w:vAlign w:val="center"/>
          </w:tcPr>
          <w:p w14:paraId="51ECE972">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r>
      <w:tr w14:paraId="1241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4AF1FA05">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721B4BB4">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1DA34161">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573" w:type="dxa"/>
            <w:noWrap w:val="0"/>
            <w:tcMar>
              <w:top w:w="0" w:type="dxa"/>
              <w:left w:w="108" w:type="dxa"/>
              <w:bottom w:w="0" w:type="dxa"/>
              <w:right w:w="108" w:type="dxa"/>
            </w:tcMar>
            <w:vAlign w:val="center"/>
          </w:tcPr>
          <w:p w14:paraId="104C8E8F">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r>
      <w:tr w14:paraId="7716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2BFD0B00">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5AD782D7">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1BD36EF8">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573" w:type="dxa"/>
            <w:noWrap w:val="0"/>
            <w:tcMar>
              <w:top w:w="0" w:type="dxa"/>
              <w:left w:w="108" w:type="dxa"/>
              <w:bottom w:w="0" w:type="dxa"/>
              <w:right w:w="108" w:type="dxa"/>
            </w:tcMar>
            <w:vAlign w:val="center"/>
          </w:tcPr>
          <w:p w14:paraId="4C52E27D">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r>
      <w:tr w14:paraId="7558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9242" w:type="dxa"/>
            <w:gridSpan w:val="4"/>
            <w:noWrap w:val="0"/>
            <w:tcMar>
              <w:top w:w="0" w:type="dxa"/>
              <w:left w:w="108" w:type="dxa"/>
              <w:bottom w:w="0" w:type="dxa"/>
              <w:right w:w="108" w:type="dxa"/>
            </w:tcMar>
            <w:vAlign w:val="center"/>
          </w:tcPr>
          <w:p w14:paraId="406FE2C2">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注：以上账户的账号仅为本项目本次招标活动使用，其他项目或本项目的另次开标均会变动，请投标人注意核对每次的账号，确认无误后转入。</w:t>
            </w:r>
          </w:p>
        </w:tc>
      </w:tr>
    </w:tbl>
    <w:p w14:paraId="37641B95">
      <w:pPr>
        <w:pageBreakBefore w:val="0"/>
        <w:kinsoku/>
        <w:wordWrap w:val="0"/>
        <w:overflowPunct/>
        <w:bidi w:val="0"/>
        <w:spacing w:before="312" w:beforeLines="100" w:line="380" w:lineRule="exact"/>
        <w:ind w:firstLine="437"/>
        <w:jc w:val="right"/>
        <w:rPr>
          <w:rFonts w:hint="eastAsia" w:ascii="宋体" w:hAnsi="宋体" w:eastAsia="宋体" w:cs="宋体"/>
          <w:color w:val="000000" w:themeColor="text1"/>
          <w:szCs w:val="21"/>
          <w:highlight w:val="none"/>
          <w:u w:val="single"/>
          <w14:textFill>
            <w14:solidFill>
              <w14:schemeClr w14:val="tx1"/>
            </w14:solidFill>
          </w14:textFill>
        </w:rPr>
      </w:pPr>
    </w:p>
    <w:p w14:paraId="5C082B84">
      <w:pPr>
        <w:pageBreakBefore w:val="0"/>
        <w:kinsoku/>
        <w:wordWrap w:val="0"/>
        <w:overflowPunct/>
        <w:bidi w:val="0"/>
        <w:spacing w:before="312" w:beforeLines="100" w:line="380" w:lineRule="exact"/>
        <w:ind w:firstLine="437"/>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日 </w:t>
      </w:r>
    </w:p>
    <w:p w14:paraId="26A762D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u w:val="single"/>
          <w:lang w:eastAsia="zh-CN"/>
          <w14:textFill>
            <w14:solidFill>
              <w14:schemeClr w14:val="tx1"/>
            </w14:solidFill>
          </w14:textFill>
        </w:rPr>
      </w:pPr>
    </w:p>
    <w:p w14:paraId="650B2EEC">
      <w:pPr>
        <w:pageBreakBefore w:val="0"/>
        <w:kinsoku/>
        <w:wordWrap w:val="0"/>
        <w:overflowPunct/>
        <w:bidi w:val="0"/>
        <w:rPr>
          <w:rFonts w:hint="eastAsia" w:ascii="Times New Roman" w:hAnsi="Times New Roman" w:eastAsia="黑体" w:cs="黑体"/>
          <w:bCs/>
          <w:smallCaps w:val="0"/>
          <w:snapToGrid w:val="0"/>
          <w:color w:val="000000" w:themeColor="text1"/>
          <w:kern w:val="2"/>
          <w:sz w:val="32"/>
          <w:szCs w:val="32"/>
          <w:highlight w:val="none"/>
          <w:lang w:val="en-US" w:eastAsia="zh-CN" w:bidi="ar-SA"/>
          <w14:textFill>
            <w14:solidFill>
              <w14:schemeClr w14:val="tx1"/>
            </w14:solidFill>
          </w14:textFill>
        </w:rPr>
      </w:pPr>
      <w:bookmarkStart w:id="45" w:name="_Toc20357"/>
      <w:bookmarkStart w:id="46" w:name="_Toc25905"/>
      <w:r>
        <w:rPr>
          <w:rFonts w:hint="eastAsia" w:ascii="Times New Roman" w:hAnsi="Times New Roman" w:eastAsia="黑体" w:cs="黑体"/>
          <w:bCs/>
          <w:smallCaps w:val="0"/>
          <w:snapToGrid w:val="0"/>
          <w:color w:val="000000" w:themeColor="text1"/>
          <w:kern w:val="2"/>
          <w:sz w:val="32"/>
          <w:szCs w:val="32"/>
          <w:highlight w:val="none"/>
          <w:lang w:val="en-US" w:eastAsia="zh-CN" w:bidi="ar-SA"/>
          <w14:textFill>
            <w14:solidFill>
              <w14:schemeClr w14:val="tx1"/>
            </w14:solidFill>
          </w14:textFill>
        </w:rPr>
        <w:br w:type="page"/>
      </w:r>
    </w:p>
    <w:p w14:paraId="6962332A">
      <w:pPr>
        <w:pStyle w:val="40"/>
        <w:pageBreakBefore w:val="0"/>
        <w:numPr>
          <w:ilvl w:val="0"/>
          <w:numId w:val="0"/>
        </w:numPr>
        <w:kinsoku/>
        <w:wordWrap w:val="0"/>
        <w:overflowPunct/>
        <w:bidi w:val="0"/>
        <w:rPr>
          <w:rFonts w:hint="eastAsia" w:ascii="黑体" w:hAnsi="黑体" w:eastAsia="黑体" w:cs="黑体"/>
          <w:bCs/>
          <w:snapToGrid w:val="0"/>
          <w:color w:val="000000" w:themeColor="text1"/>
          <w:kern w:val="2"/>
          <w:sz w:val="32"/>
          <w:szCs w:val="32"/>
          <w:highlight w:val="none"/>
          <w:lang w:val="en-US" w:eastAsia="zh-CN" w:bidi="ar-SA"/>
          <w14:textFill>
            <w14:solidFill>
              <w14:schemeClr w14:val="tx1"/>
            </w14:solidFill>
          </w14:textFill>
        </w:rPr>
      </w:pPr>
      <w:bookmarkStart w:id="47" w:name="_Toc26373"/>
      <w:r>
        <w:rPr>
          <w:rFonts w:hint="eastAsia" w:ascii="黑体" w:hAnsi="黑体" w:eastAsia="黑体" w:cs="黑体"/>
          <w:bCs/>
          <w:snapToGrid w:val="0"/>
          <w:color w:val="000000" w:themeColor="text1"/>
          <w:kern w:val="2"/>
          <w:sz w:val="32"/>
          <w:szCs w:val="32"/>
          <w:highlight w:val="none"/>
          <w:lang w:val="en-US" w:eastAsia="zh-CN" w:bidi="ar-SA"/>
          <w14:textFill>
            <w14:solidFill>
              <w14:schemeClr w14:val="tx1"/>
            </w14:solidFill>
          </w14:textFill>
        </w:rPr>
        <w:t>第一章 投标邀请书（适用于邀请招标）</w:t>
      </w:r>
      <w:bookmarkEnd w:id="45"/>
      <w:bookmarkEnd w:id="46"/>
      <w:bookmarkEnd w:id="47"/>
    </w:p>
    <w:p w14:paraId="5328DC7B">
      <w:pPr>
        <w:pStyle w:val="40"/>
        <w:pageBreakBefore w:val="0"/>
        <w:kinsoku/>
        <w:wordWrap w:val="0"/>
        <w:overflowPunct/>
        <w:bidi w:val="0"/>
        <w:outlineLvl w:val="9"/>
        <w:rPr>
          <w:rStyle w:val="39"/>
          <w:rFonts w:hint="default" w:ascii="Times New Roman" w:hAnsi="Times New Roman"/>
          <w:bCs/>
          <w:smallCaps w:val="0"/>
          <w:color w:val="000000" w:themeColor="text1"/>
          <w:highlight w:val="none"/>
          <w:lang w:val="en-US" w:eastAsia="zh-CN"/>
          <w14:textFill>
            <w14:solidFill>
              <w14:schemeClr w14:val="tx1"/>
            </w14:solidFill>
          </w14:textFill>
        </w:rPr>
      </w:pPr>
    </w:p>
    <w:p w14:paraId="44A16807">
      <w:pPr>
        <w:pStyle w:val="6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bookmarkStart w:id="48" w:name="_Toc7720"/>
      <w:bookmarkStart w:id="49" w:name="_Toc17302"/>
      <w:bookmarkStart w:id="50" w:name="_Toc10629"/>
      <w:bookmarkStart w:id="51" w:name="_Toc21609"/>
      <w:bookmarkStart w:id="52" w:name="_Toc6948"/>
      <w:bookmarkStart w:id="53" w:name="_Toc6979"/>
      <w:r>
        <w:rPr>
          <w:rFonts w:hint="eastAsia" w:ascii="Times New Roman" w:hAnsi="Times New Roman"/>
          <w:smallCaps w:val="0"/>
          <w:color w:val="000000" w:themeColor="text1"/>
          <w:highlight w:val="none"/>
          <w14:textFill>
            <w14:solidFill>
              <w14:schemeClr w14:val="tx1"/>
            </w14:solidFill>
          </w14:textFill>
        </w:rPr>
        <w:t>（招标项目名称）</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bookmarkEnd w:id="48"/>
      <w:bookmarkEnd w:id="49"/>
      <w:bookmarkEnd w:id="50"/>
      <w:bookmarkEnd w:id="51"/>
      <w:bookmarkEnd w:id="52"/>
      <w:bookmarkEnd w:id="53"/>
    </w:p>
    <w:p w14:paraId="68782254">
      <w:pPr>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p>
    <w:p w14:paraId="36C3DEC1">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bookmarkStart w:id="54" w:name="_Toc16732"/>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bookmarkStart w:id="55" w:name="_Toc21074"/>
      <w:bookmarkStart w:id="56" w:name="_Toc32118"/>
      <w:bookmarkStart w:id="57" w:name="_Toc11165"/>
      <w:bookmarkStart w:id="58" w:name="_Toc28719"/>
      <w:bookmarkStart w:id="59" w:name="_Toc18602"/>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被邀请单位名称</w:t>
      </w:r>
      <w:r>
        <w:rPr>
          <w:rFonts w:hint="eastAsia" w:ascii="Times New Roman" w:hAnsi="Times New Roman"/>
          <w:smallCaps w:val="0"/>
          <w:color w:val="000000" w:themeColor="text1"/>
          <w:highlight w:val="none"/>
          <w:lang w:eastAsia="zh-CN"/>
          <w14:textFill>
            <w14:solidFill>
              <w14:schemeClr w14:val="tx1"/>
            </w14:solidFill>
          </w14:textFill>
        </w:rPr>
        <w:t>）</w:t>
      </w:r>
      <w:bookmarkEnd w:id="54"/>
      <w:bookmarkEnd w:id="55"/>
      <w:bookmarkEnd w:id="56"/>
      <w:bookmarkEnd w:id="57"/>
      <w:bookmarkEnd w:id="58"/>
      <w:bookmarkEnd w:id="59"/>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1A1626F">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60" w:name="_Toc866"/>
      <w:bookmarkStart w:id="61" w:name="_Toc12087"/>
      <w:bookmarkStart w:id="62" w:name="_Toc22017"/>
      <w:r>
        <w:rPr>
          <w:rFonts w:hint="eastAsia" w:ascii="Times New Roman" w:hAnsi="Times New Roman"/>
          <w:smallCaps w:val="0"/>
          <w:color w:val="000000" w:themeColor="text1"/>
          <w:highlight w:val="none"/>
          <w14:textFill>
            <w14:solidFill>
              <w14:schemeClr w14:val="tx1"/>
            </w14:solidFill>
          </w14:textFill>
        </w:rPr>
        <w:t>1. 招标条件</w:t>
      </w:r>
      <w:bookmarkEnd w:id="60"/>
      <w:bookmarkEnd w:id="61"/>
      <w:bookmarkEnd w:id="62"/>
    </w:p>
    <w:p w14:paraId="196A020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 项目名称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C7C7BA4">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 项目审批、核准或备案机关名称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937908D">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 批文名称及编号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9AAFCB0">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 xml:space="preserve">1.4 </w:t>
      </w:r>
      <w:r>
        <w:rPr>
          <w:rFonts w:hint="eastAsia" w:ascii="宋体" w:hAnsi="宋体" w:eastAsia="宋体" w:cs="宋体"/>
          <w:color w:val="000000" w:themeColor="text1"/>
          <w:highlight w:val="none"/>
          <w14:textFill>
            <w14:solidFill>
              <w14:schemeClr w14:val="tx1"/>
            </w14:solidFill>
          </w14:textFill>
        </w:rPr>
        <w:t>项目代码</w:t>
      </w:r>
      <w:r>
        <w:rPr>
          <w:rFonts w:hint="eastAsia" w:ascii="宋体" w:hAnsi="宋体" w:eastAsia="宋体" w:cs="宋体"/>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6A1A859">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 xml:space="preserve"> 招标人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EE8D019">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6</w:t>
      </w:r>
      <w:r>
        <w:rPr>
          <w:rFonts w:hint="eastAsia" w:ascii="Times New Roman" w:hAnsi="Times New Roman"/>
          <w:smallCaps w:val="0"/>
          <w:color w:val="000000" w:themeColor="text1"/>
          <w:highlight w:val="none"/>
          <w14:textFill>
            <w14:solidFill>
              <w14:schemeClr w14:val="tx1"/>
            </w14:solidFill>
          </w14:textFill>
        </w:rPr>
        <w:t xml:space="preserve"> 项目业主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14D765C">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7</w:t>
      </w:r>
      <w:r>
        <w:rPr>
          <w:rFonts w:hint="eastAsia" w:ascii="Times New Roman" w:hAnsi="Times New Roman"/>
          <w:smallCaps w:val="0"/>
          <w:color w:val="000000" w:themeColor="text1"/>
          <w:highlight w:val="none"/>
          <w14:textFill>
            <w14:solidFill>
              <w14:schemeClr w14:val="tx1"/>
            </w14:solidFill>
          </w14:textFill>
        </w:rPr>
        <w:t xml:space="preserve"> 资金来源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4C19A9A">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 xml:space="preserve">8 </w:t>
      </w:r>
      <w:r>
        <w:rPr>
          <w:rFonts w:hint="eastAsia" w:ascii="Times New Roman" w:hAnsi="Times New Roman"/>
          <w:smallCaps w:val="0"/>
          <w:color w:val="000000" w:themeColor="text1"/>
          <w:highlight w:val="none"/>
          <w14:textFill>
            <w14:solidFill>
              <w14:schemeClr w14:val="tx1"/>
            </w14:solidFill>
          </w14:textFill>
        </w:rPr>
        <w:t>项目出资比例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B6D63C2">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63" w:name="_Toc5014"/>
      <w:bookmarkStart w:id="64" w:name="_Toc16400"/>
      <w:bookmarkStart w:id="65" w:name="_Toc23175"/>
      <w:r>
        <w:rPr>
          <w:rFonts w:hint="eastAsia" w:ascii="Times New Roman" w:hAnsi="Times New Roman"/>
          <w:smallCaps w:val="0"/>
          <w:color w:val="000000" w:themeColor="text1"/>
          <w:highlight w:val="none"/>
          <w14:textFill>
            <w14:solidFill>
              <w14:schemeClr w14:val="tx1"/>
            </w14:solidFill>
          </w14:textFill>
        </w:rPr>
        <w:t>2. 项目概况与招标范围</w:t>
      </w:r>
      <w:bookmarkEnd w:id="63"/>
      <w:bookmarkEnd w:id="64"/>
      <w:bookmarkEnd w:id="65"/>
    </w:p>
    <w:p w14:paraId="467F95AA">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 招标项目名称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F235530">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 招标项目编号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D9ABFE3">
      <w:pPr>
        <w:pStyle w:val="79"/>
        <w:keepNext w:val="0"/>
        <w:keepLines w:val="0"/>
        <w:pageBreakBefore w:val="0"/>
        <w:widowControl w:val="0"/>
        <w:kinsoku/>
        <w:wordWrap w:val="0"/>
        <w:overflowPunct/>
        <w:topLinePunct w:val="0"/>
        <w:autoSpaceDE/>
        <w:autoSpaceDN/>
        <w:bidi w:val="0"/>
        <w:adjustRightInd/>
        <w:snapToGrid/>
        <w:ind w:left="0" w:lef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2.3 标段划分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58F722D">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2.4 招标项目标段编号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6E6D0CF">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2.5 建设地点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0DFCC1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2.6 建设规模</w:t>
      </w:r>
      <w:r>
        <w:rPr>
          <w:rStyle w:val="28"/>
          <w:rFonts w:hint="eastAsia" w:ascii="Times New Roman" w:hAnsi="Times New Roman"/>
          <w:smallCaps w:val="0"/>
          <w:color w:val="000000" w:themeColor="text1"/>
          <w:highlight w:val="none"/>
          <w14:textFill>
            <w14:solidFill>
              <w14:schemeClr w14:val="tx1"/>
            </w14:solidFill>
          </w14:textFill>
        </w:rPr>
        <w:footnoteReference w:id="10"/>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B51B846">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2.7 合同估算价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446A2B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2.8 计划工期</w:t>
      </w:r>
      <w:r>
        <w:rPr>
          <w:rFonts w:hint="eastAsia" w:ascii="Times New Roman" w:hAnsi="Times New Roman"/>
          <w:smallCaps w:val="0"/>
          <w:color w:val="000000" w:themeColor="text1"/>
          <w:highlight w:val="none"/>
          <w:vertAlign w:val="superscript"/>
          <w14:textFill>
            <w14:solidFill>
              <w14:schemeClr w14:val="tx1"/>
            </w14:solidFill>
          </w14:textFill>
        </w:rPr>
        <w:footnoteReference w:id="11"/>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2C33AA4">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2.9 招标范围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540C765">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2.10 项目类别</w:t>
      </w:r>
      <w:r>
        <w:rPr>
          <w:rFonts w:hint="eastAsia" w:ascii="Times New Roman" w:hAnsi="Times New Roman"/>
          <w:smallCaps w:val="0"/>
          <w:color w:val="000000" w:themeColor="text1"/>
          <w:highlight w:val="none"/>
          <w:vertAlign w:val="superscript"/>
          <w14:textFill>
            <w14:solidFill>
              <w14:schemeClr w14:val="tx1"/>
            </w14:solidFill>
          </w14:textFill>
        </w:rPr>
        <w:footnoteReference w:id="12"/>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CA2579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 其他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FF4D0F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p>
    <w:p w14:paraId="2B1C3216">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66" w:name="_Toc24008"/>
      <w:bookmarkStart w:id="67" w:name="_Toc16583"/>
      <w:bookmarkStart w:id="68" w:name="_Toc12481"/>
      <w:r>
        <w:rPr>
          <w:rFonts w:hint="eastAsia" w:ascii="Times New Roman" w:hAnsi="Times New Roman"/>
          <w:smallCaps w:val="0"/>
          <w:color w:val="000000" w:themeColor="text1"/>
          <w:highlight w:val="none"/>
          <w14:textFill>
            <w14:solidFill>
              <w14:schemeClr w14:val="tx1"/>
            </w14:solidFill>
          </w14:textFill>
        </w:rPr>
        <w:t>3. 投标人资格要求</w:t>
      </w:r>
      <w:r>
        <w:rPr>
          <w:rFonts w:hint="eastAsia" w:ascii="Times New Roman" w:hAnsi="Times New Roman"/>
          <w:smallCaps w:val="0"/>
          <w:color w:val="000000" w:themeColor="text1"/>
          <w:highlight w:val="none"/>
          <w:vertAlign w:val="superscript"/>
          <w14:textFill>
            <w14:solidFill>
              <w14:schemeClr w14:val="tx1"/>
            </w14:solidFill>
          </w14:textFill>
        </w:rPr>
        <w:footnoteReference w:id="13"/>
      </w:r>
    </w:p>
    <w:p w14:paraId="34C36E6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 投标人资质要求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投标人须具备</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资质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且具备有效的安全生产许可证</w:t>
      </w:r>
      <w:r>
        <w:rPr>
          <w:rFonts w:hint="eastAsia" w:ascii="Times New Roman" w:hAnsi="Times New Roman"/>
          <w:smallCaps w:val="0"/>
          <w:color w:val="000000" w:themeColor="text1"/>
          <w:highlight w:val="none"/>
          <w:vertAlign w:val="superscript"/>
          <w:lang w:val="en-US" w:eastAsia="zh-CN"/>
          <w14:textFill>
            <w14:solidFill>
              <w14:schemeClr w14:val="tx1"/>
            </w14:solidFill>
          </w14:textFill>
        </w:rPr>
        <w:footnoteReference w:id="14"/>
      </w:r>
      <w:r>
        <w:rPr>
          <w:rFonts w:hint="eastAsia" w:ascii="Times New Roman" w:hAnsi="Times New Roman"/>
          <w:smallCaps w:val="0"/>
          <w:color w:val="000000" w:themeColor="text1"/>
          <w:highlight w:val="none"/>
          <w14:textFill>
            <w14:solidFill>
              <w14:schemeClr w14:val="tx1"/>
            </w14:solidFill>
          </w14:textFill>
        </w:rPr>
        <w:t>。</w:t>
      </w:r>
    </w:p>
    <w:p w14:paraId="4809FA30">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3.2 投标人业绩要</w:t>
      </w:r>
      <w:r>
        <w:rPr>
          <w:rFonts w:hint="eastAsia" w:ascii="Times New Roman" w:hAnsi="Times New Roman"/>
          <w:smallCaps w:val="0"/>
          <w:color w:val="000000" w:themeColor="text1"/>
          <w:highlight w:val="none"/>
          <w14:textFill>
            <w14:solidFill>
              <w14:schemeClr w14:val="tx1"/>
            </w14:solidFill>
          </w14:textFill>
        </w:rPr>
        <w:t>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0BBCFDF">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 项目经理资格要求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投标人拟委任项目经理须具备</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（专业及级别</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注册建造师资格，具备有效的安全生产考核合格(B类)证书</w:t>
      </w:r>
      <w:r>
        <w:rPr>
          <w:rFonts w:hint="eastAsia" w:ascii="Times New Roman" w:hAnsi="Times New Roman"/>
          <w:smallCaps w:val="0"/>
          <w:color w:val="000000" w:themeColor="text1"/>
          <w:highlight w:val="none"/>
          <w:vertAlign w:val="superscript"/>
          <w14:textFill>
            <w14:solidFill>
              <w14:schemeClr w14:val="tx1"/>
            </w14:solidFill>
          </w14:textFill>
        </w:rPr>
        <w:footnoteReference w:id="15"/>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且目前未在其他项目上任职或虽在其他项目上任职但本项目中标后能够从该项目撤离。</w:t>
      </w:r>
      <w:r>
        <w:rPr>
          <w:rFonts w:hint="eastAsia" w:ascii="Times New Roman" w:hAnsi="Times New Roman"/>
          <w:smallCaps w:val="0"/>
          <w:color w:val="000000" w:themeColor="text1"/>
          <w:highlight w:val="none"/>
          <w:lang w:eastAsia="zh-CN"/>
          <w14:textFill>
            <w14:solidFill>
              <w14:schemeClr w14:val="tx1"/>
            </w14:solidFill>
          </w14:textFill>
        </w:rPr>
        <w:t>保证项目经理与投标人已建立劳动关系，并提供 投标相关人员社保声明函 或 社保缴纳记录（社保声明函与社保缴纳记录的时间范围至少为投标截止时间前半年内任意连续3个月）。如为事业单位的须提供注册地县级及以上行政主管部门、人力资源和社会保障或编制部门出具的有效证明其属事业编制身份、在该单位从业的证明文件。拟派项目经理提供到岗履约承诺书（按照投标文件格式的内容进行承诺）。社保证明材料包括但不限于养老保险，如为退休人员，应提供人设部门颁发的退休证明材料。</w:t>
      </w:r>
    </w:p>
    <w:p w14:paraId="7B7EF23D">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 项目经理业绩要求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07D1A5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 投标人财务要求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p>
    <w:p w14:paraId="3EE15A5F">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u w:val="singl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3.6 投标人信誉要求</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5BDEDCFD">
      <w:pPr>
        <w:pageBreakBefore w:val="0"/>
        <w:kinsoku/>
        <w:wordWrap w:val="0"/>
        <w:overflowPunct/>
        <w:bidi w:val="0"/>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投标人按照信誉要求提供 </w:t>
      </w:r>
      <w:r>
        <w:rPr>
          <w:rFonts w:hint="eastAsia" w:ascii="宋体" w:hAnsi="宋体" w:eastAsia="宋体" w:cs="宋体"/>
          <w:b/>
          <w:color w:val="000000" w:themeColor="text1"/>
          <w:sz w:val="21"/>
          <w:szCs w:val="21"/>
          <w:highlight w:val="none"/>
          <w14:textFill>
            <w14:solidFill>
              <w14:schemeClr w14:val="tx1"/>
            </w14:solidFill>
          </w14:textFill>
        </w:rPr>
        <w:t>①～</w:t>
      </w:r>
      <w:r>
        <w:rPr>
          <w:rFonts w:hint="eastAsia" w:ascii="宋体" w:hAnsi="宋体" w:cs="宋体"/>
          <w:b/>
          <w:color w:val="000000" w:themeColor="text1"/>
          <w:kern w:val="0"/>
          <w:sz w:val="21"/>
          <w:szCs w:val="21"/>
          <w:highlight w:val="none"/>
          <w:lang w:val="en-US" w:eastAsia="zh-CN"/>
          <w14:textFill>
            <w14:solidFill>
              <w14:schemeClr w14:val="tx1"/>
            </w14:solidFill>
          </w14:textFill>
        </w:rPr>
        <w:t>④</w:t>
      </w:r>
      <w:r>
        <w:rPr>
          <w:rFonts w:hint="eastAsia" w:ascii="宋体" w:hAnsi="宋体" w:eastAsia="宋体" w:cs="宋体"/>
          <w:b/>
          <w:color w:val="000000" w:themeColor="text1"/>
          <w:sz w:val="21"/>
          <w:szCs w:val="21"/>
          <w:highlight w:val="none"/>
          <w14:textFill>
            <w14:solidFill>
              <w14:schemeClr w14:val="tx1"/>
            </w14:solidFill>
          </w14:textFill>
        </w:rPr>
        <w:t xml:space="preserve">对应网站的信誉查询截图 </w:t>
      </w:r>
      <w:r>
        <w:rPr>
          <w:rFonts w:hint="eastAsia" w:ascii="宋体" w:hAnsi="宋体" w:cs="宋体"/>
          <w:bCs/>
          <w:color w:val="000000" w:themeColor="text1"/>
          <w:sz w:val="21"/>
          <w:szCs w:val="21"/>
          <w:highlight w:val="none"/>
          <w:lang w:val="en-US" w:eastAsia="zh-CN"/>
          <w14:textFill>
            <w14:solidFill>
              <w14:schemeClr w14:val="tx1"/>
            </w14:solidFill>
          </w14:textFill>
        </w:rPr>
        <w:t xml:space="preserve">或按照招标文件格式提供 </w:t>
      </w:r>
      <w:r>
        <w:rPr>
          <w:rFonts w:hint="eastAsia" w:ascii="宋体" w:hAnsi="宋体" w:cs="宋体"/>
          <w:b/>
          <w:bCs w:val="0"/>
          <w:color w:val="000000" w:themeColor="text1"/>
          <w:sz w:val="21"/>
          <w:szCs w:val="21"/>
          <w:highlight w:val="none"/>
          <w:lang w:val="en-US" w:eastAsia="zh-CN"/>
          <w14:textFill>
            <w14:solidFill>
              <w14:schemeClr w14:val="tx1"/>
            </w14:solidFill>
          </w14:textFill>
        </w:rPr>
        <w:t>信誉</w:t>
      </w:r>
      <w:r>
        <w:rPr>
          <w:rFonts w:hint="eastAsia" w:ascii="宋体" w:hAnsi="宋体" w:eastAsia="宋体" w:cs="宋体"/>
          <w:b/>
          <w:bCs/>
          <w:color w:val="000000" w:themeColor="text1"/>
          <w:sz w:val="21"/>
          <w:szCs w:val="21"/>
          <w:highlight w:val="none"/>
          <w14:textFill>
            <w14:solidFill>
              <w14:schemeClr w14:val="tx1"/>
            </w14:solidFill>
          </w14:textFill>
        </w:rPr>
        <w:t>承诺书</w:t>
      </w:r>
      <w:r>
        <w:rPr>
          <w:rFonts w:hint="eastAsia" w:ascii="宋体" w:hAnsi="宋体" w:eastAsia="宋体" w:cs="宋体"/>
          <w:b/>
          <w:color w:val="000000" w:themeColor="text1"/>
          <w:sz w:val="21"/>
          <w:szCs w:val="21"/>
          <w:highlight w:val="none"/>
          <w14:textFill>
            <w14:solidFill>
              <w14:schemeClr w14:val="tx1"/>
            </w14:solidFill>
          </w14:textFill>
        </w:rPr>
        <w:t xml:space="preserve"> </w:t>
      </w:r>
      <w:r>
        <w:rPr>
          <w:rFonts w:hint="eastAsia" w:ascii="宋体" w:hAnsi="宋体" w:cs="宋体"/>
          <w:b/>
          <w:color w:val="000000" w:themeColor="text1"/>
          <w:sz w:val="21"/>
          <w:szCs w:val="21"/>
          <w:highlight w:val="none"/>
          <w:lang w:eastAsia="zh-CN"/>
          <w14:textFill>
            <w14:solidFill>
              <w14:schemeClr w14:val="tx1"/>
            </w14:solidFill>
          </w14:textFill>
        </w:rPr>
        <w:t>（</w:t>
      </w:r>
      <w:r>
        <w:rPr>
          <w:rFonts w:hint="eastAsia" w:ascii="宋体" w:hAnsi="宋体" w:cs="宋体"/>
          <w:b/>
          <w:color w:val="000000" w:themeColor="text1"/>
          <w:sz w:val="21"/>
          <w:szCs w:val="21"/>
          <w:highlight w:val="none"/>
          <w:lang w:val="en-US" w:eastAsia="zh-CN"/>
          <w14:textFill>
            <w14:solidFill>
              <w14:schemeClr w14:val="tx1"/>
            </w14:solidFill>
          </w14:textFill>
        </w:rPr>
        <w:t>联合体投标的，联合体各方均需满足信誉要求</w:t>
      </w:r>
      <w:r>
        <w:rPr>
          <w:rFonts w:hint="eastAsia" w:ascii="宋体" w:hAnsi="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p>
    <w:p w14:paraId="3A8AA1BD">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①</w:t>
      </w:r>
      <w:r>
        <w:rPr>
          <w:rFonts w:hint="eastAsia" w:ascii="宋体" w:hAnsi="宋体" w:cs="宋体"/>
          <w:color w:val="000000" w:themeColor="text1"/>
          <w:kern w:val="0"/>
          <w:sz w:val="21"/>
          <w:szCs w:val="21"/>
          <w:highlight w:val="none"/>
          <w:lang w:val="en-US" w:eastAsia="zh-CN"/>
          <w14:textFill>
            <w14:solidFill>
              <w14:schemeClr w14:val="tx1"/>
            </w14:solidFill>
          </w14:textFill>
        </w:rPr>
        <w:t>在投标截止时间前，</w:t>
      </w:r>
      <w:r>
        <w:rPr>
          <w:rFonts w:hint="eastAsia" w:ascii="宋体" w:hAnsi="宋体" w:eastAsia="宋体" w:cs="宋体"/>
          <w:color w:val="000000" w:themeColor="text1"/>
          <w:kern w:val="0"/>
          <w:sz w:val="21"/>
          <w:szCs w:val="21"/>
          <w:highlight w:val="none"/>
          <w14:textFill>
            <w14:solidFill>
              <w14:schemeClr w14:val="tx1"/>
            </w14:solidFill>
          </w14:textFill>
        </w:rPr>
        <w:t>未被最高人民法院在“中国执行信息公开网”网站（http://zxgk.court.gov.cn）列</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为</w:t>
      </w:r>
      <w:r>
        <w:rPr>
          <w:rFonts w:hint="eastAsia" w:ascii="宋体" w:hAnsi="宋体" w:eastAsia="宋体" w:cs="宋体"/>
          <w:color w:val="000000" w:themeColor="text1"/>
          <w:kern w:val="0"/>
          <w:sz w:val="21"/>
          <w:szCs w:val="21"/>
          <w:highlight w:val="none"/>
          <w14:textFill>
            <w14:solidFill>
              <w14:schemeClr w14:val="tx1"/>
            </w14:solidFill>
          </w14:textFill>
        </w:rPr>
        <w:t>失信被执行人（可提供</w:t>
      </w:r>
      <w:r>
        <w:rPr>
          <w:rFonts w:hint="eastAsia" w:ascii="宋体" w:hAnsi="宋体" w:cs="宋体"/>
          <w:color w:val="000000" w:themeColor="text1"/>
          <w:kern w:val="0"/>
          <w:sz w:val="21"/>
          <w:szCs w:val="21"/>
          <w:highlight w:val="none"/>
          <w:lang w:val="en-US" w:eastAsia="zh-CN"/>
          <w14:textFill>
            <w14:solidFill>
              <w14:schemeClr w14:val="tx1"/>
            </w14:solidFill>
          </w14:textFill>
        </w:rPr>
        <w:t>“中国执行信息公开网”-“失信被执行人”</w:t>
      </w:r>
      <w:r>
        <w:rPr>
          <w:rFonts w:hint="eastAsia" w:ascii="宋体" w:hAnsi="宋体" w:eastAsia="宋体" w:cs="宋体"/>
          <w:color w:val="000000" w:themeColor="text1"/>
          <w:kern w:val="0"/>
          <w:sz w:val="21"/>
          <w:szCs w:val="21"/>
          <w:highlight w:val="none"/>
          <w14:textFill>
            <w14:solidFill>
              <w14:schemeClr w14:val="tx1"/>
            </w14:solidFill>
          </w14:textFill>
        </w:rPr>
        <w:t>查询截图，无</w:t>
      </w:r>
      <w:r>
        <w:rPr>
          <w:rFonts w:hint="eastAsia" w:ascii="宋体" w:hAnsi="宋体" w:cs="宋体"/>
          <w:color w:val="000000" w:themeColor="text1"/>
          <w:kern w:val="0"/>
          <w:sz w:val="21"/>
          <w:szCs w:val="21"/>
          <w:highlight w:val="none"/>
          <w:lang w:val="en-US" w:eastAsia="zh-CN"/>
          <w14:textFill>
            <w14:solidFill>
              <w14:schemeClr w14:val="tx1"/>
            </w14:solidFill>
          </w14:textFill>
        </w:rPr>
        <w:t>失信被执行人</w:t>
      </w:r>
      <w:r>
        <w:rPr>
          <w:rFonts w:hint="eastAsia" w:ascii="宋体" w:hAnsi="宋体" w:eastAsia="宋体" w:cs="宋体"/>
          <w:color w:val="000000" w:themeColor="text1"/>
          <w:kern w:val="0"/>
          <w:sz w:val="21"/>
          <w:szCs w:val="21"/>
          <w:highlight w:val="none"/>
          <w14:textFill>
            <w14:solidFill>
              <w14:schemeClr w14:val="tx1"/>
            </w14:solidFill>
          </w14:textFill>
        </w:rPr>
        <w:t>惩戒信息）；</w:t>
      </w:r>
    </w:p>
    <w:p w14:paraId="48B00644">
      <w:pPr>
        <w:keepNext w:val="0"/>
        <w:keepLines w:val="0"/>
        <w:pageBreakBefore w:val="0"/>
        <w:kinsoku/>
        <w:wordWrap w:val="0"/>
        <w:overflowPunct/>
        <w:topLinePunct w:val="0"/>
        <w:autoSpaceDE/>
        <w:autoSpaceDN/>
        <w:bidi w:val="0"/>
        <w:adjustRightInd/>
        <w:snapToGrid/>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②</w:t>
      </w:r>
      <w:r>
        <w:rPr>
          <w:rFonts w:hint="eastAsia" w:ascii="宋体" w:hAnsi="宋体" w:cs="宋体"/>
          <w:color w:val="000000" w:themeColor="text1"/>
          <w:kern w:val="0"/>
          <w:sz w:val="21"/>
          <w:szCs w:val="21"/>
          <w:highlight w:val="none"/>
          <w:lang w:val="en-US" w:eastAsia="zh-CN"/>
          <w14:textFill>
            <w14:solidFill>
              <w14:schemeClr w14:val="tx1"/>
            </w14:solidFill>
          </w14:textFill>
        </w:rPr>
        <w:t>在投标截止时间前，</w:t>
      </w:r>
      <w:r>
        <w:rPr>
          <w:rFonts w:hint="eastAsia" w:ascii="宋体" w:hAnsi="宋体" w:eastAsia="宋体" w:cs="宋体"/>
          <w:color w:val="000000" w:themeColor="text1"/>
          <w:kern w:val="0"/>
          <w:sz w:val="21"/>
          <w:szCs w:val="21"/>
          <w:highlight w:val="none"/>
          <w14:textFill>
            <w14:solidFill>
              <w14:schemeClr w14:val="tx1"/>
            </w14:solidFill>
          </w14:textFill>
        </w:rPr>
        <w:t>未被国家市场监督管理部门在国家企业信用信息公示系统（www.gsxt.gov.cn）中列入严重违法失信企业名单。（提供投标人在国家企业信用信息公示系统网页查询截图，严重违法失信一栏中无不良记录）；</w:t>
      </w:r>
    </w:p>
    <w:p w14:paraId="23696965">
      <w:pPr>
        <w:keepNext w:val="0"/>
        <w:keepLines w:val="0"/>
        <w:pageBreakBefore w:val="0"/>
        <w:kinsoku/>
        <w:wordWrap w:val="0"/>
        <w:overflowPunct/>
        <w:topLinePunct w:val="0"/>
        <w:autoSpaceDE/>
        <w:autoSpaceDN/>
        <w:bidi w:val="0"/>
        <w:adjustRightInd/>
        <w:snapToGrid/>
        <w:ind w:firstLine="420" w:firstLineChars="200"/>
        <w:textAlignment w:val="auto"/>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③</w:t>
      </w:r>
      <w:r>
        <w:rPr>
          <w:rFonts w:hint="eastAsia" w:ascii="宋体" w:hAnsi="宋体" w:cs="宋体"/>
          <w:color w:val="000000" w:themeColor="text1"/>
          <w:kern w:val="0"/>
          <w:sz w:val="21"/>
          <w:szCs w:val="21"/>
          <w:highlight w:val="none"/>
          <w:lang w:val="en-US" w:eastAsia="zh-CN"/>
          <w14:textFill>
            <w14:solidFill>
              <w14:schemeClr w14:val="tx1"/>
            </w14:solidFill>
          </w14:textFill>
        </w:rPr>
        <w:t>在投标截止时间前，</w:t>
      </w:r>
      <w:r>
        <w:rPr>
          <w:rFonts w:hint="eastAsia" w:ascii="宋体" w:hAnsi="宋体" w:eastAsia="宋体" w:cs="宋体"/>
          <w:color w:val="000000" w:themeColor="text1"/>
          <w:kern w:val="0"/>
          <w:sz w:val="21"/>
          <w:szCs w:val="21"/>
          <w:highlight w:val="none"/>
          <w14:textFill>
            <w14:solidFill>
              <w14:schemeClr w14:val="tx1"/>
            </w14:solidFill>
          </w14:textFill>
        </w:rPr>
        <w:t>未被全国建筑市场监管公共服务平台（jzsc.mohurd.gov.cn）列入“黑名单记录”（提供全国建筑市场监管公共服务平台“黑名单记录”里的企业查询网页截图）</w:t>
      </w:r>
    </w:p>
    <w:p w14:paraId="7C15765E">
      <w:pPr>
        <w:keepNext w:val="0"/>
        <w:keepLines w:val="0"/>
        <w:pageBreakBefore w:val="0"/>
        <w:kinsoku/>
        <w:wordWrap w:val="0"/>
        <w:overflowPunct/>
        <w:topLinePunct w:val="0"/>
        <w:autoSpaceDE/>
        <w:autoSpaceDN/>
        <w:bidi w:val="0"/>
        <w:adjustRightInd/>
        <w:snapToGrid/>
        <w:ind w:firstLine="420" w:firstLineChars="200"/>
        <w:textAlignment w:val="auto"/>
        <w:rPr>
          <w:color w:val="000000" w:themeColor="text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④在投标截止时间前，</w:t>
      </w:r>
      <w:r>
        <w:rPr>
          <w:rFonts w:hint="eastAsia" w:ascii="Times New Roman" w:hAnsi="Times New Roman"/>
          <w:smallCaps w:val="0"/>
          <w:color w:val="000000" w:themeColor="text1"/>
          <w:sz w:val="21"/>
          <w:szCs w:val="21"/>
          <w:highlight w:val="none"/>
          <w:lang w:val="en-US" w:eastAsia="zh-CN"/>
          <w14:textFill>
            <w14:solidFill>
              <w14:schemeClr w14:val="tx1"/>
            </w14:solidFill>
          </w14:textFill>
        </w:rPr>
        <w:t>未被</w:t>
      </w:r>
      <w:r>
        <w:rPr>
          <w:rFonts w:hint="eastAsia" w:ascii="宋体" w:hAnsi="宋体" w:eastAsia="宋体" w:cs="宋体"/>
          <w:color w:val="000000" w:themeColor="text1"/>
          <w:sz w:val="21"/>
          <w:szCs w:val="21"/>
          <w:highlight w:val="none"/>
          <w14:textFill>
            <w14:solidFill>
              <w14:schemeClr w14:val="tx1"/>
            </w14:solidFill>
          </w14:textFill>
        </w:rPr>
        <w:t>全国建筑市场监管公共服务平台（jzsc.mohurd.gov.cn）</w:t>
      </w:r>
      <w:r>
        <w:rPr>
          <w:rFonts w:hint="eastAsia" w:ascii="宋体" w:hAnsi="宋体" w:cs="宋体"/>
          <w:color w:val="000000" w:themeColor="text1"/>
          <w:sz w:val="21"/>
          <w:szCs w:val="21"/>
          <w:highlight w:val="none"/>
          <w:lang w:val="en-US" w:eastAsia="zh-CN"/>
          <w14:textFill>
            <w14:solidFill>
              <w14:schemeClr w14:val="tx1"/>
            </w14:solidFill>
          </w14:textFill>
        </w:rPr>
        <w:t>标记为“资质异常”企业。（提供企业在</w:t>
      </w:r>
      <w:r>
        <w:rPr>
          <w:rFonts w:hint="eastAsia" w:ascii="宋体" w:hAnsi="宋体" w:eastAsia="宋体" w:cs="宋体"/>
          <w:color w:val="000000" w:themeColor="text1"/>
          <w:sz w:val="21"/>
          <w:szCs w:val="21"/>
          <w:highlight w:val="none"/>
          <w14:textFill>
            <w14:solidFill>
              <w14:schemeClr w14:val="tx1"/>
            </w14:solidFill>
          </w14:textFill>
        </w:rPr>
        <w:t>全国建筑市场监管公共服务平台“</w:t>
      </w:r>
      <w:r>
        <w:rPr>
          <w:rFonts w:hint="eastAsia" w:ascii="宋体" w:hAnsi="宋体" w:cs="宋体"/>
          <w:color w:val="000000" w:themeColor="text1"/>
          <w:sz w:val="21"/>
          <w:szCs w:val="21"/>
          <w:highlight w:val="none"/>
          <w:lang w:val="en-US" w:eastAsia="zh-CN"/>
          <w14:textFill>
            <w14:solidFill>
              <w14:schemeClr w14:val="tx1"/>
            </w14:solidFill>
          </w14:textFill>
        </w:rPr>
        <w:t>动态核查</w:t>
      </w:r>
      <w:r>
        <w:rPr>
          <w:rFonts w:hint="eastAsia" w:ascii="宋体" w:hAnsi="宋体" w:eastAsia="宋体" w:cs="宋体"/>
          <w:color w:val="000000" w:themeColor="text1"/>
          <w:sz w:val="21"/>
          <w:szCs w:val="21"/>
          <w:highlight w:val="none"/>
          <w14:textFill>
            <w14:solidFill>
              <w14:schemeClr w14:val="tx1"/>
            </w14:solidFill>
          </w14:textFill>
        </w:rPr>
        <w:t>”里的查询网页截图</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w:t>
      </w:r>
    </w:p>
    <w:p w14:paraId="1D16982D">
      <w:pPr>
        <w:keepNext w:val="0"/>
        <w:keepLines w:val="0"/>
        <w:pageBreakBefore w:val="0"/>
        <w:kinsoku/>
        <w:wordWrap w:val="0"/>
        <w:overflowPunct/>
        <w:topLinePunct w:val="0"/>
        <w:autoSpaceDE/>
        <w:autoSpaceDN/>
        <w:bidi w:val="0"/>
        <w:adjustRightInd/>
        <w:snapToGrid/>
        <w:ind w:firstLine="420" w:firstLineChars="200"/>
        <w:textAlignment w:val="auto"/>
        <w:rPr>
          <w:color w:val="000000" w:themeColor="text1"/>
          <w:highlight w:val="none"/>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⑤投标人在开标日前（含当日）24个月内未被淮南市及其所辖县、区（园区）行业主管部门以串通投标、弄虚作假、出借资质、转包、违法</w:t>
      </w:r>
      <w:r>
        <w:rPr>
          <w:rFonts w:hint="eastAsia"/>
          <w:color w:val="000000" w:themeColor="text1"/>
          <w:sz w:val="21"/>
          <w:szCs w:val="18"/>
          <w:highlight w:val="none"/>
          <w:lang w:val="en-US" w:eastAsia="zh-CN"/>
          <w14:textFill>
            <w14:solidFill>
              <w14:schemeClr w14:val="tx1"/>
            </w14:solidFill>
          </w14:textFill>
        </w:rPr>
        <w:t>分包等违</w:t>
      </w:r>
      <w:r>
        <w:rPr>
          <w:rFonts w:hint="eastAsia"/>
          <w:color w:val="000000" w:themeColor="text1"/>
          <w:sz w:val="21"/>
          <w:szCs w:val="18"/>
          <w:highlight w:val="none"/>
          <w:lang w:val="en-US" w:eastAsia="zh-CN"/>
          <w14:textFill>
            <w14:solidFill>
              <w14:schemeClr w14:val="tx1"/>
            </w14:solidFill>
          </w14:textFill>
        </w:rPr>
        <w:t>法违规行为进行行政处罚（以行政处罚决定书下达日期为准）；投标人拟派的项目经理未被淮南市建设管理部门记不良行为记录且在公示期内（以公布日期为准）。此项要求由投标人提供承诺书。</w:t>
      </w:r>
    </w:p>
    <w:p w14:paraId="16ED0FF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lang w:val="en-US" w:eastAsia="zh-CN"/>
          <w14:textFill>
            <w14:solidFill>
              <w14:schemeClr w14:val="tx1"/>
            </w14:solidFill>
          </w14:textFill>
        </w:rPr>
        <w:t>7</w:t>
      </w:r>
      <w:r>
        <w:rPr>
          <w:rFonts w:hint="eastAsia" w:ascii="Times New Roman" w:hAnsi="Times New Roman"/>
          <w:smallCaps w:val="0"/>
          <w:color w:val="000000" w:themeColor="text1"/>
          <w:highlight w:val="none"/>
          <w14:textFill>
            <w14:solidFill>
              <w14:schemeClr w14:val="tx1"/>
            </w14:solidFill>
          </w14:textFill>
        </w:rPr>
        <w:t>本次招标</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(接受或不接受)</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联合体投标</w:t>
      </w:r>
      <w:r>
        <w:rPr>
          <w:rFonts w:hint="eastAsia" w:ascii="Times New Roman" w:hAnsi="Times New Roman"/>
          <w:smallCaps w:val="0"/>
          <w:color w:val="000000" w:themeColor="text1"/>
          <w:highlight w:val="none"/>
          <w:vertAlign w:val="superscript"/>
          <w:lang w:val="en-US" w:eastAsia="zh-CN"/>
          <w14:textFill>
            <w14:solidFill>
              <w14:schemeClr w14:val="tx1"/>
            </w14:solidFill>
          </w14:textFill>
        </w:rPr>
        <w:footnoteReference w:id="16"/>
      </w:r>
      <w:r>
        <w:rPr>
          <w:rFonts w:hint="eastAsia" w:ascii="Times New Roman" w:hAnsi="Times New Roman"/>
          <w:smallCaps w:val="0"/>
          <w:color w:val="000000" w:themeColor="text1"/>
          <w:highlight w:val="none"/>
          <w14:textFill>
            <w14:solidFill>
              <w14:schemeClr w14:val="tx1"/>
            </w14:solidFill>
          </w14:textFill>
        </w:rPr>
        <w:t>。</w:t>
      </w:r>
    </w:p>
    <w:p w14:paraId="14E6D59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联合体投标的，应满足下列要求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组成联合体的家数不超过</w:t>
      </w:r>
      <w:r>
        <w:rPr>
          <w:rFonts w:hint="eastAsia" w:ascii="宋体" w:hAnsi="宋体" w:cs="宋体"/>
          <w:color w:val="000000" w:themeColor="text1"/>
          <w:sz w:val="21"/>
          <w:szCs w:val="21"/>
          <w:highlight w:val="none"/>
          <w:u w:val="singl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u w:val="single"/>
          <w14:textFill>
            <w14:solidFill>
              <w14:schemeClr w14:val="tx1"/>
            </w14:solidFill>
          </w14:textFill>
        </w:rPr>
        <w:t>家。联合体各方应签订联合体投标协议书，明确联合体牵头人和各方的工作内容及权利义务。联合体投标的，网上领取招标文件、编制投标文件、电子签章、上传、解密、提交履约担保等工作均由其牵头人负责办理（牵头人应当是承担项目主要或主体部分的成员），其他联合体成员配合。</w:t>
      </w:r>
    </w:p>
    <w:p w14:paraId="14454DB0">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14:textFill>
            <w14:solidFill>
              <w14:schemeClr w14:val="tx1"/>
            </w14:solidFill>
          </w14:textFill>
        </w:rPr>
        <w:t xml:space="preserve"> 各投标人均可就本招标项目上述标段中的</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(具体数量)</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个标段投标，但最多允许中标</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(具体数量)</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个标段(适用于分标段的招标项目)。</w:t>
      </w:r>
    </w:p>
    <w:p w14:paraId="7C601C38">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u w:val="none"/>
          <w:lang w:val="en-US"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3.</w:t>
      </w:r>
      <w:r>
        <w:rPr>
          <w:rFonts w:hint="eastAsia" w:ascii="Times New Roman" w:hAnsi="Times New Roman"/>
          <w:smallCaps w:val="0"/>
          <w:color w:val="000000" w:themeColor="text1"/>
          <w:highlight w:val="none"/>
          <w:lang w:val="en-US" w:eastAsia="zh-CN"/>
          <w14:textFill>
            <w14:solidFill>
              <w14:schemeClr w14:val="tx1"/>
            </w14:solidFill>
          </w14:textFill>
        </w:rPr>
        <w:t>9 落实政府采购政策需满足的资格要求</w:t>
      </w:r>
      <w:r>
        <w:rPr>
          <w:rStyle w:val="28"/>
          <w:rFonts w:hint="eastAsia" w:ascii="Times New Roman" w:hAnsi="Times New Roman"/>
          <w:smallCaps w:val="0"/>
          <w:color w:val="000000" w:themeColor="text1"/>
          <w:highlight w:val="none"/>
          <w:lang w:val="en-US" w:eastAsia="zh-CN"/>
          <w14:textFill>
            <w14:solidFill>
              <w14:schemeClr w14:val="tx1"/>
            </w14:solidFill>
          </w14:textFill>
        </w:rPr>
        <w:footnoteReference w:id="17"/>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3D1E303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□无，本项目不属于政府采购工程建设项目，不适用政府采购相关政策。</w:t>
      </w:r>
    </w:p>
    <w:p w14:paraId="703F5A5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□无，即本次招标符合不专门面向中小企业预留采购份额的情形。</w:t>
      </w:r>
    </w:p>
    <w:p w14:paraId="254C6A1D">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□本招标项目整体预留专门面向中小企业采购，即投标人提供的工程由中小微企业、监狱企业或残疾人福利性单位承建。</w:t>
      </w:r>
    </w:p>
    <w:p w14:paraId="063F7D19">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□本招标项目整体预留专门面向小微企业采购，即投标人提供的工程由小微企业、监狱企业或残疾人福利性单位承建。</w:t>
      </w:r>
    </w:p>
    <w:p w14:paraId="0E21B747">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□本招标项目【标段号】整体预留专门面向中小企业采购，即该标段投标人提供的工程由中小微企业、监狱企业或残疾人福利性单位承建。</w:t>
      </w:r>
    </w:p>
    <w:p w14:paraId="147B1BC4">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□本招标项目【标段号】整体预留专门面向小微企业采购，即该标段投标人提供的工程由小微企业、监狱企业或残疾人福利性单位承建。</w:t>
      </w:r>
    </w:p>
    <w:p w14:paraId="2E1BBCC5">
      <w:pPr>
        <w:pStyle w:val="16"/>
        <w:keepNext w:val="0"/>
        <w:keepLines w:val="0"/>
        <w:pageBreakBefore w:val="0"/>
        <w:widowControl w:val="0"/>
        <w:kinsoku/>
        <w:wordWrap w:val="0"/>
        <w:overflowPunct/>
        <w:topLinePunct w:val="0"/>
        <w:autoSpaceDE/>
        <w:autoSpaceDN/>
        <w:bidi w:val="0"/>
        <w:adjustRightInd w:val="0"/>
        <w:snapToGrid w:val="0"/>
        <w:ind w:firstLine="420" w:firstLineChars="200"/>
        <w:textAlignment w:val="auto"/>
        <w:rPr>
          <w:rFonts w:hint="default"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pP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t>□本招标项目部分预留专门面向中小企业采购。要求投标人以联合体形式参加投标，且联合体中中小企业承担的部分达到项目合同总金额的</w:t>
      </w:r>
      <w:r>
        <w:rPr>
          <w:rFonts w:hint="eastAsia" w:ascii="Times New Roman" w:hAnsi="Times New Roman" w:eastAsia="宋体" w:cs="黑体"/>
          <w:bCs/>
          <w:smallCaps w:val="0"/>
          <w:snapToGrid w:val="0"/>
          <w:color w:val="000000" w:themeColor="text1"/>
          <w:kern w:val="2"/>
          <w:sz w:val="21"/>
          <w:szCs w:val="32"/>
          <w:highlight w:val="none"/>
          <w:u w:val="single"/>
          <w:lang w:val="en-US" w:eastAsia="zh-CN" w:bidi="ar-SA"/>
          <w14:textFill>
            <w14:solidFill>
              <w14:schemeClr w14:val="tx1"/>
            </w14:solidFill>
          </w14:textFill>
        </w:rPr>
        <w:t xml:space="preserve">   </w:t>
      </w: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t>%以上，其中小微企业承担的比例不低于</w:t>
      </w:r>
      <w:r>
        <w:rPr>
          <w:rFonts w:hint="eastAsia" w:ascii="Times New Roman" w:hAnsi="Times New Roman" w:eastAsia="宋体" w:cs="黑体"/>
          <w:bCs/>
          <w:smallCaps w:val="0"/>
          <w:snapToGrid w:val="0"/>
          <w:color w:val="000000" w:themeColor="text1"/>
          <w:kern w:val="2"/>
          <w:sz w:val="21"/>
          <w:szCs w:val="32"/>
          <w:highlight w:val="none"/>
          <w:u w:val="single"/>
          <w:lang w:val="en-US" w:eastAsia="zh-CN" w:bidi="ar-SA"/>
          <w14:textFill>
            <w14:solidFill>
              <w14:schemeClr w14:val="tx1"/>
            </w14:solidFill>
          </w14:textFill>
        </w:rPr>
        <w:t xml:space="preserve">   </w:t>
      </w: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t>%。组成联合体的中小企业与联合体内其他企业之间不得存在直接控股、管理关系。如果投标人本身就属于中小企业，视同已符合本款资格条件，无需再与其他中小企业组成联合体参加投标活动</w:t>
      </w: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footnoteReference w:id="18"/>
      </w:r>
      <w:r>
        <w:rPr>
          <w:rFonts w:hint="eastAsia" w:ascii="Times New Roman" w:hAnsi="Times New Roman" w:eastAsia="宋体" w:cs="黑体"/>
          <w:bCs/>
          <w:smallCaps w:val="0"/>
          <w:snapToGrid w:val="0"/>
          <w:color w:val="000000" w:themeColor="text1"/>
          <w:kern w:val="2"/>
          <w:sz w:val="21"/>
          <w:szCs w:val="32"/>
          <w:highlight w:val="none"/>
          <w:lang w:val="en-US" w:eastAsia="zh-CN" w:bidi="ar-SA"/>
          <w14:textFill>
            <w14:solidFill>
              <w14:schemeClr w14:val="tx1"/>
            </w14:solidFill>
          </w14:textFill>
        </w:rPr>
        <w:t>。</w:t>
      </w:r>
    </w:p>
    <w:p w14:paraId="788CD4BD">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□本招标项目部分预留专门面向中小企业采购。要求大企业向中小企业分包的形式参加投标，且接受分包的中小企业承担的部分达到项目合同总金额的</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%以上，其中接受分包的小微企业承担的比例不低于</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%。接受分包合同的中小企业与分包企业之间不得存在直接控股、管理关系。如果投标人本身就属于中小企业，视同已符合本款资格条件，无需再向其他中小企业分包。</w:t>
      </w:r>
    </w:p>
    <w:bookmarkEnd w:id="66"/>
    <w:bookmarkEnd w:id="67"/>
    <w:bookmarkEnd w:id="68"/>
    <w:p w14:paraId="139AAACF">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69" w:name="_Toc21107"/>
      <w:bookmarkStart w:id="70" w:name="_Toc16644"/>
      <w:bookmarkStart w:id="71" w:name="_Toc20150"/>
      <w:r>
        <w:rPr>
          <w:rFonts w:hint="eastAsia" w:ascii="Times New Roman" w:hAnsi="Times New Roman"/>
          <w:smallCaps w:val="0"/>
          <w:color w:val="000000" w:themeColor="text1"/>
          <w:highlight w:val="none"/>
          <w14:textFill>
            <w14:solidFill>
              <w14:schemeClr w14:val="tx1"/>
            </w14:solidFill>
          </w14:textFill>
        </w:rPr>
        <w:t>4. 招标文件的获取</w:t>
      </w:r>
      <w:bookmarkEnd w:id="69"/>
      <w:bookmarkEnd w:id="70"/>
      <w:bookmarkEnd w:id="71"/>
    </w:p>
    <w:p w14:paraId="160D38D4">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bookmarkStart w:id="72" w:name="_Toc15363"/>
      <w:bookmarkStart w:id="73" w:name="_Toc6719"/>
      <w:bookmarkStart w:id="74" w:name="_Toc11534"/>
      <w:r>
        <w:rPr>
          <w:rFonts w:hint="eastAsia" w:ascii="Times New Roman" w:hAnsi="Times New Roman"/>
          <w:smallCaps w:val="0"/>
          <w:color w:val="000000" w:themeColor="text1"/>
          <w:highlight w:val="none"/>
          <w14:textFill>
            <w14:solidFill>
              <w14:schemeClr w14:val="tx1"/>
            </w14:solidFill>
          </w14:textFill>
        </w:rPr>
        <w:t>4.1 获取时间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none"/>
          <w:lang w:val="en-US" w:eastAsia="zh-CN"/>
          <w14:textFill>
            <w14:solidFill>
              <w14:schemeClr w14:val="tx1"/>
            </w14:solidFill>
          </w14:textFill>
        </w:rPr>
        <w:t>自</w:t>
      </w:r>
      <w:r>
        <w:rPr>
          <w:rFonts w:hint="eastAsia"/>
          <w:color w:val="000000" w:themeColor="text1"/>
          <w:highlight w:val="none"/>
          <w14:textFill>
            <w14:solidFill>
              <w14:schemeClr w14:val="tx1"/>
            </w14:solidFill>
          </w14:textFill>
        </w:rPr>
        <w:t>本公告发布之日起至本项目投标截止时间（北京时间，以本中心网站服务器时间为准）</w:t>
      </w:r>
      <w:r>
        <w:rPr>
          <w:rFonts w:hint="eastAsia" w:ascii="宋体" w:hAnsi="宋体" w:eastAsia="宋体" w:cs="宋体"/>
          <w:color w:val="000000" w:themeColor="text1"/>
          <w:sz w:val="21"/>
          <w:szCs w:val="21"/>
          <w:highlight w:val="none"/>
          <w14:textFill>
            <w14:solidFill>
              <w14:schemeClr w14:val="tx1"/>
            </w14:solidFill>
          </w14:textFill>
        </w:rPr>
        <w:t>。</w:t>
      </w:r>
    </w:p>
    <w:p w14:paraId="49992B7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 获取方式</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03A5A35">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4.2.1</w:t>
      </w:r>
      <w:r>
        <w:rPr>
          <w:rFonts w:hint="eastAsia" w:ascii="宋体" w:hAnsi="宋体" w:eastAsia="宋体" w:cs="宋体"/>
          <w:color w:val="000000" w:themeColor="text1"/>
          <w:sz w:val="21"/>
          <w:szCs w:val="21"/>
          <w:highlight w:val="none"/>
          <w14:textFill>
            <w14:solidFill>
              <w14:schemeClr w14:val="tx1"/>
            </w14:solidFill>
          </w14:textFill>
        </w:rPr>
        <w:t>潜在供应商（投标人）须在“安徽省公共资源交易市场主体库”（http://ggzy.ah.gov.cn/ahggfwpt-zhutiku）登记注册，并通过验证。</w:t>
      </w:r>
    </w:p>
    <w:p w14:paraId="01BC8677">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4.2.2</w:t>
      </w:r>
      <w:r>
        <w:rPr>
          <w:rFonts w:hint="eastAsia" w:ascii="Times New Roman" w:hAnsi="Times New Roman"/>
          <w:smallCaps w:val="0"/>
          <w:color w:val="000000" w:themeColor="text1"/>
          <w:highlight w:val="none"/>
          <w14:textFill>
            <w14:solidFill>
              <w14:schemeClr w14:val="tx1"/>
            </w14:solidFill>
          </w14:textFill>
        </w:rPr>
        <w:t>登录“淮南市公共资源交易中心网(http://jy.ggj.huainan.gov.cn/)”，点击“交易平台”，登录淮南市公共资源交易平台，填写投标信息，查阅、领取文件。投标人须随时关注该项目答疑及补充通知，并关注淮南市公共资源交易中心网信息动态。投标人如因关注不及时错过信息下载，后果自负。</w:t>
      </w:r>
    </w:p>
    <w:p w14:paraId="7FF92CF5">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4.3</w:t>
      </w:r>
      <w:r>
        <w:rPr>
          <w:rFonts w:hint="eastAsia" w:ascii="Times New Roman" w:hAnsi="Times New Roman"/>
          <w:smallCaps w:val="0"/>
          <w:color w:val="000000" w:themeColor="text1"/>
          <w:highlight w:val="none"/>
          <w14:textFill>
            <w14:solidFill>
              <w14:schemeClr w14:val="tx1"/>
            </w14:solidFill>
          </w14:textFill>
        </w:rPr>
        <w:t>招标文件售价：0元</w:t>
      </w:r>
    </w:p>
    <w:p w14:paraId="136E3A33">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4.4</w:t>
      </w:r>
      <w:r>
        <w:rPr>
          <w:rFonts w:hint="eastAsia" w:ascii="Times New Roman" w:hAnsi="Times New Roman"/>
          <w:smallCaps w:val="0"/>
          <w:color w:val="000000" w:themeColor="text1"/>
          <w:highlight w:val="none"/>
          <w:lang w:eastAsia="zh-CN"/>
          <w14:textFill>
            <w14:solidFill>
              <w14:schemeClr w14:val="tx1"/>
            </w14:solidFill>
          </w14:textFill>
        </w:rPr>
        <w:t>获取地点：网上获取，获取网址：淮南市公共资源交易中心网站（http://jy.ggj.huainan.gov.cn/）</w:t>
      </w:r>
    </w:p>
    <w:p w14:paraId="71C6F758">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smallCaps w:val="0"/>
          <w:color w:val="000000" w:themeColor="text1"/>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sz w:val="21"/>
          <w:szCs w:val="21"/>
          <w:highlight w:val="none"/>
          <w14:textFill>
            <w14:solidFill>
              <w14:schemeClr w14:val="tx1"/>
            </w14:solidFill>
          </w14:textFill>
        </w:rPr>
        <w:t>相关事项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09CB63B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4.5.1 </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招标文件获取过程中有技术或操作疑问，请拨打交易平台技术支持热线：0512-58188516。</w:t>
      </w:r>
    </w:p>
    <w:p w14:paraId="02DC5C5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4.5.2 </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CA锁（证书KEY）办理、续费、登录等问题，请查阅本网站“办事指南”栏目中“CA数字证书和电子签章 ”内容，也可拨打驻交易中心电话0554-6818265-4。</w:t>
      </w:r>
    </w:p>
    <w:p w14:paraId="1BA5471C">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4.5.3 </w:t>
      </w:r>
      <w:r>
        <w:rPr>
          <w:rFonts w:hint="default" w:ascii="Times New Roman" w:hAnsi="Times New Roman" w:eastAsia="宋体" w:cs="Times New Roman"/>
          <w:color w:val="000000" w:themeColor="text1"/>
          <w:sz w:val="21"/>
          <w:szCs w:val="21"/>
          <w:highlight w:val="none"/>
          <w14:textFill>
            <w14:solidFill>
              <w14:schemeClr w14:val="tx1"/>
            </w14:solidFill>
          </w14:textFill>
        </w:rPr>
        <w:t>项目相关情况疑问（咨询）请与本公告联系方式中的招标（采购）人、代理机构联系。</w:t>
      </w:r>
    </w:p>
    <w:p w14:paraId="2A94DE92">
      <w:pPr>
        <w:pStyle w:val="77"/>
        <w:pageBreakBefore w:val="0"/>
        <w:kinsoku/>
        <w:wordWrap w:val="0"/>
        <w:overflowPunct/>
        <w:bidi w:val="0"/>
        <w:rPr>
          <w:rFonts w:hint="eastAsia" w:ascii="Times New Roman" w:hAnsi="Times New Roman" w:eastAsia="黑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 投标文件的</w:t>
      </w:r>
      <w:bookmarkEnd w:id="72"/>
      <w:bookmarkEnd w:id="73"/>
      <w:r>
        <w:rPr>
          <w:rFonts w:hint="eastAsia" w:ascii="Times New Roman" w:hAnsi="Times New Roman"/>
          <w:smallCaps w:val="0"/>
          <w:color w:val="000000" w:themeColor="text1"/>
          <w:highlight w:val="none"/>
          <w:lang w:eastAsia="zh-CN"/>
          <w14:textFill>
            <w14:solidFill>
              <w14:schemeClr w14:val="tx1"/>
            </w14:solidFill>
          </w14:textFill>
        </w:rPr>
        <w:t>提交</w:t>
      </w:r>
      <w:bookmarkEnd w:id="74"/>
    </w:p>
    <w:p w14:paraId="00B84885">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both"/>
        <w:textAlignment w:val="auto"/>
        <w:rPr>
          <w:rFonts w:hint="eastAsia" w:ascii="宋体" w:hAnsi="宋体" w:eastAsia="宋体" w:cs="宋体"/>
          <w:b/>
          <w:color w:val="000000" w:themeColor="text1"/>
          <w:sz w:val="21"/>
          <w:szCs w:val="21"/>
          <w:highlight w:val="none"/>
          <w14:textFill>
            <w14:solidFill>
              <w14:schemeClr w14:val="tx1"/>
            </w14:solidFill>
          </w14:textFill>
        </w:rPr>
      </w:pPr>
      <w:bookmarkStart w:id="75" w:name="_Toc25505"/>
      <w:bookmarkStart w:id="76" w:name="_Toc24460"/>
      <w:bookmarkStart w:id="77" w:name="_Toc22992"/>
      <w:r>
        <w:rPr>
          <w:rFonts w:hint="eastAsia" w:ascii="宋体" w:hAnsi="宋体" w:eastAsia="宋体" w:cs="宋体"/>
          <w:bCs/>
          <w:snapToGrid w:val="0"/>
          <w:color w:val="000000" w:themeColor="text1"/>
          <w:kern w:val="0"/>
          <w:sz w:val="21"/>
          <w:szCs w:val="21"/>
          <w:highlight w:val="none"/>
          <w14:textFill>
            <w14:solidFill>
              <w14:schemeClr w14:val="tx1"/>
            </w14:solidFill>
          </w14:textFill>
        </w:rPr>
        <w:t>投标文件递交的截止时间(投标截止时间，下同</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XXXX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 xml:space="preserve"> 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分，投标人应在截止时间前通过</w:t>
      </w:r>
      <w:r>
        <w:rPr>
          <w:rFonts w:hint="eastAsia" w:ascii="宋体" w:hAnsi="宋体" w:eastAsia="宋体" w:cs="宋体"/>
          <w:bCs/>
          <w:snapToGrid w:val="0"/>
          <w:color w:val="000000" w:themeColor="text1"/>
          <w:kern w:val="0"/>
          <w:sz w:val="21"/>
          <w:szCs w:val="21"/>
          <w:highlight w:val="none"/>
          <w:u w:val="single"/>
          <w14:textFill>
            <w14:solidFill>
              <w14:schemeClr w14:val="tx1"/>
            </w14:solidFill>
          </w14:textFill>
        </w:rPr>
        <w:t xml:space="preserve"> 淮南市公共资源交易中心网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（电子交易系统</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）递交电子投标文件。</w:t>
      </w:r>
    </w:p>
    <w:p w14:paraId="6DF07AD9">
      <w:pPr>
        <w:pageBreakBefore w:val="0"/>
        <w:kinsoku/>
        <w:wordWrap w:val="0"/>
        <w:overflowPunct/>
        <w:bidi w:val="0"/>
        <w:spacing w:line="440" w:lineRule="exact"/>
        <w:ind w:firstLine="435"/>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投标人应充分考虑网上递交投标文件时的不可预见因素，逾期未完成上传或未按规定加密的投标文件，</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电子交易系统</w:t>
      </w:r>
      <w:r>
        <w:rPr>
          <w:rStyle w:val="96"/>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将拒绝</w:t>
      </w:r>
      <w:r>
        <w:rPr>
          <w:rFonts w:hint="eastAsia" w:ascii="宋体" w:hAnsi="宋体" w:eastAsia="宋体" w:cs="宋体"/>
          <w:snapToGrid w:val="0"/>
          <w:color w:val="000000" w:themeColor="text1"/>
          <w:kern w:val="0"/>
          <w:sz w:val="21"/>
          <w:szCs w:val="21"/>
          <w:highlight w:val="none"/>
          <w14:textFill>
            <w14:solidFill>
              <w14:schemeClr w14:val="tx1"/>
            </w14:solidFill>
          </w14:textFill>
        </w:rPr>
        <w:t>接收</w:t>
      </w:r>
      <w:r>
        <w:rPr>
          <w:rStyle w:val="96"/>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并</w:t>
      </w:r>
      <w:r>
        <w:rPr>
          <w:rFonts w:hint="eastAsia" w:ascii="宋体" w:hAnsi="宋体" w:eastAsia="宋体" w:cs="宋体"/>
          <w:snapToGrid w:val="0"/>
          <w:color w:val="000000" w:themeColor="text1"/>
          <w:kern w:val="0"/>
          <w:sz w:val="21"/>
          <w:szCs w:val="21"/>
          <w:highlight w:val="none"/>
          <w:lang w:val="zh-CN"/>
          <w14:textFill>
            <w14:solidFill>
              <w14:schemeClr w14:val="tx1"/>
            </w14:solidFill>
          </w14:textFill>
        </w:rPr>
        <w:t>提示</w:t>
      </w:r>
      <w:r>
        <w:rPr>
          <w:rFonts w:hint="eastAsia" w:ascii="宋体" w:hAnsi="宋体" w:eastAsia="宋体" w:cs="宋体"/>
          <w:snapToGrid w:val="0"/>
          <w:color w:val="000000" w:themeColor="text1"/>
          <w:kern w:val="0"/>
          <w:sz w:val="21"/>
          <w:szCs w:val="21"/>
          <w:highlight w:val="none"/>
          <w14:textFill>
            <w14:solidFill>
              <w14:schemeClr w14:val="tx1"/>
            </w14:solidFill>
          </w14:textFill>
        </w:rPr>
        <w:t>。</w:t>
      </w:r>
    </w:p>
    <w:p w14:paraId="49FA7DEB">
      <w:pPr>
        <w:keepNext w:val="0"/>
        <w:keepLines w:val="0"/>
        <w:pageBreakBefore w:val="0"/>
        <w:widowControl w:val="0"/>
        <w:kinsoku/>
        <w:wordWrap w:val="0"/>
        <w:overflowPunct/>
        <w:topLinePunct/>
        <w:autoSpaceDE/>
        <w:autoSpaceDN/>
        <w:bidi w:val="0"/>
        <w:adjustRightInd/>
        <w:snapToGrid/>
        <w:spacing w:beforeLines="0" w:afterLines="0" w:line="360" w:lineRule="auto"/>
        <w:ind w:firstLine="422" w:firstLineChars="200"/>
        <w:jc w:val="both"/>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注：本项目实行网上开评标，网上上传加密的电子版投标文件，投标人必须在30分钟内远程解密完成。</w:t>
      </w:r>
    </w:p>
    <w:p w14:paraId="5B4C2261">
      <w:pPr>
        <w:keepNext w:val="0"/>
        <w:keepLines w:val="0"/>
        <w:pageBreakBefore w:val="0"/>
        <w:widowControl w:val="0"/>
        <w:kinsoku/>
        <w:wordWrap w:val="0"/>
        <w:overflowPunct/>
        <w:topLinePunct/>
        <w:autoSpaceDE/>
        <w:autoSpaceDN/>
        <w:bidi w:val="0"/>
        <w:adjustRightInd/>
        <w:snapToGrid/>
        <w:spacing w:beforeLines="0" w:afterLines="0"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出现下列情况的，投标人必须重新用数字证书签章和加密投标文件，并在投标截止时间之前上传完成到网上招投标系统：</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数字证书到期后重新续期；</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数字证书因遗失、损坏、企业信息变更等情况更换新证书。</w:t>
      </w:r>
    </w:p>
    <w:p w14:paraId="0F63DBE8">
      <w:pPr>
        <w:keepNext w:val="0"/>
        <w:keepLines w:val="0"/>
        <w:pageBreakBefore w:val="0"/>
        <w:widowControl w:val="0"/>
        <w:kinsoku/>
        <w:wordWrap w:val="0"/>
        <w:overflowPunct/>
        <w:topLinePunct/>
        <w:autoSpaceDE/>
        <w:autoSpaceDN/>
        <w:bidi w:val="0"/>
        <w:adjustRightInd/>
        <w:snapToGrid/>
        <w:spacing w:beforeLines="0" w:afterLines="0"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投标人由于数字证书遗失、损坏、更换、续期等情况导致投标文件无法解密，由投标人自行承担责任。</w:t>
      </w:r>
    </w:p>
    <w:p w14:paraId="1C7158B7">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 开标时间及地点</w:t>
      </w:r>
      <w:bookmarkEnd w:id="75"/>
      <w:bookmarkEnd w:id="76"/>
      <w:bookmarkEnd w:id="77"/>
    </w:p>
    <w:p w14:paraId="5F874A7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bookmarkStart w:id="78" w:name="_Toc28376"/>
      <w:bookmarkStart w:id="79" w:name="_Toc3647"/>
      <w:bookmarkStart w:id="80" w:name="_Toc31920"/>
      <w:r>
        <w:rPr>
          <w:rFonts w:hint="eastAsia" w:ascii="Times New Roman" w:hAnsi="Times New Roman"/>
          <w:smallCaps w:val="0"/>
          <w:color w:val="000000" w:themeColor="text1"/>
          <w:highlight w:val="none"/>
          <w14:textFill>
            <w14:solidFill>
              <w14:schemeClr w14:val="tx1"/>
            </w14:solidFill>
          </w14:textFill>
        </w:rPr>
        <w:t>6.1 开标时间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时</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p w14:paraId="526B2CC7">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6.2 开标地点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C199E70">
      <w:pPr>
        <w:pStyle w:val="77"/>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w:t>
      </w:r>
      <w:bookmarkStart w:id="81" w:name="_Toc470760986"/>
      <w:bookmarkStart w:id="82" w:name="_Toc501257046"/>
      <w:r>
        <w:rPr>
          <w:rFonts w:hint="eastAsia" w:ascii="Times New Roman" w:hAnsi="Times New Roman"/>
          <w:smallCaps w:val="0"/>
          <w:color w:val="000000" w:themeColor="text1"/>
          <w:highlight w:val="none"/>
          <w:lang w:val="en-US" w:eastAsia="zh-CN"/>
          <w14:textFill>
            <w14:solidFill>
              <w14:schemeClr w14:val="tx1"/>
            </w14:solidFill>
          </w14:textFill>
        </w:rPr>
        <w:t xml:space="preserve"> 确认</w:t>
      </w:r>
      <w:bookmarkEnd w:id="78"/>
      <w:bookmarkEnd w:id="79"/>
      <w:bookmarkEnd w:id="80"/>
      <w:bookmarkEnd w:id="81"/>
      <w:bookmarkEnd w:id="82"/>
    </w:p>
    <w:p w14:paraId="57BB4F20">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你单位收到本邀请书后，请于</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时</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r>
        <w:rPr>
          <w:rFonts w:hint="eastAsia" w:ascii="Times New Roman" w:hAnsi="Times New Roman"/>
          <w:smallCaps w:val="0"/>
          <w:color w:val="000000" w:themeColor="text1"/>
          <w:highlight w:val="none"/>
          <w:lang w:val="en-US" w:eastAsia="zh-CN"/>
          <w14:textFill>
            <w14:solidFill>
              <w14:schemeClr w14:val="tx1"/>
            </w14:solidFill>
          </w14:textFill>
        </w:rPr>
        <w:t>前，以书面形式确认是否参加投标。在本邀请书规定的时间内未表示是否参加投标或明确表示不参加投标的，不得再参加投标。</w:t>
      </w:r>
    </w:p>
    <w:p w14:paraId="66B89915">
      <w:pPr>
        <w:pStyle w:val="77"/>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bookmarkStart w:id="83" w:name="_Toc31248"/>
      <w:bookmarkStart w:id="84" w:name="_Toc28631"/>
      <w:r>
        <w:rPr>
          <w:rFonts w:hint="eastAsia" w:ascii="Times New Roman" w:hAnsi="Times New Roman"/>
          <w:smallCaps w:val="0"/>
          <w:color w:val="000000" w:themeColor="text1"/>
          <w:highlight w:val="none"/>
          <w:lang w:val="en-US" w:eastAsia="zh-CN"/>
          <w14:textFill>
            <w14:solidFill>
              <w14:schemeClr w14:val="tx1"/>
            </w14:solidFill>
          </w14:textFill>
        </w:rPr>
        <w:t>8. 评标及定标办法</w:t>
      </w:r>
      <w:bookmarkEnd w:id="83"/>
      <w:bookmarkEnd w:id="84"/>
      <w:r>
        <w:rPr>
          <w:rFonts w:hint="eastAsia" w:ascii="Times New Roman" w:hAnsi="Times New Roman"/>
          <w:smallCaps w:val="0"/>
          <w:color w:val="000000" w:themeColor="text1"/>
          <w:highlight w:val="none"/>
          <w:lang w:val="en-US" w:eastAsia="zh-CN"/>
          <w14:textFill>
            <w14:solidFill>
              <w14:schemeClr w14:val="tx1"/>
            </w14:solidFill>
          </w14:textFill>
        </w:rPr>
        <w:t xml:space="preserve"> </w:t>
      </w:r>
    </w:p>
    <w:p w14:paraId="4A7568F6">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8.1 资格审查方式：</w:t>
      </w:r>
      <w:r>
        <w:rPr>
          <w:rFonts w:hint="eastAsia" w:ascii="宋体" w:hAnsi="宋体" w:eastAsia="宋体" w:cs="宋体"/>
          <w:bCs/>
          <w:snapToGrid w:val="0"/>
          <w:color w:val="000000" w:themeColor="text1"/>
          <w:kern w:val="0"/>
          <w:sz w:val="21"/>
          <w:szCs w:val="21"/>
          <w:highlight w:val="none"/>
          <w:u w:val="single"/>
          <w:lang w:eastAsia="zh-CN"/>
          <w14:textFill>
            <w14:solidFill>
              <w14:schemeClr w14:val="tx1"/>
            </w14:solidFill>
          </w14:textFill>
        </w:rPr>
        <w:sym w:font="Wingdings" w:char="00A8"/>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 xml:space="preserve">资格后审  </w:t>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sym w:font="Wingdings" w:char="00A8"/>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资格预审</w:t>
      </w:r>
    </w:p>
    <w:p w14:paraId="2064B039">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u w:val="single"/>
          <w14:textFill>
            <w14:solidFill>
              <w14:schemeClr w14:val="tx1"/>
            </w14:solidFill>
          </w14:textFill>
        </w:rPr>
      </w:pPr>
      <w:r>
        <w:rPr>
          <w:rFonts w:hint="eastAsia" w:ascii="宋体" w:hAnsi="宋体" w:eastAsia="宋体" w:cs="宋体"/>
          <w:b w:val="0"/>
          <w:bCs/>
          <w:snapToGrid w:val="0"/>
          <w:color w:val="000000" w:themeColor="text1"/>
          <w:kern w:val="0"/>
          <w:sz w:val="21"/>
          <w:szCs w:val="21"/>
          <w:highlight w:val="none"/>
          <w:u w:val="none"/>
          <w:lang w:val="en-US" w:eastAsia="zh-CN"/>
          <w14:textFill>
            <w14:solidFill>
              <w14:schemeClr w14:val="tx1"/>
            </w14:solidFill>
          </w14:textFill>
        </w:rPr>
        <w:t>8.2 评标办法：</w:t>
      </w:r>
      <w:r>
        <w:rPr>
          <w:rFonts w:hint="eastAsia" w:ascii="宋体" w:hAnsi="宋体" w:eastAsia="宋体" w:cs="宋体"/>
          <w:b w:val="0"/>
          <w:bCs/>
          <w:color w:val="000000" w:themeColor="text1"/>
          <w:sz w:val="21"/>
          <w:szCs w:val="21"/>
          <w:highlight w:val="none"/>
          <w:u w:val="single"/>
          <w14:textFill>
            <w14:solidFill>
              <w14:schemeClr w14:val="tx1"/>
            </w14:solidFill>
          </w14:textFill>
        </w:rPr>
        <w:t xml:space="preserve">       </w:t>
      </w:r>
      <w:r>
        <w:rPr>
          <w:rFonts w:hint="eastAsia" w:ascii="Times New Roman" w:hAnsi="Times New Roman"/>
          <w:smallCaps w:val="0"/>
          <w:color w:val="000000" w:themeColor="text1"/>
          <w:sz w:val="21"/>
          <w:szCs w:val="21"/>
          <w:highlight w:val="none"/>
          <w:lang w:eastAsia="zh-CN"/>
          <w14:textFill>
            <w14:solidFill>
              <w14:schemeClr w14:val="tx1"/>
            </w14:solidFill>
          </w14:textFill>
        </w:rPr>
        <w:t>（</w:t>
      </w:r>
      <w:r>
        <w:rPr>
          <w:rFonts w:hint="eastAsia" w:ascii="Times New Roman" w:hAnsi="Times New Roman"/>
          <w:smallCaps w:val="0"/>
          <w:color w:val="000000" w:themeColor="text1"/>
          <w:sz w:val="21"/>
          <w:szCs w:val="21"/>
          <w:highlight w:val="none"/>
          <w:lang w:val="en-US" w:eastAsia="zh-CN"/>
          <w14:textFill>
            <w14:solidFill>
              <w14:schemeClr w14:val="tx1"/>
            </w14:solidFill>
          </w14:textFill>
        </w:rPr>
        <w:t>见招标文件第三章“评标及定标”</w:t>
      </w:r>
      <w:r>
        <w:rPr>
          <w:rFonts w:hint="eastAsia" w:ascii="Times New Roman" w:hAnsi="Times New Roman"/>
          <w:smallCaps w:val="0"/>
          <w:color w:val="000000" w:themeColor="text1"/>
          <w:sz w:val="21"/>
          <w:szCs w:val="21"/>
          <w:highlight w:val="none"/>
          <w:u w:val="none"/>
          <w:lang w:eastAsia="zh-CN"/>
          <w14:textFill>
            <w14:solidFill>
              <w14:schemeClr w14:val="tx1"/>
            </w14:solidFill>
          </w14:textFill>
        </w:rPr>
        <w:t>）</w:t>
      </w:r>
    </w:p>
    <w:p w14:paraId="72F31931">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t>8.3 是否采用“电子暗标横向评审”方式：</w:t>
      </w:r>
      <w:r>
        <w:rPr>
          <w:rFonts w:hint="eastAsia" w:ascii="宋体" w:hAnsi="宋体" w:eastAsia="宋体" w:cs="宋体"/>
          <w:b w:val="0"/>
          <w:bCs/>
          <w:snapToGrid w:val="0"/>
          <w:color w:val="000000" w:themeColor="text1"/>
          <w:kern w:val="0"/>
          <w:sz w:val="21"/>
          <w:szCs w:val="21"/>
          <w:highlight w:val="none"/>
          <w:u w:val="single"/>
          <w:lang w:eastAsia="zh-CN"/>
          <w14:textFill>
            <w14:solidFill>
              <w14:schemeClr w14:val="tx1"/>
            </w14:solidFill>
          </w14:textFill>
        </w:rPr>
        <w:sym w:font="Wingdings" w:char="00A8"/>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t xml:space="preserve">是  </w:t>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sym w:font="Wingdings" w:char="00A8"/>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t>否</w:t>
      </w:r>
    </w:p>
    <w:p w14:paraId="0C4A6801">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snapToGrid w:val="0"/>
          <w:color w:val="000000" w:themeColor="text1"/>
          <w:kern w:val="0"/>
          <w:sz w:val="21"/>
          <w:szCs w:val="21"/>
          <w:highlight w:val="none"/>
          <w:lang w:val="en-US" w:eastAsia="zh-CN"/>
          <w14:textFill>
            <w14:solidFill>
              <w14:schemeClr w14:val="tx1"/>
            </w14:solidFill>
          </w14:textFill>
        </w:rPr>
        <w:t xml:space="preserve">8.4 </w:t>
      </w:r>
      <w:r>
        <w:rPr>
          <w:rFonts w:hint="eastAsia" w:ascii="宋体" w:hAnsi="宋体" w:eastAsia="宋体" w:cs="宋体"/>
          <w:b w:val="0"/>
          <w:bCs/>
          <w:snapToGrid w:val="0"/>
          <w:color w:val="000000" w:themeColor="text1"/>
          <w:kern w:val="0"/>
          <w:sz w:val="21"/>
          <w:szCs w:val="21"/>
          <w:highlight w:val="none"/>
          <w14:textFill>
            <w14:solidFill>
              <w14:schemeClr w14:val="tx1"/>
            </w14:solidFill>
          </w14:textFill>
        </w:rPr>
        <w:t>是否采用“评定分离”方式：</w:t>
      </w:r>
      <w:r>
        <w:rPr>
          <w:rFonts w:hint="eastAsia" w:ascii="宋体" w:hAnsi="宋体" w:eastAsia="宋体" w:cs="宋体"/>
          <w:b w:val="0"/>
          <w:bCs/>
          <w:snapToGrid w:val="0"/>
          <w:color w:val="000000" w:themeColor="text1"/>
          <w:kern w:val="0"/>
          <w:sz w:val="21"/>
          <w:szCs w:val="21"/>
          <w:highlight w:val="none"/>
          <w:u w:val="single"/>
          <w:lang w:eastAsia="zh-CN"/>
          <w14:textFill>
            <w14:solidFill>
              <w14:schemeClr w14:val="tx1"/>
            </w14:solidFill>
          </w14:textFill>
        </w:rPr>
        <w:sym w:font="Wingdings" w:char="00A8"/>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采用“评定分离”  </w:t>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sym w:font="Wingdings" w:char="00A8"/>
      </w:r>
      <w:r>
        <w:rPr>
          <w:rFonts w:hint="eastAsia" w:ascii="宋体" w:hAnsi="宋体" w:eastAsia="宋体" w:cs="宋体"/>
          <w:b w:val="0"/>
          <w:bCs/>
          <w:snapToGrid w:val="0"/>
          <w:color w:val="000000" w:themeColor="text1"/>
          <w:kern w:val="0"/>
          <w:sz w:val="21"/>
          <w:szCs w:val="21"/>
          <w:highlight w:val="none"/>
          <w:u w:val="single"/>
          <w:lang w:val="en-US" w:eastAsia="zh-CN"/>
          <w14:textFill>
            <w14:solidFill>
              <w14:schemeClr w14:val="tx1"/>
            </w14:solidFill>
          </w14:textFill>
        </w:rPr>
        <w:t>不</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采用“评定分离”</w:t>
      </w:r>
    </w:p>
    <w:p w14:paraId="3930D075">
      <w:pPr>
        <w:pStyle w:val="77"/>
        <w:pageBreakBefore w:val="0"/>
        <w:numPr>
          <w:ilvl w:val="0"/>
          <w:numId w:val="6"/>
        </w:numPr>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bookmarkStart w:id="85" w:name="_Toc22753"/>
      <w:bookmarkStart w:id="86" w:name="_Toc15709"/>
      <w:bookmarkStart w:id="87" w:name="_Toc26883"/>
      <w:r>
        <w:rPr>
          <w:rFonts w:hint="eastAsia" w:ascii="Times New Roman" w:hAnsi="Times New Roman"/>
          <w:smallCaps w:val="0"/>
          <w:color w:val="000000" w:themeColor="text1"/>
          <w:highlight w:val="none"/>
          <w:lang w:val="en-US" w:eastAsia="zh-CN"/>
          <w14:textFill>
            <w14:solidFill>
              <w14:schemeClr w14:val="tx1"/>
            </w14:solidFill>
          </w14:textFill>
        </w:rPr>
        <w:t>联系方式</w:t>
      </w:r>
      <w:bookmarkEnd w:id="85"/>
      <w:bookmarkEnd w:id="86"/>
      <w:bookmarkEnd w:id="87"/>
    </w:p>
    <w:p w14:paraId="215C630E">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.1 招标人</w:t>
      </w:r>
    </w:p>
    <w:p w14:paraId="13568CE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 标 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16ED3B1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47A85FFB">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0601F93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 系 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1FE549F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14BAE181">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.2 招标代理机构</w:t>
      </w:r>
    </w:p>
    <w:p w14:paraId="7A209460">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招标代理机构</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52FE3D79">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6E7D4CEF">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1C3DB00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 系 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7390B37E">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6D5FA8E0">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.3 电子交易系统</w:t>
      </w:r>
    </w:p>
    <w:p w14:paraId="4DCB496C">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电子交易系统名称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淮南市公共资源交易中心网                      </w:t>
      </w:r>
    </w:p>
    <w:p w14:paraId="0E90E6CD">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电子交易系统电话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0512-58188516                       </w:t>
      </w:r>
    </w:p>
    <w:p w14:paraId="66644A28">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.4 电子服务系统</w:t>
      </w:r>
      <w:r>
        <w:rPr>
          <w:rFonts w:hint="eastAsia" w:ascii="Times New Roman" w:hAnsi="Times New Roman"/>
          <w:smallCaps w:val="0"/>
          <w:color w:val="000000" w:themeColor="text1"/>
          <w:highlight w:val="none"/>
          <w14:textFill>
            <w14:solidFill>
              <w14:schemeClr w14:val="tx1"/>
            </w14:solidFill>
          </w14:textFill>
        </w:rPr>
        <w:tab/>
      </w:r>
    </w:p>
    <w:p w14:paraId="3F898F9A">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电子服务系统名称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淮南市公共资源交易中心网                      </w:t>
      </w:r>
    </w:p>
    <w:p w14:paraId="5BB6DDCC">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电子服务系统电话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0512-58188516                      </w:t>
      </w:r>
    </w:p>
    <w:p w14:paraId="77C53098">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 xml:space="preserve">.5 </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p>
    <w:p w14:paraId="624234CF">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76D06AB2">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6FA0E24D">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w:t>
      </w:r>
      <w:r>
        <w:rPr>
          <w:rFonts w:hint="eastAsia" w:ascii="Times New Roman" w:hAnsi="Times New Roman"/>
          <w:smallCaps w:val="0"/>
          <w:color w:val="000000" w:themeColor="text1"/>
          <w:highlight w:val="none"/>
          <w:u w:val="none"/>
          <w:lang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xml:space="preserve"> </w:t>
      </w:r>
    </w:p>
    <w:p w14:paraId="0F8CCC80">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9.6 异议联系人</w:t>
      </w:r>
    </w:p>
    <w:p w14:paraId="3F698C54">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eastAsia="宋体" w:cs="宋体"/>
          <w:smallCaps w:val="0"/>
          <w:color w:val="000000" w:themeColor="text1"/>
          <w:highlight w:val="none"/>
          <w:lang w:val="en-US" w:eastAsia="zh-CN"/>
          <w14:textFill>
            <w14:solidFill>
              <w14:schemeClr w14:val="tx1"/>
            </w14:solidFill>
          </w14:textFill>
        </w:rPr>
      </w:pPr>
      <w:r>
        <w:rPr>
          <w:rFonts w:hint="eastAsia" w:ascii="宋体" w:hAnsi="宋体" w:eastAsia="宋体" w:cs="宋体"/>
          <w:smallCaps w:val="0"/>
          <w:color w:val="000000" w:themeColor="text1"/>
          <w:highlight w:val="none"/>
          <w:lang w:val="en-US" w:eastAsia="zh-CN"/>
          <w14:textFill>
            <w14:solidFill>
              <w14:schemeClr w14:val="tx1"/>
            </w14:solidFill>
          </w14:textFill>
        </w:rPr>
        <w:t>异议（质疑）联系人：XX（招标人）、XX（代理机构）</w:t>
      </w:r>
    </w:p>
    <w:p w14:paraId="12D3D616">
      <w:pPr>
        <w:pStyle w:val="79"/>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eastAsia="宋体" w:cs="宋体"/>
          <w:smallCaps w:val="0"/>
          <w:color w:val="000000" w:themeColor="text1"/>
          <w:highlight w:val="none"/>
          <w:lang w:val="en-US" w:eastAsia="zh-CN"/>
          <w14:textFill>
            <w14:solidFill>
              <w14:schemeClr w14:val="tx1"/>
            </w14:solidFill>
          </w14:textFill>
        </w:rPr>
      </w:pPr>
      <w:r>
        <w:rPr>
          <w:rFonts w:hint="eastAsia" w:ascii="宋体" w:hAnsi="宋体" w:eastAsia="宋体" w:cs="宋体"/>
          <w:smallCaps w:val="0"/>
          <w:color w:val="000000" w:themeColor="text1"/>
          <w:highlight w:val="none"/>
          <w:lang w:val="en-US" w:eastAsia="zh-CN"/>
          <w14:textFill>
            <w14:solidFill>
              <w14:schemeClr w14:val="tx1"/>
            </w14:solidFill>
          </w14:textFill>
        </w:rPr>
        <w:t>异议（质疑）联系电话：XXXX（招标人）、XXXX（代理机构）</w:t>
      </w:r>
    </w:p>
    <w:p w14:paraId="7B09210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p>
    <w:p w14:paraId="5287A264">
      <w:pPr>
        <w:pStyle w:val="77"/>
        <w:pageBreakBefore w:val="0"/>
        <w:numPr>
          <w:ilvl w:val="0"/>
          <w:numId w:val="6"/>
        </w:numPr>
        <w:kinsoku/>
        <w:wordWrap w:val="0"/>
        <w:overflowPunct/>
        <w:bidi w:val="0"/>
        <w:ind w:left="0" w:leftChars="0" w:firstLine="0" w:firstLineChars="0"/>
        <w:rPr>
          <w:rFonts w:hint="eastAsia" w:ascii="Times New Roman" w:hAnsi="Times New Roman"/>
          <w:smallCaps w:val="0"/>
          <w:color w:val="000000" w:themeColor="text1"/>
          <w:highlight w:val="none"/>
          <w:lang w:val="en-US" w:eastAsia="zh-CN"/>
          <w14:textFill>
            <w14:solidFill>
              <w14:schemeClr w14:val="tx1"/>
            </w14:solidFill>
          </w14:textFill>
        </w:rPr>
      </w:pPr>
      <w:bookmarkStart w:id="88" w:name="_Toc19677"/>
      <w:bookmarkStart w:id="89" w:name="_Toc3019"/>
      <w:bookmarkStart w:id="90" w:name="_Toc25799"/>
      <w:r>
        <w:rPr>
          <w:rFonts w:hint="eastAsia" w:ascii="Times New Roman" w:hAnsi="Times New Roman"/>
          <w:smallCaps w:val="0"/>
          <w:color w:val="000000" w:themeColor="text1"/>
          <w:highlight w:val="none"/>
          <w:lang w:val="en-US" w:eastAsia="zh-CN"/>
          <w14:textFill>
            <w14:solidFill>
              <w14:schemeClr w14:val="tx1"/>
            </w14:solidFill>
          </w14:textFill>
        </w:rPr>
        <w:t>其他事项说明</w:t>
      </w:r>
      <w:bookmarkEnd w:id="88"/>
      <w:bookmarkEnd w:id="89"/>
      <w:bookmarkEnd w:id="90"/>
    </w:p>
    <w:p w14:paraId="77386950">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10</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.1 投标人应合理安排招标文件获取时间，特别是网络速度慢的地区防止在系统关闭前网络拥堵无法操作。如果因计算机及网络故障造成无法完成招标文件获取，责任自负。</w:t>
      </w:r>
    </w:p>
    <w:p w14:paraId="44355846">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10.</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2 本项目采用“不见面开标”形式，具体通知请投标人在淮南市公共资源交易中心网上查看。投标人远程投标，无需至现场参加开标。如有人员到现场应当做好人员健康防护工作。如因系统问题无法远程解密，投标人请咨询淮南市公共资源交易中心系统技术客服电话：0512-58188516。不见面开标大厅网址：</w:t>
      </w:r>
      <w:r>
        <w:rPr>
          <w:rFonts w:hint="eastAsia" w:ascii="宋体" w:hAnsi="宋体" w:eastAsia="宋体" w:cs="宋体"/>
          <w:color w:val="000000" w:themeColor="text1"/>
          <w:sz w:val="21"/>
          <w:szCs w:val="21"/>
          <w:highlight w:val="none"/>
          <w14:textFill>
            <w14:solidFill>
              <w14:schemeClr w14:val="tx1"/>
            </w14:solidFill>
          </w14:textFill>
        </w:rPr>
        <w:t>jy.ggj.huainan.gov.cn:8091/BidOpening/bidopeninghallaction/hall/login。</w:t>
      </w:r>
    </w:p>
    <w:p w14:paraId="4DEE2AD0">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10</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.3 本项目实行网上开评标，网上上传加密的电子版投标文件（其他要求详见招标文件）。本项目采用“不见面开标”方式。本项目为远程解密、远程在线开标。投标人应在开标时间前提供使用CA数字证书登录“不见面开标系统”，等待开标并按系统提示进行相应的投标人解密等事项。具体操作方法见中心网站，通知公告栏——《淮南不见面开标大厅操作手册》。从“不见面开标大厅”完成解密。</w:t>
      </w:r>
    </w:p>
    <w:p w14:paraId="6455B933">
      <w:pPr>
        <w:pStyle w:val="77"/>
        <w:pageBreakBefore w:val="0"/>
        <w:numPr>
          <w:ilvl w:val="0"/>
          <w:numId w:val="6"/>
        </w:numPr>
        <w:kinsoku/>
        <w:wordWrap w:val="0"/>
        <w:overflowPunct/>
        <w:bidi w:val="0"/>
        <w:ind w:left="0" w:leftChars="0" w:firstLine="0" w:firstLineChars="0"/>
        <w:rPr>
          <w:rFonts w:hint="eastAsia" w:ascii="Times New Roman" w:hAnsi="Times New Roman"/>
          <w:smallCaps w:val="0"/>
          <w:color w:val="000000" w:themeColor="text1"/>
          <w:highlight w:val="none"/>
          <w:lang w:val="en-US" w:eastAsia="zh-CN"/>
          <w14:textFill>
            <w14:solidFill>
              <w14:schemeClr w14:val="tx1"/>
            </w14:solidFill>
          </w14:textFill>
        </w:rPr>
      </w:pPr>
      <w:bookmarkStart w:id="91" w:name="_Toc4658"/>
      <w:bookmarkStart w:id="92" w:name="_Toc26709"/>
      <w:bookmarkStart w:id="93" w:name="_Toc14253"/>
      <w:r>
        <w:rPr>
          <w:rFonts w:hint="eastAsia" w:ascii="Times New Roman" w:hAnsi="Times New Roman"/>
          <w:smallCaps w:val="0"/>
          <w:color w:val="000000" w:themeColor="text1"/>
          <w:highlight w:val="none"/>
          <w:lang w:val="en-US" w:eastAsia="zh-CN"/>
          <w14:textFill>
            <w14:solidFill>
              <w14:schemeClr w14:val="tx1"/>
            </w14:solidFill>
          </w14:textFill>
        </w:rPr>
        <w:t>投标保证金收款银行账户信息</w:t>
      </w:r>
      <w:bookmarkEnd w:id="91"/>
      <w:bookmarkEnd w:id="92"/>
      <w:bookmarkEnd w:id="93"/>
    </w:p>
    <w:p w14:paraId="6C1974F0">
      <w:pPr>
        <w:keepNext w:val="0"/>
        <w:keepLines w:val="0"/>
        <w:pageBreakBefore w:val="0"/>
        <w:widowControl w:val="0"/>
        <w:kinsoku/>
        <w:wordWrap w:val="0"/>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递交金额：</w:t>
      </w:r>
      <w:r>
        <w:rPr>
          <w:rFonts w:hint="eastAsia" w:ascii="宋体" w:hAnsi="宋体" w:eastAsia="宋体" w:cs="宋体"/>
          <w:b/>
          <w:bCs/>
          <w:color w:val="000000" w:themeColor="text1"/>
          <w:sz w:val="21"/>
          <w:szCs w:val="21"/>
          <w:highlight w:val="none"/>
          <w14:textFill>
            <w14:solidFill>
              <w14:schemeClr w14:val="tx1"/>
            </w14:solidFill>
          </w14:textFill>
        </w:rPr>
        <w:t>人民币</w:t>
      </w:r>
      <w:r>
        <w:rPr>
          <w:rFonts w:hint="eastAsia" w:ascii="宋体" w:hAnsi="宋体" w:eastAsia="宋体" w:cs="宋体"/>
          <w:b/>
          <w:bCs/>
          <w:color w:val="000000" w:themeColor="text1"/>
          <w:sz w:val="21"/>
          <w:szCs w:val="21"/>
          <w:highlight w:val="none"/>
          <w14:textFill>
            <w14:solidFill>
              <w14:schemeClr w14:val="tx1"/>
            </w14:solidFill>
          </w14:textFill>
        </w:rPr>
        <w:t>XXXX</w:t>
      </w:r>
      <w:r>
        <w:rPr>
          <w:rFonts w:hint="eastAsia" w:ascii="宋体" w:hAnsi="宋体" w:eastAsia="宋体" w:cs="宋体"/>
          <w:b/>
          <w:bCs/>
          <w:color w:val="000000" w:themeColor="text1"/>
          <w:sz w:val="21"/>
          <w:szCs w:val="21"/>
          <w:highlight w:val="none"/>
          <w14:textFill>
            <w14:solidFill>
              <w14:schemeClr w14:val="tx1"/>
            </w14:solidFill>
          </w14:textFill>
        </w:rPr>
        <w:t>元整（￥：</w:t>
      </w:r>
      <w:r>
        <w:rPr>
          <w:rFonts w:hint="eastAsia" w:ascii="宋体" w:hAnsi="宋体" w:eastAsia="宋体" w:cs="宋体"/>
          <w:b/>
          <w:bCs/>
          <w:color w:val="000000" w:themeColor="text1"/>
          <w:sz w:val="21"/>
          <w:szCs w:val="21"/>
          <w:highlight w:val="none"/>
          <w14:textFill>
            <w14:solidFill>
              <w14:schemeClr w14:val="tx1"/>
            </w14:solidFill>
          </w14:textFill>
        </w:rPr>
        <w:t>XXXX</w:t>
      </w:r>
      <w:r>
        <w:rPr>
          <w:rFonts w:hint="eastAsia" w:ascii="宋体" w:hAnsi="宋体" w:eastAsia="宋体" w:cs="宋体"/>
          <w:b/>
          <w:bCs/>
          <w:color w:val="000000" w:themeColor="text1"/>
          <w:sz w:val="21"/>
          <w:szCs w:val="21"/>
          <w:highlight w:val="none"/>
          <w14:textFill>
            <w14:solidFill>
              <w14:schemeClr w14:val="tx1"/>
            </w14:solidFill>
          </w14:textFill>
        </w:rPr>
        <w:t>）</w:t>
      </w:r>
    </w:p>
    <w:p w14:paraId="07060382">
      <w:pPr>
        <w:pStyle w:val="21"/>
        <w:keepNext w:val="0"/>
        <w:keepLines w:val="0"/>
        <w:pageBreakBefore w:val="0"/>
        <w:widowControl w:val="0"/>
        <w:kinsoku/>
        <w:wordWrap w:val="0"/>
        <w:overflowPunct/>
        <w:topLinePunct w:val="0"/>
        <w:autoSpaceDE/>
        <w:autoSpaceDN/>
        <w:bidi w:val="0"/>
        <w:adjustRightInd/>
        <w:snapToGrid/>
        <w:spacing w:before="0" w:line="360" w:lineRule="auto"/>
        <w:ind w:left="0" w:right="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递交方式：</w:t>
      </w:r>
      <w:r>
        <w:rPr>
          <w:rFonts w:hint="eastAsia" w:ascii="宋体" w:hAnsi="宋体" w:eastAsia="宋体" w:cs="宋体"/>
          <w:color w:val="000000" w:themeColor="text1"/>
          <w:sz w:val="21"/>
          <w:szCs w:val="21"/>
          <w:highlight w:val="none"/>
          <w:lang w:val="en-US" w:eastAsia="zh-CN"/>
          <w14:textFill>
            <w14:solidFill>
              <w14:schemeClr w14:val="tx1"/>
            </w14:solidFill>
          </w14:textFill>
        </w:rPr>
        <w:t>1、银行转账；2、银行电汇；3、网银支付；4、银行保函；5、电子保函；6、保证保险。以上支付方式均可</w:t>
      </w:r>
    </w:p>
    <w:p w14:paraId="4FFAC4D0">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为减轻投标人及供应商负担，鼓励优先使用电子投标保函形式（具体操作请登录“淮南 市公共资源交易中心网”（http://jy.ggj.huainan.gov.cn/），点击“资料下载”，查询 “淮南市电子投标保函使用手册”，采用纸质保函，投标人应从基本账户开户行出具见索即付无条件不可撤销的纸质保函，否则其投标将被否决；其次通过银行转账、电汇、网银支付、电子保函等方式递交。投标人应按时足额从基本户转入（电汇）至本项目所提供的保证金账户之一中，开标前（服务时间）到账为准。招标结束投标保证金本息一并退还。</w:t>
      </w:r>
    </w:p>
    <w:p w14:paraId="54DD955A">
      <w:pPr>
        <w:keepNext w:val="0"/>
        <w:keepLines w:val="0"/>
        <w:pageBreakBefore w:val="0"/>
        <w:widowControl w:val="0"/>
        <w:kinsoku/>
        <w:wordWrap w:val="0"/>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保证金账户（选择一家银行进行缴费）：</w:t>
      </w:r>
    </w:p>
    <w:tbl>
      <w:tblPr>
        <w:tblStyle w:val="22"/>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1"/>
        <w:gridCol w:w="2414"/>
        <w:gridCol w:w="2914"/>
        <w:gridCol w:w="2573"/>
      </w:tblGrid>
      <w:tr w14:paraId="0662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341" w:type="dxa"/>
            <w:shd w:val="clear" w:color="auto" w:fill="D8D8D8"/>
            <w:noWrap w:val="0"/>
            <w:tcMar>
              <w:top w:w="0" w:type="dxa"/>
              <w:left w:w="108" w:type="dxa"/>
              <w:bottom w:w="0" w:type="dxa"/>
              <w:right w:w="108" w:type="dxa"/>
            </w:tcMar>
            <w:vAlign w:val="center"/>
          </w:tcPr>
          <w:p w14:paraId="6F87C290">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银行类别</w:t>
            </w:r>
          </w:p>
        </w:tc>
        <w:tc>
          <w:tcPr>
            <w:tcW w:w="2414" w:type="dxa"/>
            <w:shd w:val="clear" w:color="auto" w:fill="D8D8D8"/>
            <w:noWrap w:val="0"/>
            <w:tcMar>
              <w:top w:w="0" w:type="dxa"/>
              <w:left w:w="108" w:type="dxa"/>
              <w:bottom w:w="0" w:type="dxa"/>
              <w:right w:w="108" w:type="dxa"/>
            </w:tcMar>
            <w:vAlign w:val="center"/>
          </w:tcPr>
          <w:p w14:paraId="2C1B83DA">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户名</w:t>
            </w:r>
          </w:p>
        </w:tc>
        <w:tc>
          <w:tcPr>
            <w:tcW w:w="2914" w:type="dxa"/>
            <w:shd w:val="clear" w:color="auto" w:fill="D8D8D8"/>
            <w:noWrap w:val="0"/>
            <w:tcMar>
              <w:top w:w="0" w:type="dxa"/>
              <w:left w:w="108" w:type="dxa"/>
              <w:bottom w:w="0" w:type="dxa"/>
              <w:right w:w="108" w:type="dxa"/>
            </w:tcMar>
            <w:vAlign w:val="center"/>
          </w:tcPr>
          <w:p w14:paraId="4C7006FF">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账号</w:t>
            </w:r>
          </w:p>
        </w:tc>
        <w:tc>
          <w:tcPr>
            <w:tcW w:w="2573" w:type="dxa"/>
            <w:shd w:val="clear" w:color="auto" w:fill="D8D8D8"/>
            <w:noWrap w:val="0"/>
            <w:tcMar>
              <w:top w:w="0" w:type="dxa"/>
              <w:left w:w="108" w:type="dxa"/>
              <w:bottom w:w="0" w:type="dxa"/>
              <w:right w:w="108" w:type="dxa"/>
            </w:tcMar>
            <w:vAlign w:val="center"/>
          </w:tcPr>
          <w:p w14:paraId="4BC0B22D">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开户银行</w:t>
            </w:r>
          </w:p>
        </w:tc>
      </w:tr>
      <w:tr w14:paraId="116A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489488EE">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637AF801">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5648B4B5">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eastAsia" w:eastAsia="宋体"/>
                <w:color w:val="000000" w:themeColor="text1"/>
                <w:sz w:val="21"/>
                <w:szCs w:val="21"/>
                <w:highlight w:val="none"/>
                <w:lang w:val="en-US" w:eastAsia="zh-CN"/>
                <w14:textFill>
                  <w14:solidFill>
                    <w14:schemeClr w14:val="tx1"/>
                  </w14:solidFill>
                </w14:textFill>
              </w:rPr>
            </w:pPr>
          </w:p>
        </w:tc>
        <w:tc>
          <w:tcPr>
            <w:tcW w:w="2573" w:type="dxa"/>
            <w:noWrap w:val="0"/>
            <w:tcMar>
              <w:top w:w="0" w:type="dxa"/>
              <w:left w:w="108" w:type="dxa"/>
              <w:bottom w:w="0" w:type="dxa"/>
              <w:right w:w="108" w:type="dxa"/>
            </w:tcMar>
            <w:vAlign w:val="center"/>
          </w:tcPr>
          <w:p w14:paraId="370217E7">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r>
      <w:tr w14:paraId="12B9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18BFF011">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16702A34">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218CD3F6">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573" w:type="dxa"/>
            <w:noWrap w:val="0"/>
            <w:tcMar>
              <w:top w:w="0" w:type="dxa"/>
              <w:left w:w="108" w:type="dxa"/>
              <w:bottom w:w="0" w:type="dxa"/>
              <w:right w:w="108" w:type="dxa"/>
            </w:tcMar>
            <w:vAlign w:val="center"/>
          </w:tcPr>
          <w:p w14:paraId="675DE8F8">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r>
      <w:tr w14:paraId="206E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70FA503E">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18D0CCD8">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5DC4466B">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573" w:type="dxa"/>
            <w:noWrap w:val="0"/>
            <w:tcMar>
              <w:top w:w="0" w:type="dxa"/>
              <w:left w:w="108" w:type="dxa"/>
              <w:bottom w:w="0" w:type="dxa"/>
              <w:right w:w="108" w:type="dxa"/>
            </w:tcMar>
            <w:vAlign w:val="center"/>
          </w:tcPr>
          <w:p w14:paraId="2089E36D">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r>
      <w:tr w14:paraId="13FB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7D32E85A">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35B4FC9E">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1BEBF142">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c>
          <w:tcPr>
            <w:tcW w:w="2573" w:type="dxa"/>
            <w:noWrap w:val="0"/>
            <w:tcMar>
              <w:top w:w="0" w:type="dxa"/>
              <w:left w:w="108" w:type="dxa"/>
              <w:bottom w:w="0" w:type="dxa"/>
              <w:right w:w="108" w:type="dxa"/>
            </w:tcMar>
            <w:vAlign w:val="center"/>
          </w:tcPr>
          <w:p w14:paraId="64CA994C">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default"/>
                <w:color w:val="000000" w:themeColor="text1"/>
                <w:sz w:val="21"/>
                <w:szCs w:val="21"/>
                <w:highlight w:val="none"/>
                <w14:textFill>
                  <w14:solidFill>
                    <w14:schemeClr w14:val="tx1"/>
                  </w14:solidFill>
                </w14:textFill>
              </w:rPr>
            </w:pPr>
          </w:p>
        </w:tc>
      </w:tr>
      <w:tr w14:paraId="725E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341" w:type="dxa"/>
            <w:noWrap w:val="0"/>
            <w:tcMar>
              <w:top w:w="0" w:type="dxa"/>
              <w:left w:w="108" w:type="dxa"/>
              <w:bottom w:w="0" w:type="dxa"/>
              <w:right w:w="108" w:type="dxa"/>
            </w:tcMar>
            <w:vAlign w:val="center"/>
          </w:tcPr>
          <w:p w14:paraId="62090256">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eastAsia"/>
                <w:color w:val="000000" w:themeColor="text1"/>
                <w:sz w:val="21"/>
                <w:szCs w:val="21"/>
                <w:highlight w:val="none"/>
                <w14:textFill>
                  <w14:solidFill>
                    <w14:schemeClr w14:val="tx1"/>
                  </w14:solidFill>
                </w14:textFill>
              </w:rPr>
            </w:pPr>
          </w:p>
        </w:tc>
        <w:tc>
          <w:tcPr>
            <w:tcW w:w="2414" w:type="dxa"/>
            <w:noWrap w:val="0"/>
            <w:tcMar>
              <w:top w:w="0" w:type="dxa"/>
              <w:left w:w="108" w:type="dxa"/>
              <w:bottom w:w="0" w:type="dxa"/>
              <w:right w:w="108" w:type="dxa"/>
            </w:tcMar>
            <w:vAlign w:val="center"/>
          </w:tcPr>
          <w:p w14:paraId="6E4CEC8C">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eastAsia"/>
                <w:color w:val="000000" w:themeColor="text1"/>
                <w:sz w:val="21"/>
                <w:szCs w:val="21"/>
                <w:highlight w:val="none"/>
                <w14:textFill>
                  <w14:solidFill>
                    <w14:schemeClr w14:val="tx1"/>
                  </w14:solidFill>
                </w14:textFill>
              </w:rPr>
            </w:pPr>
          </w:p>
        </w:tc>
        <w:tc>
          <w:tcPr>
            <w:tcW w:w="2914" w:type="dxa"/>
            <w:noWrap w:val="0"/>
            <w:tcMar>
              <w:top w:w="0" w:type="dxa"/>
              <w:left w:w="108" w:type="dxa"/>
              <w:bottom w:w="0" w:type="dxa"/>
              <w:right w:w="108" w:type="dxa"/>
            </w:tcMar>
            <w:vAlign w:val="center"/>
          </w:tcPr>
          <w:p w14:paraId="56764406">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eastAsia"/>
                <w:color w:val="000000" w:themeColor="text1"/>
                <w:sz w:val="21"/>
                <w:szCs w:val="21"/>
                <w:highlight w:val="none"/>
                <w14:textFill>
                  <w14:solidFill>
                    <w14:schemeClr w14:val="tx1"/>
                  </w14:solidFill>
                </w14:textFill>
              </w:rPr>
            </w:pPr>
          </w:p>
        </w:tc>
        <w:tc>
          <w:tcPr>
            <w:tcW w:w="2573" w:type="dxa"/>
            <w:noWrap w:val="0"/>
            <w:tcMar>
              <w:top w:w="0" w:type="dxa"/>
              <w:left w:w="108" w:type="dxa"/>
              <w:bottom w:w="0" w:type="dxa"/>
              <w:right w:w="108" w:type="dxa"/>
            </w:tcMar>
            <w:vAlign w:val="center"/>
          </w:tcPr>
          <w:p w14:paraId="31870854">
            <w:pPr>
              <w:pStyle w:val="18"/>
              <w:keepNext w:val="0"/>
              <w:keepLines w:val="0"/>
              <w:pageBreakBefore w:val="0"/>
              <w:suppressLineNumbers w:val="0"/>
              <w:kinsoku/>
              <w:wordWrap w:val="0"/>
              <w:overflowPunct/>
              <w:bidi w:val="0"/>
              <w:spacing w:before="0" w:beforeAutospacing="0" w:after="0" w:afterAutospacing="0" w:line="300" w:lineRule="auto"/>
              <w:ind w:left="0" w:right="0"/>
              <w:jc w:val="center"/>
              <w:rPr>
                <w:rFonts w:hint="eastAsia"/>
                <w:color w:val="000000" w:themeColor="text1"/>
                <w:sz w:val="21"/>
                <w:szCs w:val="21"/>
                <w:highlight w:val="none"/>
                <w14:textFill>
                  <w14:solidFill>
                    <w14:schemeClr w14:val="tx1"/>
                  </w14:solidFill>
                </w14:textFill>
              </w:rPr>
            </w:pPr>
          </w:p>
        </w:tc>
      </w:tr>
      <w:tr w14:paraId="463E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9242" w:type="dxa"/>
            <w:gridSpan w:val="4"/>
            <w:noWrap w:val="0"/>
            <w:tcMar>
              <w:top w:w="0" w:type="dxa"/>
              <w:left w:w="108" w:type="dxa"/>
              <w:bottom w:w="0" w:type="dxa"/>
              <w:right w:w="108" w:type="dxa"/>
            </w:tcMar>
            <w:vAlign w:val="center"/>
          </w:tcPr>
          <w:p w14:paraId="223E6E00">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注：以上账户的账号仅为本项目本次招标活动使用，其他项目或本项目的另次开标均会变动，请投标人注意核对每次的账号，确认无误后转入。</w:t>
            </w:r>
          </w:p>
        </w:tc>
      </w:tr>
    </w:tbl>
    <w:p w14:paraId="38214E5F">
      <w:pPr>
        <w:pageBreakBefore w:val="0"/>
        <w:kinsoku/>
        <w:wordWrap w:val="0"/>
        <w:overflowPunct/>
        <w:bidi w:val="0"/>
        <w:jc w:val="right"/>
        <w:rPr>
          <w:rFonts w:hint="eastAsia" w:ascii="Times New Roman" w:hAnsi="Times New Roman" w:cs="宋体"/>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日 </w:t>
      </w:r>
    </w:p>
    <w:p w14:paraId="0FC091D6">
      <w:pPr>
        <w:pageBreakBefore w:val="0"/>
        <w:kinsoku/>
        <w:wordWrap w:val="0"/>
        <w:overflowPunct/>
        <w:bidi w:val="0"/>
        <w:rPr>
          <w:rFonts w:hint="eastAsia" w:ascii="Times New Roman" w:hAnsi="Times New Roman" w:cs="宋体"/>
          <w:smallCaps w:val="0"/>
          <w:color w:val="000000" w:themeColor="text1"/>
          <w:szCs w:val="21"/>
          <w:highlight w:val="none"/>
          <w14:textFill>
            <w14:solidFill>
              <w14:schemeClr w14:val="tx1"/>
            </w14:solidFill>
          </w14:textFill>
        </w:rPr>
      </w:pPr>
    </w:p>
    <w:p w14:paraId="0D1A4D3B">
      <w:pPr>
        <w:pageBreakBefore w:val="0"/>
        <w:kinsoku/>
        <w:wordWrap w:val="0"/>
        <w:overflowPunct/>
        <w:bidi w:val="0"/>
        <w:rPr>
          <w:rStyle w:val="78"/>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Cs/>
          <w:smallCaps w:val="0"/>
          <w:color w:val="000000" w:themeColor="text1"/>
          <w:highlight w:val="none"/>
          <w14:textFill>
            <w14:solidFill>
              <w14:schemeClr w14:val="tx1"/>
            </w14:solidFill>
          </w14:textFill>
        </w:rPr>
        <w:br w:type="page"/>
      </w:r>
      <w:bookmarkStart w:id="94" w:name="_Toc501257048"/>
      <w:bookmarkStart w:id="95" w:name="_Toc31220"/>
      <w:r>
        <w:rPr>
          <w:rStyle w:val="78"/>
          <w:rFonts w:hint="eastAsia" w:ascii="Times New Roman" w:hAnsi="Times New Roman"/>
          <w:smallCaps w:val="0"/>
          <w:color w:val="000000" w:themeColor="text1"/>
          <w:highlight w:val="none"/>
          <w14:textFill>
            <w14:solidFill>
              <w14:schemeClr w14:val="tx1"/>
            </w14:solidFill>
          </w14:textFill>
        </w:rPr>
        <w:t>附件</w:t>
      </w:r>
      <w:r>
        <w:rPr>
          <w:rStyle w:val="78"/>
          <w:rFonts w:hint="eastAsia" w:ascii="Times New Roman" w:hAnsi="Times New Roman"/>
          <w:smallCaps w:val="0"/>
          <w:color w:val="000000" w:themeColor="text1"/>
          <w:highlight w:val="none"/>
          <w:lang w:eastAsia="zh-CN"/>
          <w14:textFill>
            <w14:solidFill>
              <w14:schemeClr w14:val="tx1"/>
            </w14:solidFill>
          </w14:textFill>
        </w:rPr>
        <w:t xml:space="preserve"> </w:t>
      </w:r>
      <w:bookmarkEnd w:id="94"/>
    </w:p>
    <w:bookmarkEnd w:id="95"/>
    <w:p w14:paraId="5931F5BA">
      <w:pPr>
        <w:pageBreakBefore w:val="0"/>
        <w:kinsoku/>
        <w:wordWrap w:val="0"/>
        <w:overflowPunct/>
        <w:bidi w:val="0"/>
        <w:jc w:val="center"/>
        <w:rPr>
          <w:rFonts w:hint="eastAsia" w:ascii="方正公文黑体" w:hAnsi="方正公文黑体" w:eastAsia="方正公文黑体" w:cs="方正公文黑体"/>
          <w:color w:val="000000" w:themeColor="text1"/>
          <w:sz w:val="28"/>
          <w:szCs w:val="28"/>
          <w:highlight w:val="none"/>
          <w14:textFill>
            <w14:solidFill>
              <w14:schemeClr w14:val="tx1"/>
            </w14:solidFill>
          </w14:textFill>
        </w:rPr>
      </w:pPr>
    </w:p>
    <w:p w14:paraId="6F5620E6">
      <w:pPr>
        <w:pageBreakBefore w:val="0"/>
        <w:kinsoku/>
        <w:wordWrap w:val="0"/>
        <w:overflowPunct/>
        <w:bidi w:val="0"/>
        <w:jc w:val="center"/>
        <w:rPr>
          <w:rFonts w:hint="eastAsia" w:ascii="方正公文黑体" w:hAnsi="方正公文黑体" w:eastAsia="方正公文黑体" w:cs="方正公文黑体"/>
          <w:color w:val="000000" w:themeColor="text1"/>
          <w:sz w:val="28"/>
          <w:szCs w:val="28"/>
          <w:highlight w:val="none"/>
          <w:lang w:val="en-US" w:eastAsia="zh-CN"/>
          <w14:textFill>
            <w14:solidFill>
              <w14:schemeClr w14:val="tx1"/>
            </w14:solidFill>
          </w14:textFill>
        </w:rPr>
      </w:pPr>
      <w:bookmarkStart w:id="96" w:name="_Toc21938"/>
      <w:r>
        <w:rPr>
          <w:rFonts w:hint="eastAsia" w:ascii="方正公文黑体" w:hAnsi="方正公文黑体" w:eastAsia="方正公文黑体" w:cs="方正公文黑体"/>
          <w:color w:val="000000" w:themeColor="text1"/>
          <w:sz w:val="28"/>
          <w:szCs w:val="28"/>
          <w:highlight w:val="none"/>
          <w:lang w:val="en-US" w:eastAsia="zh-CN"/>
          <w14:textFill>
            <w14:solidFill>
              <w14:schemeClr w14:val="tx1"/>
            </w14:solidFill>
          </w14:textFill>
        </w:rPr>
        <w:t>确认通知</w:t>
      </w:r>
    </w:p>
    <w:bookmarkEnd w:id="96"/>
    <w:p w14:paraId="619D9F59">
      <w:pPr>
        <w:keepNext w:val="0"/>
        <w:keepLines w:val="0"/>
        <w:pageBreakBefore w:val="0"/>
        <w:widowControl w:val="0"/>
        <w:kinsoku/>
        <w:wordWrap w:val="0"/>
        <w:overflowPunct/>
        <w:topLinePunct w:val="0"/>
        <w:autoSpaceDE/>
        <w:autoSpaceDN/>
        <w:bidi w:val="0"/>
        <w:adjustRightInd/>
        <w:snapToGrid/>
        <w:spacing w:line="600" w:lineRule="atLeast"/>
        <w:ind w:firstLine="480" w:firstLineChars="200"/>
        <w:textAlignment w:val="auto"/>
        <w:outlineLvl w:val="9"/>
        <w:rPr>
          <w:rFonts w:ascii="Times New Roman" w:hAnsi="Times New Roman"/>
          <w:smallCaps w:val="0"/>
          <w:color w:val="000000" w:themeColor="text1"/>
          <w:highlight w:val="none"/>
          <w14:textFill>
            <w14:solidFill>
              <w14:schemeClr w14:val="tx1"/>
            </w14:solidFill>
          </w14:textFill>
        </w:rPr>
      </w:pPr>
    </w:p>
    <w:p w14:paraId="746801BC">
      <w:pPr>
        <w:keepNext w:val="0"/>
        <w:keepLines w:val="0"/>
        <w:pageBreakBefore w:val="0"/>
        <w:widowControl w:val="0"/>
        <w:kinsoku/>
        <w:wordWrap w:val="0"/>
        <w:overflowPunct/>
        <w:topLinePunct w:val="0"/>
        <w:autoSpaceDE/>
        <w:autoSpaceDN/>
        <w:bidi w:val="0"/>
        <w:adjustRightInd/>
        <w:snapToGrid/>
        <w:spacing w:line="600" w:lineRule="atLeast"/>
        <w:textAlignment w:val="auto"/>
        <w:outlineLvl w:val="9"/>
        <w:rPr>
          <w:rFonts w:hint="eastAsia" w:ascii="Times New Roman" w:hAnsi="Times New Roman" w:eastAsia="宋体" w:cs="宋体"/>
          <w:small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（招标人）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p>
    <w:p w14:paraId="2F97E2B5">
      <w:pPr>
        <w:keepNext w:val="0"/>
        <w:keepLines w:val="0"/>
        <w:pageBreakBefore w:val="0"/>
        <w:widowControl w:val="0"/>
        <w:kinsoku/>
        <w:wordWrap w:val="0"/>
        <w:overflowPunct/>
        <w:topLinePunct w:val="0"/>
        <w:autoSpaceDE/>
        <w:autoSpaceDN/>
        <w:bidi w:val="0"/>
        <w:adjustRightInd/>
        <w:snapToGrid/>
        <w:spacing w:line="600" w:lineRule="atLeast"/>
        <w:ind w:firstLine="420" w:firstLineChars="200"/>
        <w:textAlignment w:val="auto"/>
        <w:outlineLvl w:val="9"/>
        <w:rPr>
          <w:rFonts w:hint="eastAsia" w:ascii="Times New Roman" w:hAnsi="Times New Roman" w:eastAsia="宋体" w:cs="宋体"/>
          <w:smallCaps w:val="0"/>
          <w:color w:val="000000" w:themeColor="text1"/>
          <w:sz w:val="21"/>
          <w:szCs w:val="21"/>
          <w:highlight w:val="none"/>
          <w14:textFill>
            <w14:solidFill>
              <w14:schemeClr w14:val="tx1"/>
            </w14:solidFill>
          </w14:textFill>
        </w:rPr>
      </w:pPr>
    </w:p>
    <w:p w14:paraId="43D6DE2E">
      <w:pPr>
        <w:keepNext w:val="0"/>
        <w:keepLines w:val="0"/>
        <w:pageBreakBefore w:val="0"/>
        <w:widowControl w:val="0"/>
        <w:kinsoku/>
        <w:wordWrap w:val="0"/>
        <w:overflowPunct/>
        <w:topLinePunct w:val="0"/>
        <w:autoSpaceDE/>
        <w:autoSpaceDN/>
        <w:bidi w:val="0"/>
        <w:adjustRightInd/>
        <w:snapToGrid/>
        <w:spacing w:line="600" w:lineRule="atLeast"/>
        <w:ind w:firstLine="420" w:firstLineChars="200"/>
        <w:jc w:val="left"/>
        <w:textAlignment w:val="auto"/>
        <w:outlineLvl w:val="9"/>
        <w:rPr>
          <w:rFonts w:hint="eastAsia" w:ascii="Times New Roman" w:hAnsi="Times New Roman" w:eastAsia="宋体" w:cs="宋体"/>
          <w:smallCaps w:val="0"/>
          <w:color w:val="000000" w:themeColor="text1"/>
          <w:sz w:val="21"/>
          <w:szCs w:val="21"/>
          <w:highlight w:val="none"/>
          <w14:textFill>
            <w14:solidFill>
              <w14:schemeClr w14:val="tx1"/>
            </w14:solidFill>
          </w14:textFill>
        </w:rPr>
      </w:pPr>
      <w:r>
        <w:rPr>
          <w:rFonts w:hint="eastAsia" w:ascii="Times New Roman" w:hAnsi="Times New Roman" w:eastAsia="宋体" w:cs="宋体"/>
          <w:smallCaps w:val="0"/>
          <w:color w:val="000000" w:themeColor="text1"/>
          <w:sz w:val="21"/>
          <w:szCs w:val="21"/>
          <w:highlight w:val="none"/>
          <w14:textFill>
            <w14:solidFill>
              <w14:schemeClr w14:val="tx1"/>
            </w14:solidFill>
          </w14:textFill>
        </w:rPr>
        <w:t>我方已于</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年</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月</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日收到你方</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年</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月</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日发出的</w:t>
      </w:r>
    </w:p>
    <w:p w14:paraId="39E19E32">
      <w:pPr>
        <w:keepNext w:val="0"/>
        <w:keepLines w:val="0"/>
        <w:pageBreakBefore w:val="0"/>
        <w:widowControl w:val="0"/>
        <w:kinsoku/>
        <w:wordWrap w:val="0"/>
        <w:overflowPunct/>
        <w:topLinePunct w:val="0"/>
        <w:autoSpaceDE/>
        <w:autoSpaceDN/>
        <w:bidi w:val="0"/>
        <w:adjustRightInd/>
        <w:snapToGrid/>
        <w:spacing w:line="600" w:lineRule="atLeast"/>
        <w:ind w:firstLine="420" w:firstLineChars="200"/>
        <w:jc w:val="left"/>
        <w:textAlignment w:val="auto"/>
        <w:outlineLvl w:val="9"/>
        <w:rPr>
          <w:rFonts w:hint="eastAsia" w:ascii="Times New Roman" w:hAnsi="Times New Roman" w:eastAsia="宋体" w:cs="宋体"/>
          <w:smallCaps w:val="0"/>
          <w:color w:val="000000" w:themeColor="text1"/>
          <w:sz w:val="21"/>
          <w:szCs w:val="21"/>
          <w:highlight w:val="none"/>
          <w14:textFill>
            <w14:solidFill>
              <w14:schemeClr w14:val="tx1"/>
            </w14:solidFill>
          </w14:textFill>
        </w:rPr>
      </w:pP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w:t>
      </w:r>
      <w:r>
        <w:rPr>
          <w:rFonts w:hint="eastAsia" w:ascii="Times New Roman" w:hAnsi="Times New Roman" w:eastAsia="宋体" w:cs="宋体"/>
          <w:b w:val="0"/>
          <w:bCs w:val="0"/>
          <w:smallCaps w:val="0"/>
          <w:color w:val="000000" w:themeColor="text1"/>
          <w:sz w:val="21"/>
          <w:szCs w:val="21"/>
          <w:highlight w:val="none"/>
          <w14:textFill>
            <w14:solidFill>
              <w14:schemeClr w14:val="tx1"/>
            </w14:solidFill>
          </w14:textFill>
        </w:rPr>
        <w:t>招标项目名称</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标段施工招标的投标邀请书，并确认</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（参加/不参加）</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投标。</w:t>
      </w:r>
    </w:p>
    <w:p w14:paraId="23DC74B9">
      <w:pPr>
        <w:keepNext w:val="0"/>
        <w:keepLines w:val="0"/>
        <w:pageBreakBefore w:val="0"/>
        <w:widowControl w:val="0"/>
        <w:kinsoku/>
        <w:wordWrap w:val="0"/>
        <w:overflowPunct/>
        <w:topLinePunct w:val="0"/>
        <w:autoSpaceDE/>
        <w:autoSpaceDN/>
        <w:bidi w:val="0"/>
        <w:adjustRightInd/>
        <w:snapToGrid/>
        <w:spacing w:line="600" w:lineRule="atLeast"/>
        <w:ind w:firstLine="420" w:firstLineChars="200"/>
        <w:textAlignment w:val="auto"/>
        <w:outlineLvl w:val="9"/>
        <w:rPr>
          <w:rFonts w:hint="eastAsia" w:ascii="Times New Roman" w:hAnsi="Times New Roman" w:eastAsia="宋体" w:cs="宋体"/>
          <w:smallCaps w:val="0"/>
          <w:color w:val="000000" w:themeColor="text1"/>
          <w:sz w:val="21"/>
          <w:szCs w:val="21"/>
          <w:highlight w:val="none"/>
          <w14:textFill>
            <w14:solidFill>
              <w14:schemeClr w14:val="tx1"/>
            </w14:solidFill>
          </w14:textFill>
        </w:rPr>
      </w:pPr>
      <w:r>
        <w:rPr>
          <w:rFonts w:hint="eastAsia" w:ascii="Times New Roman" w:hAnsi="Times New Roman" w:eastAsia="宋体" w:cs="宋体"/>
          <w:smallCaps w:val="0"/>
          <w:color w:val="000000" w:themeColor="text1"/>
          <w:sz w:val="21"/>
          <w:szCs w:val="21"/>
          <w:highlight w:val="none"/>
          <w14:textFill>
            <w14:solidFill>
              <w14:schemeClr w14:val="tx1"/>
            </w14:solidFill>
          </w14:textFill>
        </w:rPr>
        <w:t>特此确认。</w:t>
      </w:r>
    </w:p>
    <w:p w14:paraId="56D4E58B">
      <w:pPr>
        <w:keepNext w:val="0"/>
        <w:keepLines w:val="0"/>
        <w:pageBreakBefore w:val="0"/>
        <w:widowControl w:val="0"/>
        <w:kinsoku/>
        <w:wordWrap w:val="0"/>
        <w:overflowPunct/>
        <w:topLinePunct w:val="0"/>
        <w:autoSpaceDE/>
        <w:autoSpaceDN/>
        <w:bidi w:val="0"/>
        <w:adjustRightInd/>
        <w:snapToGrid/>
        <w:spacing w:line="600" w:lineRule="atLeast"/>
        <w:ind w:firstLine="420" w:firstLineChars="200"/>
        <w:textAlignment w:val="auto"/>
        <w:outlineLvl w:val="9"/>
        <w:rPr>
          <w:rFonts w:hint="eastAsia" w:ascii="Times New Roman" w:hAnsi="Times New Roman" w:eastAsia="宋体" w:cs="宋体"/>
          <w:smallCaps w:val="0"/>
          <w:color w:val="000000" w:themeColor="text1"/>
          <w:sz w:val="21"/>
          <w:szCs w:val="21"/>
          <w:highlight w:val="none"/>
          <w14:textFill>
            <w14:solidFill>
              <w14:schemeClr w14:val="tx1"/>
            </w14:solidFill>
          </w14:textFill>
        </w:rPr>
      </w:pPr>
    </w:p>
    <w:p w14:paraId="3DC32373">
      <w:pPr>
        <w:keepNext w:val="0"/>
        <w:keepLines w:val="0"/>
        <w:pageBreakBefore w:val="0"/>
        <w:widowControl w:val="0"/>
        <w:kinsoku/>
        <w:wordWrap w:val="0"/>
        <w:overflowPunct/>
        <w:topLinePunct w:val="0"/>
        <w:autoSpaceDE/>
        <w:autoSpaceDN/>
        <w:bidi w:val="0"/>
        <w:adjustRightInd/>
        <w:snapToGrid/>
        <w:spacing w:line="600" w:lineRule="atLeast"/>
        <w:ind w:firstLine="420" w:firstLineChars="200"/>
        <w:textAlignment w:val="auto"/>
        <w:outlineLvl w:val="9"/>
        <w:rPr>
          <w:rFonts w:hint="eastAsia" w:ascii="Times New Roman" w:hAnsi="Times New Roman" w:eastAsia="宋体" w:cs="宋体"/>
          <w:smallCaps w:val="0"/>
          <w:color w:val="000000" w:themeColor="text1"/>
          <w:sz w:val="21"/>
          <w:szCs w:val="21"/>
          <w:highlight w:val="none"/>
          <w14:textFill>
            <w14:solidFill>
              <w14:schemeClr w14:val="tx1"/>
            </w14:solidFill>
          </w14:textFill>
        </w:rPr>
      </w:pPr>
    </w:p>
    <w:p w14:paraId="61EC285C">
      <w:pPr>
        <w:keepNext w:val="0"/>
        <w:keepLines w:val="0"/>
        <w:pageBreakBefore w:val="0"/>
        <w:widowControl w:val="0"/>
        <w:kinsoku/>
        <w:wordWrap w:val="0"/>
        <w:overflowPunct/>
        <w:topLinePunct w:val="0"/>
        <w:autoSpaceDE/>
        <w:autoSpaceDN/>
        <w:bidi w:val="0"/>
        <w:adjustRightInd/>
        <w:snapToGrid/>
        <w:spacing w:line="600" w:lineRule="atLeast"/>
        <w:ind w:firstLine="2940" w:firstLineChars="1400"/>
        <w:jc w:val="right"/>
        <w:textAlignment w:val="auto"/>
        <w:outlineLvl w:val="9"/>
        <w:rPr>
          <w:rFonts w:hint="eastAsia" w:ascii="Times New Roman" w:hAnsi="Times New Roman" w:eastAsia="宋体" w:cs="宋体"/>
          <w:smallCaps w:val="0"/>
          <w:color w:val="000000" w:themeColor="text1"/>
          <w:sz w:val="21"/>
          <w:szCs w:val="21"/>
          <w:highlight w:val="none"/>
          <w14:textFill>
            <w14:solidFill>
              <w14:schemeClr w14:val="tx1"/>
            </w14:solidFill>
          </w14:textFill>
        </w:rPr>
      </w:pPr>
      <w:r>
        <w:rPr>
          <w:rFonts w:hint="eastAsia" w:ascii="Times New Roman" w:hAnsi="Times New Roman" w:eastAsia="宋体" w:cs="宋体"/>
          <w:smallCaps w:val="0"/>
          <w:color w:val="000000" w:themeColor="text1"/>
          <w:sz w:val="21"/>
          <w:szCs w:val="21"/>
          <w:highlight w:val="none"/>
          <w14:textFill>
            <w14:solidFill>
              <w14:schemeClr w14:val="tx1"/>
            </w14:solidFill>
          </w14:textFill>
        </w:rPr>
        <w:t>被邀请单位名称</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（盖单位章）</w:t>
      </w:r>
    </w:p>
    <w:p w14:paraId="3168890F">
      <w:pPr>
        <w:keepNext w:val="0"/>
        <w:keepLines w:val="0"/>
        <w:pageBreakBefore w:val="0"/>
        <w:widowControl w:val="0"/>
        <w:kinsoku/>
        <w:wordWrap w:val="0"/>
        <w:overflowPunct/>
        <w:topLinePunct w:val="0"/>
        <w:autoSpaceDE/>
        <w:autoSpaceDN/>
        <w:bidi w:val="0"/>
        <w:adjustRightInd/>
        <w:snapToGrid/>
        <w:spacing w:line="600" w:lineRule="atLeast"/>
        <w:ind w:firstLine="420" w:firstLineChars="200"/>
        <w:jc w:val="right"/>
        <w:textAlignment w:val="auto"/>
        <w:outlineLvl w:val="9"/>
        <w:rPr>
          <w:rStyle w:val="36"/>
          <w:rFonts w:hint="eastAsia" w:ascii="Times New Roman" w:hAnsi="Times New Roman" w:eastAsia="宋体" w:cs="宋体"/>
          <w:smallCaps w:val="0"/>
          <w:color w:val="000000" w:themeColor="text1"/>
          <w:spacing w:val="-4"/>
          <w:sz w:val="21"/>
          <w:szCs w:val="21"/>
          <w:highlight w:val="none"/>
          <w14:textFill>
            <w14:solidFill>
              <w14:schemeClr w14:val="tx1"/>
            </w14:solidFill>
          </w14:textFill>
        </w:rPr>
      </w:pP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年</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月</w:t>
      </w:r>
      <w:r>
        <w:rPr>
          <w:rFonts w:hint="eastAsia" w:ascii="Times New Roman" w:hAnsi="Times New Roman" w:eastAsia="宋体"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smallCaps w:val="0"/>
          <w:color w:val="000000" w:themeColor="text1"/>
          <w:sz w:val="21"/>
          <w:szCs w:val="21"/>
          <w:highlight w:val="none"/>
          <w14:textFill>
            <w14:solidFill>
              <w14:schemeClr w14:val="tx1"/>
            </w14:solidFill>
          </w14:textFill>
        </w:rPr>
        <w:t>日</w:t>
      </w:r>
    </w:p>
    <w:p w14:paraId="0527584A">
      <w:pPr>
        <w:pageBreakBefore w:val="0"/>
        <w:numPr>
          <w:ilvl w:val="0"/>
          <w:numId w:val="0"/>
        </w:numPr>
        <w:kinsoku/>
        <w:wordWrap w:val="0"/>
        <w:overflowPunct/>
        <w:bidi w:val="0"/>
        <w:adjustRightInd w:val="0"/>
        <w:snapToGrid w:val="0"/>
        <w:ind w:left="440" w:leftChars="0" w:hanging="440" w:firstLineChars="0"/>
        <w:jc w:val="center"/>
        <w:outlineLvl w:val="9"/>
        <w:rPr>
          <w:rStyle w:val="39"/>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Cs w:val="0"/>
          <w:smallCaps w:val="0"/>
          <w:color w:val="000000" w:themeColor="text1"/>
          <w:highlight w:val="none"/>
          <w14:textFill>
            <w14:solidFill>
              <w14:schemeClr w14:val="tx1"/>
            </w14:solidFill>
          </w14:textFill>
        </w:rPr>
        <w:br w:type="page"/>
      </w:r>
      <w:bookmarkStart w:id="97" w:name="_Toc18186"/>
      <w:bookmarkStart w:id="98" w:name="_Toc18313"/>
    </w:p>
    <w:p w14:paraId="48DAE5FA">
      <w:pPr>
        <w:pStyle w:val="40"/>
        <w:pageBreakBefore w:val="0"/>
        <w:numPr>
          <w:ilvl w:val="0"/>
          <w:numId w:val="0"/>
        </w:numPr>
        <w:kinsoku/>
        <w:wordWrap w:val="0"/>
        <w:overflowPunct/>
        <w:bidi w:val="0"/>
        <w:rPr>
          <w:rFonts w:hint="eastAsia"/>
          <w:color w:val="000000" w:themeColor="text1"/>
          <w:highlight w:val="none"/>
          <w14:textFill>
            <w14:solidFill>
              <w14:schemeClr w14:val="tx1"/>
            </w14:solidFill>
          </w14:textFill>
        </w:rPr>
      </w:pPr>
      <w:bookmarkStart w:id="99" w:name="_Toc32522"/>
      <w:r>
        <w:rPr>
          <w:rFonts w:hint="eastAsia"/>
          <w:color w:val="000000" w:themeColor="text1"/>
          <w:highlight w:val="none"/>
          <w:lang w:val="en-US" w:eastAsia="zh-CN"/>
          <w14:textFill>
            <w14:solidFill>
              <w14:schemeClr w14:val="tx1"/>
            </w14:solidFill>
          </w14:textFill>
        </w:rPr>
        <w:t xml:space="preserve">第二章 </w:t>
      </w:r>
      <w:r>
        <w:rPr>
          <w:rFonts w:hint="eastAsia"/>
          <w:color w:val="000000" w:themeColor="text1"/>
          <w:highlight w:val="none"/>
          <w14:textFill>
            <w14:solidFill>
              <w14:schemeClr w14:val="tx1"/>
            </w14:solidFill>
          </w14:textFill>
        </w:rPr>
        <w:t>投标人须知</w:t>
      </w:r>
      <w:bookmarkEnd w:id="97"/>
      <w:bookmarkEnd w:id="98"/>
      <w:bookmarkEnd w:id="99"/>
    </w:p>
    <w:p w14:paraId="1639A81E">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3DCC2A0A">
      <w:pPr>
        <w:pStyle w:val="77"/>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bookmarkStart w:id="100" w:name="_Toc38879315"/>
      <w:bookmarkStart w:id="101" w:name="_Toc17660"/>
      <w:bookmarkStart w:id="102" w:name="_Toc29426"/>
      <w:bookmarkStart w:id="103" w:name="_Toc7154"/>
      <w:r>
        <w:rPr>
          <w:rFonts w:hint="eastAsia" w:ascii="Times New Roman" w:hAnsi="Times New Roman"/>
          <w:smallCaps w:val="0"/>
          <w:color w:val="000000" w:themeColor="text1"/>
          <w:highlight w:val="none"/>
          <w14:textFill>
            <w14:solidFill>
              <w14:schemeClr w14:val="tx1"/>
            </w14:solidFill>
          </w14:textFill>
        </w:rPr>
        <w:t>投标人须知前附表</w:t>
      </w:r>
      <w:bookmarkEnd w:id="100"/>
      <w:bookmarkEnd w:id="101"/>
      <w:bookmarkEnd w:id="102"/>
      <w:bookmarkEnd w:id="103"/>
    </w:p>
    <w:p w14:paraId="031A35BF">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tbl>
      <w:tblPr>
        <w:tblStyle w:val="22"/>
        <w:tblW w:w="89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978"/>
        <w:gridCol w:w="6053"/>
      </w:tblGrid>
      <w:tr w14:paraId="3DDF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926" w:type="dxa"/>
            <w:shd w:val="clear" w:color="auto" w:fill="D7D7D7" w:themeFill="background1" w:themeFillShade="D8"/>
            <w:noWrap w:val="0"/>
            <w:vAlign w:val="center"/>
          </w:tcPr>
          <w:p w14:paraId="6FB36A6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1978" w:type="dxa"/>
            <w:shd w:val="clear" w:color="auto" w:fill="D7D7D7" w:themeFill="background1" w:themeFillShade="D8"/>
            <w:noWrap w:val="0"/>
            <w:vAlign w:val="center"/>
          </w:tcPr>
          <w:p w14:paraId="69301A0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 款 名 称</w:t>
            </w:r>
          </w:p>
        </w:tc>
        <w:tc>
          <w:tcPr>
            <w:tcW w:w="6053" w:type="dxa"/>
            <w:shd w:val="clear" w:color="auto" w:fill="D7D7D7" w:themeFill="background1" w:themeFillShade="D8"/>
            <w:noWrap w:val="0"/>
            <w:vAlign w:val="center"/>
          </w:tcPr>
          <w:p w14:paraId="064A75C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编 列 内 容</w:t>
            </w:r>
          </w:p>
        </w:tc>
      </w:tr>
      <w:tr w14:paraId="7807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26" w:type="dxa"/>
            <w:noWrap w:val="0"/>
            <w:vAlign w:val="center"/>
          </w:tcPr>
          <w:p w14:paraId="0A256EA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1.1.2</w:t>
            </w:r>
          </w:p>
        </w:tc>
        <w:tc>
          <w:tcPr>
            <w:tcW w:w="1978" w:type="dxa"/>
            <w:noWrap w:val="0"/>
            <w:vAlign w:val="center"/>
          </w:tcPr>
          <w:p w14:paraId="061CF41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招标人</w:t>
            </w:r>
          </w:p>
        </w:tc>
        <w:tc>
          <w:tcPr>
            <w:tcW w:w="6053" w:type="dxa"/>
            <w:noWrap w:val="0"/>
            <w:vAlign w:val="center"/>
          </w:tcPr>
          <w:p w14:paraId="6099B59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3772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6" w:type="dxa"/>
            <w:noWrap w:val="0"/>
            <w:vAlign w:val="center"/>
          </w:tcPr>
          <w:p w14:paraId="38175FE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1.1.3</w:t>
            </w:r>
          </w:p>
        </w:tc>
        <w:tc>
          <w:tcPr>
            <w:tcW w:w="1978" w:type="dxa"/>
            <w:noWrap w:val="0"/>
            <w:vAlign w:val="center"/>
          </w:tcPr>
          <w:p w14:paraId="587EB03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招标代理机构</w:t>
            </w:r>
          </w:p>
        </w:tc>
        <w:tc>
          <w:tcPr>
            <w:tcW w:w="6053" w:type="dxa"/>
            <w:noWrap w:val="0"/>
            <w:vAlign w:val="center"/>
          </w:tcPr>
          <w:p w14:paraId="004A07A0">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7A4C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6" w:type="dxa"/>
            <w:noWrap w:val="0"/>
            <w:vAlign w:val="center"/>
          </w:tcPr>
          <w:p w14:paraId="26BA7ED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1.1.4</w:t>
            </w:r>
          </w:p>
        </w:tc>
        <w:tc>
          <w:tcPr>
            <w:tcW w:w="1978" w:type="dxa"/>
            <w:noWrap w:val="0"/>
            <w:vAlign w:val="center"/>
          </w:tcPr>
          <w:p w14:paraId="25F7ACA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招标项目名称</w:t>
            </w:r>
          </w:p>
        </w:tc>
        <w:tc>
          <w:tcPr>
            <w:tcW w:w="6053" w:type="dxa"/>
            <w:noWrap w:val="0"/>
            <w:vAlign w:val="center"/>
          </w:tcPr>
          <w:p w14:paraId="08C2962F">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0980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6" w:type="dxa"/>
            <w:noWrap w:val="0"/>
            <w:vAlign w:val="center"/>
          </w:tcPr>
          <w:p w14:paraId="523F041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1.1.5</w:t>
            </w:r>
          </w:p>
        </w:tc>
        <w:tc>
          <w:tcPr>
            <w:tcW w:w="1978" w:type="dxa"/>
            <w:noWrap w:val="0"/>
            <w:vAlign w:val="center"/>
          </w:tcPr>
          <w:p w14:paraId="2493A96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建设地点</w:t>
            </w:r>
          </w:p>
        </w:tc>
        <w:tc>
          <w:tcPr>
            <w:tcW w:w="6053" w:type="dxa"/>
            <w:noWrap w:val="0"/>
            <w:vAlign w:val="center"/>
          </w:tcPr>
          <w:p w14:paraId="4B4003D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4A37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26" w:type="dxa"/>
            <w:noWrap w:val="0"/>
            <w:vAlign w:val="center"/>
          </w:tcPr>
          <w:p w14:paraId="2F394CF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1.2.1</w:t>
            </w:r>
          </w:p>
        </w:tc>
        <w:tc>
          <w:tcPr>
            <w:tcW w:w="1978" w:type="dxa"/>
            <w:noWrap w:val="0"/>
            <w:vAlign w:val="center"/>
          </w:tcPr>
          <w:p w14:paraId="7DDA8C5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资金来源</w:t>
            </w:r>
          </w:p>
        </w:tc>
        <w:tc>
          <w:tcPr>
            <w:tcW w:w="6053" w:type="dxa"/>
            <w:noWrap w:val="0"/>
            <w:vAlign w:val="center"/>
          </w:tcPr>
          <w:p w14:paraId="41821FE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73F2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26" w:type="dxa"/>
            <w:noWrap w:val="0"/>
            <w:vAlign w:val="center"/>
          </w:tcPr>
          <w:p w14:paraId="54DF377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1.2.2</w:t>
            </w:r>
          </w:p>
        </w:tc>
        <w:tc>
          <w:tcPr>
            <w:tcW w:w="1978" w:type="dxa"/>
            <w:noWrap w:val="0"/>
            <w:vAlign w:val="center"/>
          </w:tcPr>
          <w:p w14:paraId="1665372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出资比例</w:t>
            </w:r>
          </w:p>
        </w:tc>
        <w:tc>
          <w:tcPr>
            <w:tcW w:w="6053" w:type="dxa"/>
            <w:noWrap w:val="0"/>
            <w:vAlign w:val="center"/>
          </w:tcPr>
          <w:p w14:paraId="1D08AF3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37E9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26" w:type="dxa"/>
            <w:noWrap w:val="0"/>
            <w:vAlign w:val="center"/>
          </w:tcPr>
          <w:p w14:paraId="143413F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1.2.3</w:t>
            </w:r>
          </w:p>
        </w:tc>
        <w:tc>
          <w:tcPr>
            <w:tcW w:w="1978" w:type="dxa"/>
            <w:noWrap w:val="0"/>
            <w:vAlign w:val="center"/>
          </w:tcPr>
          <w:p w14:paraId="05849CB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资金落实情况</w:t>
            </w:r>
          </w:p>
        </w:tc>
        <w:tc>
          <w:tcPr>
            <w:tcW w:w="6053" w:type="dxa"/>
            <w:noWrap w:val="0"/>
            <w:vAlign w:val="center"/>
          </w:tcPr>
          <w:p w14:paraId="32A6A9E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5BFD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926" w:type="dxa"/>
            <w:noWrap w:val="0"/>
            <w:vAlign w:val="center"/>
          </w:tcPr>
          <w:p w14:paraId="40F4738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1.3.1</w:t>
            </w:r>
          </w:p>
        </w:tc>
        <w:tc>
          <w:tcPr>
            <w:tcW w:w="1978" w:type="dxa"/>
            <w:noWrap w:val="0"/>
            <w:vAlign w:val="center"/>
          </w:tcPr>
          <w:p w14:paraId="0FECB59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招标范围</w:t>
            </w:r>
          </w:p>
        </w:tc>
        <w:tc>
          <w:tcPr>
            <w:tcW w:w="6053" w:type="dxa"/>
            <w:noWrap w:val="0"/>
            <w:vAlign w:val="center"/>
          </w:tcPr>
          <w:p w14:paraId="2AE2695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0DB0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926" w:type="dxa"/>
            <w:noWrap w:val="0"/>
            <w:vAlign w:val="center"/>
          </w:tcPr>
          <w:p w14:paraId="4D46A94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1.3.2</w:t>
            </w:r>
          </w:p>
        </w:tc>
        <w:tc>
          <w:tcPr>
            <w:tcW w:w="1978" w:type="dxa"/>
            <w:noWrap w:val="0"/>
            <w:vAlign w:val="center"/>
          </w:tcPr>
          <w:p w14:paraId="498714B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计划工期</w:t>
            </w:r>
          </w:p>
        </w:tc>
        <w:tc>
          <w:tcPr>
            <w:tcW w:w="6053" w:type="dxa"/>
            <w:noWrap w:val="0"/>
            <w:vAlign w:val="center"/>
          </w:tcPr>
          <w:p w14:paraId="4FC1692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计划工期</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p w14:paraId="3BDC830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计划开工日期</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日（具体开工日期以开工通知为准）</w:t>
            </w:r>
          </w:p>
          <w:p w14:paraId="019350C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除上述总工期外，</w:t>
            </w:r>
            <w:r>
              <w:rPr>
                <w:rFonts w:hint="eastAsia" w:ascii="Times New Roman" w:hAnsi="Times New Roman"/>
                <w:smallCaps w:val="0"/>
                <w:color w:val="000000" w:themeColor="text1"/>
                <w:highlight w:val="none"/>
                <w:lang w:val="en-US" w:eastAsia="zh-CN"/>
                <w14:textFill>
                  <w14:solidFill>
                    <w14:schemeClr w14:val="tx1"/>
                  </w14:solidFill>
                </w14:textFill>
              </w:rPr>
              <w:t>招标人</w:t>
            </w:r>
            <w:r>
              <w:rPr>
                <w:rFonts w:hint="eastAsia" w:ascii="Times New Roman" w:hAnsi="Times New Roman"/>
                <w:smallCaps w:val="0"/>
                <w:color w:val="000000" w:themeColor="text1"/>
                <w:highlight w:val="none"/>
                <w14:textFill>
                  <w14:solidFill>
                    <w14:schemeClr w14:val="tx1"/>
                  </w14:solidFill>
                </w14:textFill>
              </w:rPr>
              <w:t>还要求以下区段/节点工期</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tc>
      </w:tr>
      <w:tr w14:paraId="1FC7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26" w:type="dxa"/>
            <w:noWrap w:val="0"/>
            <w:vAlign w:val="center"/>
          </w:tcPr>
          <w:p w14:paraId="654BC56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1.3.3</w:t>
            </w:r>
          </w:p>
        </w:tc>
        <w:tc>
          <w:tcPr>
            <w:tcW w:w="1978" w:type="dxa"/>
            <w:noWrap w:val="0"/>
            <w:vAlign w:val="center"/>
          </w:tcPr>
          <w:p w14:paraId="6965538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质量要求</w:t>
            </w:r>
          </w:p>
        </w:tc>
        <w:tc>
          <w:tcPr>
            <w:tcW w:w="6053" w:type="dxa"/>
            <w:noWrap w:val="0"/>
            <w:vAlign w:val="center"/>
          </w:tcPr>
          <w:p w14:paraId="260B5D6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合格</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p w14:paraId="7CDFE5D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其他质量要求</w:t>
            </w:r>
            <w:r>
              <w:rPr>
                <w:rStyle w:val="28"/>
                <w:rFonts w:hint="eastAsia" w:ascii="Times New Roman" w:hAnsi="Times New Roman"/>
                <w:smallCaps w:val="0"/>
                <w:color w:val="000000" w:themeColor="text1"/>
                <w:highlight w:val="none"/>
                <w14:textFill>
                  <w14:solidFill>
                    <w14:schemeClr w14:val="tx1"/>
                  </w14:solidFill>
                </w14:textFill>
              </w:rPr>
              <w:footnoteReference w:id="19"/>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tc>
      </w:tr>
      <w:tr w14:paraId="46BF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trPr>
        <w:tc>
          <w:tcPr>
            <w:tcW w:w="926" w:type="dxa"/>
            <w:shd w:val="clear" w:color="auto" w:fill="auto"/>
            <w:noWrap w:val="0"/>
            <w:vAlign w:val="center"/>
          </w:tcPr>
          <w:p w14:paraId="1408F11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1.4.1</w:t>
            </w:r>
          </w:p>
        </w:tc>
        <w:tc>
          <w:tcPr>
            <w:tcW w:w="1978" w:type="dxa"/>
            <w:shd w:val="clear" w:color="auto" w:fill="auto"/>
            <w:noWrap w:val="0"/>
            <w:vAlign w:val="center"/>
          </w:tcPr>
          <w:p w14:paraId="0CD401F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投标人资质条件、能力和信誉</w:t>
            </w:r>
          </w:p>
        </w:tc>
        <w:tc>
          <w:tcPr>
            <w:tcW w:w="6053" w:type="dxa"/>
            <w:shd w:val="clear" w:color="auto" w:fill="FFFFFF"/>
            <w:noWrap w:val="0"/>
            <w:vAlign w:val="center"/>
          </w:tcPr>
          <w:p w14:paraId="3AB8E64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（1）资质条件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见附录1</w:t>
            </w:r>
          </w:p>
          <w:p w14:paraId="34E055A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（2）财务要求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见附录2</w:t>
            </w:r>
          </w:p>
          <w:p w14:paraId="257168C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（3）业绩要求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见附录3</w:t>
            </w:r>
          </w:p>
          <w:p w14:paraId="1885ABB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（4）信誉要求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见附录4</w:t>
            </w:r>
          </w:p>
          <w:p w14:paraId="27603C6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（5）项目经理资格</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见附录5 </w:t>
            </w:r>
          </w:p>
          <w:p w14:paraId="16E3C3C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（6）其他要求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见附录6</w:t>
            </w:r>
          </w:p>
        </w:tc>
      </w:tr>
      <w:tr w14:paraId="6FCB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6" w:type="dxa"/>
            <w:noWrap w:val="0"/>
            <w:vAlign w:val="center"/>
          </w:tcPr>
          <w:p w14:paraId="5918829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1.4.2</w:t>
            </w:r>
          </w:p>
        </w:tc>
        <w:tc>
          <w:tcPr>
            <w:tcW w:w="1978" w:type="dxa"/>
            <w:noWrap w:val="0"/>
            <w:vAlign w:val="center"/>
          </w:tcPr>
          <w:p w14:paraId="6D5D470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是否接受</w:t>
            </w:r>
          </w:p>
          <w:p w14:paraId="789B605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联合体投标</w:t>
            </w:r>
          </w:p>
        </w:tc>
        <w:tc>
          <w:tcPr>
            <w:tcW w:w="6053" w:type="dxa"/>
            <w:noWrap w:val="0"/>
            <w:vAlign w:val="center"/>
          </w:tcPr>
          <w:p w14:paraId="1B2E1E4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不接受</w:t>
            </w:r>
            <w:r>
              <w:rPr>
                <w:rFonts w:hint="eastAsia" w:ascii="Times New Roman" w:hAnsi="Times New Roman"/>
                <w:smallCaps w:val="0"/>
                <w:color w:val="000000" w:themeColor="text1"/>
                <w:highlight w:val="none"/>
                <w:lang w:eastAsia="zh-CN"/>
                <w14:textFill>
                  <w14:solidFill>
                    <w14:schemeClr w14:val="tx1"/>
                  </w14:solidFill>
                </w14:textFill>
              </w:rPr>
              <w:t>，理由</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p w14:paraId="67424E1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□接受</w:t>
            </w:r>
            <w:r>
              <w:rPr>
                <w:rFonts w:hint="eastAsia" w:ascii="Times New Roman" w:hAnsi="Times New Roman"/>
                <w:smallCaps w:val="0"/>
                <w:color w:val="000000" w:themeColor="text1"/>
                <w:highlight w:val="none"/>
                <w:lang w:eastAsia="zh-CN"/>
                <w14:textFill>
                  <w14:solidFill>
                    <w14:schemeClr w14:val="tx1"/>
                  </w14:solidFill>
                </w14:textFill>
              </w:rPr>
              <w:t>。</w:t>
            </w:r>
          </w:p>
          <w:p w14:paraId="1371627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接受，应满足下列要求：</w:t>
            </w:r>
            <w:r>
              <w:rPr>
                <w:rFonts w:hint="eastAsia" w:ascii="宋体" w:hAnsi="宋体" w:eastAsia="宋体" w:cs="宋体"/>
                <w:color w:val="000000" w:themeColor="text1"/>
                <w:sz w:val="21"/>
                <w:szCs w:val="21"/>
                <w:highlight w:val="none"/>
                <w14:textFill>
                  <w14:solidFill>
                    <w14:schemeClr w14:val="tx1"/>
                  </w14:solidFill>
                </w14:textFill>
              </w:rPr>
              <w:t>联合体</w:t>
            </w:r>
            <w:r>
              <w:rPr>
                <w:rFonts w:hint="eastAsia" w:ascii="宋体" w:hAnsi="宋体" w:eastAsia="宋体" w:cs="宋体"/>
                <w:color w:val="000000" w:themeColor="text1"/>
                <w:sz w:val="21"/>
                <w:szCs w:val="21"/>
                <w:highlight w:val="none"/>
                <w:lang w:val="en-US" w:eastAsia="zh-CN"/>
                <w14:textFill>
                  <w14:solidFill>
                    <w14:schemeClr w14:val="tx1"/>
                  </w14:solidFill>
                </w14:textFill>
              </w:rPr>
              <w:t>投标/履约</w:t>
            </w:r>
            <w:r>
              <w:rPr>
                <w:rFonts w:hint="eastAsia" w:ascii="宋体" w:hAnsi="宋体" w:eastAsia="宋体" w:cs="宋体"/>
                <w:color w:val="000000" w:themeColor="text1"/>
                <w:sz w:val="21"/>
                <w:szCs w:val="21"/>
                <w:highlight w:val="none"/>
                <w14:textFill>
                  <w14:solidFill>
                    <w14:schemeClr w14:val="tx1"/>
                  </w14:solidFill>
                </w14:textFill>
              </w:rPr>
              <w:t>保证金：联合体投标单位递交投标</w:t>
            </w:r>
            <w:r>
              <w:rPr>
                <w:rFonts w:hint="eastAsia" w:ascii="宋体" w:hAnsi="宋体" w:eastAsia="宋体" w:cs="宋体"/>
                <w:color w:val="000000" w:themeColor="text1"/>
                <w:sz w:val="21"/>
                <w:szCs w:val="21"/>
                <w:highlight w:val="none"/>
                <w:lang w:val="en-US" w:eastAsia="zh-CN"/>
                <w14:textFill>
                  <w14:solidFill>
                    <w14:schemeClr w14:val="tx1"/>
                  </w14:solidFill>
                </w14:textFill>
              </w:rPr>
              <w:t>/履约</w:t>
            </w:r>
            <w:r>
              <w:rPr>
                <w:rFonts w:hint="eastAsia" w:ascii="宋体" w:hAnsi="宋体" w:eastAsia="宋体" w:cs="宋体"/>
                <w:color w:val="000000" w:themeColor="text1"/>
                <w:sz w:val="21"/>
                <w:szCs w:val="21"/>
                <w:highlight w:val="none"/>
                <w14:textFill>
                  <w14:solidFill>
                    <w14:schemeClr w14:val="tx1"/>
                  </w14:solidFill>
                </w14:textFill>
              </w:rPr>
              <w:t>保证金的，由联合体</w:t>
            </w:r>
            <w:r>
              <w:rPr>
                <w:rFonts w:hint="eastAsia" w:ascii="宋体" w:hAnsi="宋体" w:eastAsia="宋体" w:cs="宋体"/>
                <w:color w:val="000000" w:themeColor="text1"/>
                <w:sz w:val="21"/>
                <w:szCs w:val="21"/>
                <w:highlight w:val="none"/>
                <w:lang w:val="en-US" w:eastAsia="zh-CN"/>
                <w14:textFill>
                  <w14:solidFill>
                    <w14:schemeClr w14:val="tx1"/>
                  </w14:solidFill>
                </w14:textFill>
              </w:rPr>
              <w:t>在联合体协议书中明确约定由哪一方</w:t>
            </w:r>
            <w:r>
              <w:rPr>
                <w:rFonts w:hint="eastAsia" w:ascii="宋体" w:hAnsi="宋体" w:eastAsia="宋体" w:cs="宋体"/>
                <w:color w:val="000000" w:themeColor="text1"/>
                <w:sz w:val="21"/>
                <w:szCs w:val="21"/>
                <w:highlight w:val="none"/>
                <w14:textFill>
                  <w14:solidFill>
                    <w14:schemeClr w14:val="tx1"/>
                  </w14:solidFill>
                </w14:textFill>
              </w:rPr>
              <w:t>提交。投标</w:t>
            </w:r>
            <w:r>
              <w:rPr>
                <w:rFonts w:hint="eastAsia" w:ascii="宋体" w:hAnsi="宋体" w:eastAsia="宋体" w:cs="宋体"/>
                <w:color w:val="000000" w:themeColor="text1"/>
                <w:sz w:val="21"/>
                <w:szCs w:val="21"/>
                <w:highlight w:val="none"/>
                <w:lang w:val="en-US" w:eastAsia="zh-CN"/>
                <w14:textFill>
                  <w14:solidFill>
                    <w14:schemeClr w14:val="tx1"/>
                  </w14:solidFill>
                </w14:textFill>
              </w:rPr>
              <w:t>/履约</w:t>
            </w:r>
            <w:r>
              <w:rPr>
                <w:rFonts w:hint="eastAsia" w:ascii="宋体" w:hAnsi="宋体" w:eastAsia="宋体" w:cs="宋体"/>
                <w:color w:val="000000" w:themeColor="text1"/>
                <w:sz w:val="21"/>
                <w:szCs w:val="21"/>
                <w:highlight w:val="none"/>
                <w14:textFill>
                  <w14:solidFill>
                    <w14:schemeClr w14:val="tx1"/>
                  </w14:solidFill>
                </w14:textFill>
              </w:rPr>
              <w:t>保证金对联合体成员的各方均具有约束作用。</w:t>
            </w:r>
          </w:p>
          <w:p w14:paraId="08491EE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联合体牵头人约定：相同资质等级的单位组成联合时，联合体牵头人由双方自行约定。不同资质等级</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且没有分工</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的单位组成联合体时，资质等级较高的企业为联合体牵头人。</w:t>
            </w:r>
            <w:r>
              <w:rPr>
                <w:rFonts w:hint="eastAsia" w:ascii="宋体" w:hAnsi="宋体" w:cs="宋体"/>
                <w:color w:val="000000" w:themeColor="text1"/>
                <w:sz w:val="21"/>
                <w:szCs w:val="21"/>
                <w:highlight w:val="none"/>
                <w:lang w:val="en-US" w:eastAsia="zh-CN"/>
                <w14:textFill>
                  <w14:solidFill>
                    <w14:schemeClr w14:val="tx1"/>
                  </w14:solidFill>
                </w14:textFill>
              </w:rPr>
              <w:t>不同资质且不同分工的投标人组成联合体时，以承接项目主体工程施工的单位为联合体牵头人。</w:t>
            </w:r>
          </w:p>
          <w:p w14:paraId="31ABD9C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联合体家数要求：组成联合体的家数不超过</w:t>
            </w:r>
            <w:r>
              <w:rPr>
                <w:rFonts w:hint="eastAsia" w:ascii="宋体" w:hAnsi="宋体" w:eastAsia="宋体" w:cs="宋体"/>
                <w:color w:val="000000" w:themeColor="text1"/>
                <w:sz w:val="21"/>
                <w:szCs w:val="21"/>
                <w:highlight w:val="non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14:textFill>
                  <w14:solidFill>
                    <w14:schemeClr w14:val="tx1"/>
                  </w14:solidFill>
                </w14:textFill>
              </w:rPr>
              <w:t>家。</w:t>
            </w:r>
          </w:p>
          <w:p w14:paraId="1B5705A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合体投标签字盖章要求：联合体投标的投标文件中，除联合体协议书必须由联合体双方共同签字盖章外。投标文件格式要求的盖章处（签字处）必须有联合体牵头人的盖章（签字），联合体其他成员无论是否进行盖章（签字），均视为联合体全体成员的共同意思表达，承担连带责任。</w:t>
            </w:r>
          </w:p>
          <w:p w14:paraId="0BDED18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其他要求：联合体各方应签订联合体投标协议书，明确联合体牵头人和各方的分工范围、权利义务。</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联合体投标的，网上领取招标文件、缴纳投标保证金、编制投标文件、电子签章、上传、解密等工作均由其牵头人负责办理（牵头人应当是承担项目主要或主体部分的成员），其他联合体成员配合。</w:t>
            </w:r>
            <w:r>
              <w:rPr>
                <w:rFonts w:hint="eastAsia" w:ascii="宋体" w:hAnsi="宋体" w:eastAsia="宋体" w:cs="宋体"/>
                <w:color w:val="000000" w:themeColor="text1"/>
                <w:sz w:val="21"/>
                <w:szCs w:val="21"/>
                <w:highlight w:val="none"/>
                <w14:textFill>
                  <w14:solidFill>
                    <w14:schemeClr w14:val="tx1"/>
                  </w14:solidFill>
                </w14:textFill>
              </w:rPr>
              <w:t>其他要求详见招标公告及招标文件。</w:t>
            </w:r>
          </w:p>
        </w:tc>
      </w:tr>
      <w:tr w14:paraId="38C4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747339F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1.4.3</w:t>
            </w:r>
          </w:p>
        </w:tc>
        <w:tc>
          <w:tcPr>
            <w:tcW w:w="1978" w:type="dxa"/>
            <w:noWrap w:val="0"/>
            <w:vAlign w:val="center"/>
          </w:tcPr>
          <w:p w14:paraId="2B52585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投标人不得存在的情形</w:t>
            </w:r>
          </w:p>
        </w:tc>
        <w:tc>
          <w:tcPr>
            <w:tcW w:w="6053" w:type="dxa"/>
            <w:noWrap w:val="0"/>
            <w:vAlign w:val="center"/>
          </w:tcPr>
          <w:p w14:paraId="02A75A4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Times New Roman" w:hAnsi="Times New Roman"/>
                <w:smallCaps w:val="0"/>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XXXXXXXXX</w:t>
            </w:r>
          </w:p>
        </w:tc>
      </w:tr>
      <w:tr w14:paraId="72F9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357293B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1.4.4</w:t>
            </w:r>
          </w:p>
        </w:tc>
        <w:tc>
          <w:tcPr>
            <w:tcW w:w="1978" w:type="dxa"/>
            <w:noWrap w:val="0"/>
            <w:vAlign w:val="center"/>
          </w:tcPr>
          <w:p w14:paraId="5FB38D5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投标人不得存在的其他不良状况或不良信用记录</w:t>
            </w:r>
          </w:p>
        </w:tc>
        <w:tc>
          <w:tcPr>
            <w:tcW w:w="6053" w:type="dxa"/>
            <w:noWrap w:val="0"/>
            <w:vAlign w:val="center"/>
          </w:tcPr>
          <w:p w14:paraId="1AD8942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Times New Roman" w:hAnsi="Times New Roman"/>
                <w:smallCaps w:val="0"/>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见附录4</w:t>
            </w:r>
          </w:p>
        </w:tc>
      </w:tr>
      <w:tr w14:paraId="41F5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926" w:type="dxa"/>
            <w:noWrap w:val="0"/>
            <w:vAlign w:val="center"/>
          </w:tcPr>
          <w:p w14:paraId="5F5253E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1.9.1</w:t>
            </w:r>
          </w:p>
        </w:tc>
        <w:tc>
          <w:tcPr>
            <w:tcW w:w="1978" w:type="dxa"/>
            <w:noWrap w:val="0"/>
            <w:vAlign w:val="center"/>
          </w:tcPr>
          <w:p w14:paraId="478A75C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踏勘现场</w:t>
            </w:r>
          </w:p>
        </w:tc>
        <w:tc>
          <w:tcPr>
            <w:tcW w:w="6053" w:type="dxa"/>
            <w:noWrap w:val="0"/>
            <w:vAlign w:val="center"/>
          </w:tcPr>
          <w:p w14:paraId="32D879E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□不组织，投标人自行踏勘</w:t>
            </w:r>
          </w:p>
          <w:p w14:paraId="55C309E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□组织，踏勘时间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4E3441E9">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踏勘集中地点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5A97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926" w:type="dxa"/>
            <w:noWrap w:val="0"/>
            <w:vAlign w:val="center"/>
          </w:tcPr>
          <w:p w14:paraId="71FE29B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1.10.1</w:t>
            </w:r>
          </w:p>
        </w:tc>
        <w:tc>
          <w:tcPr>
            <w:tcW w:w="1978" w:type="dxa"/>
            <w:noWrap w:val="0"/>
            <w:vAlign w:val="center"/>
          </w:tcPr>
          <w:p w14:paraId="0C79114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投标预备会</w:t>
            </w:r>
          </w:p>
        </w:tc>
        <w:tc>
          <w:tcPr>
            <w:tcW w:w="6053" w:type="dxa"/>
            <w:noWrap w:val="0"/>
            <w:vAlign w:val="center"/>
          </w:tcPr>
          <w:p w14:paraId="5CCD9E4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□不召开</w:t>
            </w:r>
          </w:p>
          <w:p w14:paraId="0797DDE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□召开，召开时间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3D0A4B8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召开形式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247E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926" w:type="dxa"/>
            <w:noWrap w:val="0"/>
            <w:vAlign w:val="center"/>
          </w:tcPr>
          <w:p w14:paraId="293787A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1.10.2</w:t>
            </w:r>
          </w:p>
        </w:tc>
        <w:tc>
          <w:tcPr>
            <w:tcW w:w="1978" w:type="dxa"/>
            <w:noWrap w:val="0"/>
            <w:vAlign w:val="center"/>
          </w:tcPr>
          <w:p w14:paraId="5095F20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投标人在投标预备会前提出问题</w:t>
            </w:r>
          </w:p>
        </w:tc>
        <w:tc>
          <w:tcPr>
            <w:tcW w:w="6053" w:type="dxa"/>
            <w:noWrap w:val="0"/>
            <w:vAlign w:val="center"/>
          </w:tcPr>
          <w:p w14:paraId="157EEEB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56CFA1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形式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75C1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trPr>
        <w:tc>
          <w:tcPr>
            <w:tcW w:w="926" w:type="dxa"/>
            <w:noWrap w:val="0"/>
            <w:vAlign w:val="center"/>
          </w:tcPr>
          <w:p w14:paraId="2668CB9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1.11.1</w:t>
            </w:r>
          </w:p>
        </w:tc>
        <w:tc>
          <w:tcPr>
            <w:tcW w:w="1978" w:type="dxa"/>
            <w:noWrap w:val="0"/>
            <w:vAlign w:val="center"/>
          </w:tcPr>
          <w:p w14:paraId="65BCD1C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分包</w:t>
            </w:r>
          </w:p>
        </w:tc>
        <w:tc>
          <w:tcPr>
            <w:tcW w:w="6053" w:type="dxa"/>
            <w:noWrap w:val="0"/>
            <w:vAlign w:val="center"/>
          </w:tcPr>
          <w:p w14:paraId="46FE6A8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不允许</w:t>
            </w:r>
          </w:p>
          <w:p w14:paraId="1D686170">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□允许</w:t>
            </w:r>
          </w:p>
          <w:p w14:paraId="07D54B6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分包内容要求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59FAF63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分包金额要求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6500FDF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接受分包的第三人资质要求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52148A3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对分包人的要求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0273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26" w:type="dxa"/>
            <w:noWrap w:val="0"/>
            <w:vAlign w:val="center"/>
          </w:tcPr>
          <w:p w14:paraId="3D9520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w:t>
            </w:r>
          </w:p>
        </w:tc>
        <w:tc>
          <w:tcPr>
            <w:tcW w:w="1978" w:type="dxa"/>
            <w:noWrap w:val="0"/>
            <w:vAlign w:val="center"/>
          </w:tcPr>
          <w:p w14:paraId="2273B59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构成招标文件的其他资料</w:t>
            </w:r>
          </w:p>
        </w:tc>
        <w:tc>
          <w:tcPr>
            <w:tcW w:w="6053" w:type="dxa"/>
            <w:noWrap w:val="0"/>
            <w:vAlign w:val="center"/>
          </w:tcPr>
          <w:p w14:paraId="10C22E6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包括但不限于：施工图纸、工程量清单及其编制说明，以及招标文件明确的招标人相关管理办法、招标文件的澄清、修改、投标提疑答复、最高投标限价及其编制说明等。</w:t>
            </w:r>
          </w:p>
          <w:p w14:paraId="59CF67F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应用BIM技术的招标项目，招标人应提供设计阶段BIM成果文件作为招标模型</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设计阶段BIM成果文件</w:t>
            </w:r>
            <w:r>
              <w:rPr>
                <w:rFonts w:hint="eastAsia" w:ascii="Times New Roman" w:hAnsi="Times New Roman"/>
                <w:smallCaps w:val="0"/>
                <w:color w:val="000000" w:themeColor="text1"/>
                <w:highlight w:val="none"/>
                <w:lang w:val="en-US" w:eastAsia="zh-CN"/>
                <w14:textFill>
                  <w14:solidFill>
                    <w14:schemeClr w14:val="tx1"/>
                  </w14:solidFill>
                </w14:textFill>
              </w:rPr>
              <w:t>与施工图纸、工程量清单以招标文件附件形式提供</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p>
          <w:p w14:paraId="363F227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网盘链接：XXXXXX</w:t>
            </w:r>
          </w:p>
        </w:tc>
      </w:tr>
      <w:tr w14:paraId="14CD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926" w:type="dxa"/>
            <w:noWrap w:val="0"/>
            <w:vAlign w:val="center"/>
          </w:tcPr>
          <w:p w14:paraId="6A85579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2.2.1</w:t>
            </w:r>
          </w:p>
        </w:tc>
        <w:tc>
          <w:tcPr>
            <w:tcW w:w="1978" w:type="dxa"/>
            <w:noWrap w:val="0"/>
            <w:vAlign w:val="center"/>
          </w:tcPr>
          <w:p w14:paraId="3C69367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投标人要求澄清</w:t>
            </w:r>
          </w:p>
          <w:p w14:paraId="7FB5C82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招标文件</w:t>
            </w:r>
          </w:p>
        </w:tc>
        <w:tc>
          <w:tcPr>
            <w:tcW w:w="6053" w:type="dxa"/>
            <w:noWrap w:val="0"/>
            <w:vAlign w:val="center"/>
          </w:tcPr>
          <w:p w14:paraId="00F92FD9">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截止</w:t>
            </w:r>
            <w:r>
              <w:rPr>
                <w:rFonts w:hint="eastAsia" w:ascii="Times New Roman" w:hAnsi="Times New Roman"/>
                <w:smallCaps w:val="0"/>
                <w:color w:val="000000" w:themeColor="text1"/>
                <w:highlight w:val="none"/>
                <w14:textFill>
                  <w14:solidFill>
                    <w14:schemeClr w14:val="tx1"/>
                  </w14:solidFill>
                </w14:textFill>
              </w:rPr>
              <w:t>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none"/>
                <w:lang w:val="en-US" w:eastAsia="zh-CN"/>
                <w14:textFill>
                  <w14:solidFill>
                    <w14:schemeClr w14:val="tx1"/>
                  </w14:solidFill>
                </w14:textFill>
              </w:rPr>
              <w:t>距</w:t>
            </w:r>
            <w:r>
              <w:rPr>
                <w:rFonts w:hint="eastAsia" w:ascii="宋体" w:hAnsi="宋体" w:eastAsia="宋体" w:cs="宋体"/>
                <w:color w:val="000000" w:themeColor="text1"/>
                <w:sz w:val="21"/>
                <w:szCs w:val="21"/>
                <w:highlight w:val="none"/>
                <w14:textFill>
                  <w14:solidFill>
                    <w14:schemeClr w14:val="tx1"/>
                  </w14:solidFill>
                </w14:textFill>
              </w:rPr>
              <w:t>投标截止时间15日</w:t>
            </w:r>
            <w:r>
              <w:rPr>
                <w:rFonts w:hint="eastAsia" w:ascii="宋体" w:hAnsi="宋体" w:eastAsia="宋体" w:cs="宋体"/>
                <w:color w:val="000000" w:themeColor="text1"/>
                <w:sz w:val="21"/>
                <w:szCs w:val="21"/>
                <w:highlight w:val="none"/>
                <w:lang w:val="en-US" w:eastAsia="zh-CN"/>
                <w14:textFill>
                  <w14:solidFill>
                    <w14:schemeClr w14:val="tx1"/>
                  </w14:solidFill>
                </w14:textFill>
              </w:rPr>
              <w:t>之前。</w:t>
            </w:r>
          </w:p>
          <w:p w14:paraId="11239D9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形式</w:t>
            </w:r>
            <w:r>
              <w:rPr>
                <w:rFonts w:hint="eastAsia" w:ascii="Times New Roman" w:hAnsi="Times New Roman"/>
                <w:smallCaps w:val="0"/>
                <w:color w:val="000000" w:themeColor="text1"/>
                <w:highlight w:val="none"/>
                <w:u w:val="none"/>
                <w:lang w:eastAsia="zh-CN"/>
                <w14:textFill>
                  <w14:solidFill>
                    <w14:schemeClr w14:val="tx1"/>
                  </w14:solidFill>
                </w14:textFill>
              </w:rPr>
              <w:t>：投标人（或潜在投标人）对招标文件有疑问（澄清要求或异议），可通过淮南市公共资源电子交易系统在线提出，电子签章后提交。招标人、招标代理机构在线依法做出答复。对异议答复不满意的投标人可在线依法向监督管理部门提出投诉，监督管理部门可在线依法受理投诉并作出投诉处理决定。</w:t>
            </w:r>
          </w:p>
        </w:tc>
      </w:tr>
      <w:tr w14:paraId="2F4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926" w:type="dxa"/>
            <w:noWrap w:val="0"/>
            <w:vAlign w:val="center"/>
          </w:tcPr>
          <w:p w14:paraId="3C64DC7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w:t>
            </w:r>
          </w:p>
        </w:tc>
        <w:tc>
          <w:tcPr>
            <w:tcW w:w="1978" w:type="dxa"/>
            <w:noWrap w:val="0"/>
            <w:vAlign w:val="center"/>
          </w:tcPr>
          <w:p w14:paraId="5C67FC4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招标文件澄清发出的形式</w:t>
            </w:r>
          </w:p>
        </w:tc>
        <w:tc>
          <w:tcPr>
            <w:tcW w:w="6053" w:type="dxa"/>
            <w:noWrap w:val="0"/>
            <w:vAlign w:val="center"/>
          </w:tcPr>
          <w:p w14:paraId="3AAD8B0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招标文件的澄清、修改将投标截止时间15日前</w:t>
            </w:r>
            <w:r>
              <w:rPr>
                <w:rFonts w:hint="eastAsia" w:ascii="宋体" w:hAnsi="宋体" w:eastAsia="宋体" w:cs="宋体"/>
                <w:snapToGrid w:val="0"/>
                <w:color w:val="000000" w:themeColor="text1"/>
                <w:kern w:val="0"/>
                <w:sz w:val="21"/>
                <w:szCs w:val="21"/>
                <w:highlight w:val="none"/>
                <w14:textFill>
                  <w14:solidFill>
                    <w14:schemeClr w14:val="tx1"/>
                  </w14:solidFill>
                </w14:textFill>
              </w:rPr>
              <w:t>通过</w:t>
            </w:r>
            <w:r>
              <w:rPr>
                <w:rFonts w:hint="eastAsia" w:ascii="宋体" w:hAnsi="宋体" w:eastAsia="宋体" w:cs="宋体"/>
                <w:color w:val="000000" w:themeColor="text1"/>
                <w:sz w:val="21"/>
                <w:szCs w:val="21"/>
                <w:highlight w:val="none"/>
                <w14:textFill>
                  <w14:solidFill>
                    <w14:schemeClr w14:val="tx1"/>
                  </w14:solidFill>
                </w14:textFill>
              </w:rPr>
              <w:t>淮南市公共资源交易中心网</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电子交易系统</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在线</w:t>
            </w:r>
            <w:r>
              <w:rPr>
                <w:rFonts w:hint="eastAsia" w:ascii="宋体" w:hAnsi="宋体" w:eastAsia="宋体" w:cs="宋体"/>
                <w:color w:val="000000" w:themeColor="text1"/>
                <w:sz w:val="21"/>
                <w:szCs w:val="21"/>
                <w:highlight w:val="none"/>
                <w14:textFill>
                  <w14:solidFill>
                    <w14:schemeClr w14:val="tx1"/>
                  </w14:solidFill>
                </w14:textFill>
              </w:rPr>
              <w:t>发布</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发布后即视为投标人已收到，所有下载招标文件的投标人有义务在网上自行查询，无需以书面形式回复。</w:t>
            </w:r>
          </w:p>
        </w:tc>
      </w:tr>
      <w:tr w14:paraId="04CF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26" w:type="dxa"/>
            <w:noWrap w:val="0"/>
            <w:vAlign w:val="center"/>
          </w:tcPr>
          <w:p w14:paraId="646A5E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2.2.3</w:t>
            </w:r>
          </w:p>
        </w:tc>
        <w:tc>
          <w:tcPr>
            <w:tcW w:w="1978" w:type="dxa"/>
            <w:noWrap w:val="0"/>
            <w:vAlign w:val="center"/>
          </w:tcPr>
          <w:p w14:paraId="75155D0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投标人确认收到</w:t>
            </w:r>
          </w:p>
          <w:p w14:paraId="68F2D25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招标文件澄清</w:t>
            </w:r>
          </w:p>
        </w:tc>
        <w:tc>
          <w:tcPr>
            <w:tcW w:w="6053" w:type="dxa"/>
            <w:noWrap w:val="0"/>
            <w:vAlign w:val="center"/>
          </w:tcPr>
          <w:p w14:paraId="0CA5C18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bCs/>
                <w:snapToGrid w:val="0"/>
                <w:color w:val="000000" w:themeColor="text1"/>
                <w:kern w:val="0"/>
                <w:szCs w:val="21"/>
                <w:highlight w:val="none"/>
                <w14:textFill>
                  <w14:solidFill>
                    <w14:schemeClr w14:val="tx1"/>
                  </w14:solidFill>
                </w14:textFill>
              </w:rPr>
              <w:t>所有潜在投标人在投标截止时间前有义务在电子服务系统自行查询，无需回复确认。</w:t>
            </w:r>
          </w:p>
        </w:tc>
      </w:tr>
      <w:tr w14:paraId="3F92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26" w:type="dxa"/>
            <w:noWrap w:val="0"/>
            <w:vAlign w:val="center"/>
          </w:tcPr>
          <w:p w14:paraId="1DEAE7A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2.3.1</w:t>
            </w:r>
          </w:p>
        </w:tc>
        <w:tc>
          <w:tcPr>
            <w:tcW w:w="1978" w:type="dxa"/>
            <w:noWrap w:val="0"/>
            <w:vAlign w:val="center"/>
          </w:tcPr>
          <w:p w14:paraId="345D751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招标文件修改发出的形式</w:t>
            </w:r>
          </w:p>
        </w:tc>
        <w:tc>
          <w:tcPr>
            <w:tcW w:w="6053" w:type="dxa"/>
            <w:noWrap w:val="0"/>
            <w:vAlign w:val="center"/>
          </w:tcPr>
          <w:p w14:paraId="7897921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snapToGrid w:val="0"/>
                <w:color w:val="000000" w:themeColor="text1"/>
                <w:kern w:val="0"/>
                <w:highlight w:val="none"/>
                <w14:textFill>
                  <w14:solidFill>
                    <w14:schemeClr w14:val="tx1"/>
                  </w14:solidFill>
                </w14:textFill>
              </w:rPr>
              <w:t>通过</w:t>
            </w:r>
            <w:r>
              <w:rPr>
                <w:rFonts w:hint="eastAsia" w:ascii="宋体" w:hAnsi="宋体" w:eastAsia="宋体" w:cs="宋体"/>
                <w:bCs/>
                <w:snapToGrid w:val="0"/>
                <w:color w:val="000000" w:themeColor="text1"/>
                <w:kern w:val="0"/>
                <w:szCs w:val="21"/>
                <w:highlight w:val="none"/>
                <w14:textFill>
                  <w14:solidFill>
                    <w14:schemeClr w14:val="tx1"/>
                  </w14:solidFill>
                </w14:textFill>
              </w:rPr>
              <w:t>电子交易系统</w:t>
            </w:r>
            <w:r>
              <w:rPr>
                <w:rFonts w:hint="eastAsia" w:ascii="宋体" w:hAnsi="宋体" w:eastAsia="宋体" w:cs="宋体"/>
                <w:snapToGrid w:val="0"/>
                <w:color w:val="000000" w:themeColor="text1"/>
                <w:kern w:val="0"/>
                <w:highlight w:val="none"/>
                <w14:textFill>
                  <w14:solidFill>
                    <w14:schemeClr w14:val="tx1"/>
                  </w14:solidFill>
                </w14:textFill>
              </w:rPr>
              <w:t>发出</w:t>
            </w:r>
            <w:r>
              <w:rPr>
                <w:rFonts w:hint="eastAsia" w:ascii="Times New Roman" w:hAnsi="Times New Roman"/>
                <w:smallCaps w:val="0"/>
                <w:color w:val="000000" w:themeColor="text1"/>
                <w:highlight w:val="none"/>
                <w14:textFill>
                  <w14:solidFill>
                    <w14:schemeClr w14:val="tx1"/>
                  </w14:solidFill>
                </w14:textFill>
              </w:rPr>
              <w:t>，招标人不再另行通知</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该修改构成招标文件的组成部分，对投标人具有同样约束效力。</w:t>
            </w:r>
          </w:p>
        </w:tc>
      </w:tr>
      <w:tr w14:paraId="6EE9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26" w:type="dxa"/>
            <w:noWrap w:val="0"/>
            <w:vAlign w:val="center"/>
          </w:tcPr>
          <w:p w14:paraId="581086F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2.3.2</w:t>
            </w:r>
          </w:p>
        </w:tc>
        <w:tc>
          <w:tcPr>
            <w:tcW w:w="1978" w:type="dxa"/>
            <w:noWrap w:val="0"/>
            <w:vAlign w:val="center"/>
          </w:tcPr>
          <w:p w14:paraId="58454D9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投标人确认收到</w:t>
            </w:r>
          </w:p>
          <w:p w14:paraId="2E976C3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招标文件修改</w:t>
            </w:r>
          </w:p>
        </w:tc>
        <w:tc>
          <w:tcPr>
            <w:tcW w:w="6053" w:type="dxa"/>
            <w:noWrap w:val="0"/>
            <w:vAlign w:val="center"/>
          </w:tcPr>
          <w:p w14:paraId="257875A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bCs/>
                <w:snapToGrid w:val="0"/>
                <w:color w:val="000000" w:themeColor="text1"/>
                <w:kern w:val="0"/>
                <w:szCs w:val="21"/>
                <w:highlight w:val="none"/>
                <w14:textFill>
                  <w14:solidFill>
                    <w14:schemeClr w14:val="tx1"/>
                  </w14:solidFill>
                </w14:textFill>
              </w:rPr>
              <w:t>所有潜在投标人在投标截止时间前有义务在电子服务系统自行查询，无需回复确认。</w:t>
            </w:r>
          </w:p>
        </w:tc>
      </w:tr>
      <w:tr w14:paraId="7F98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58F29EA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3.2.1</w:t>
            </w:r>
          </w:p>
        </w:tc>
        <w:tc>
          <w:tcPr>
            <w:tcW w:w="1978" w:type="dxa"/>
            <w:noWrap w:val="0"/>
            <w:vAlign w:val="center"/>
          </w:tcPr>
          <w:p w14:paraId="3639FE0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增值税税金</w:t>
            </w:r>
          </w:p>
          <w:p w14:paraId="036DF70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相关要求</w:t>
            </w:r>
          </w:p>
        </w:tc>
        <w:tc>
          <w:tcPr>
            <w:tcW w:w="6053" w:type="dxa"/>
            <w:noWrap w:val="0"/>
            <w:vAlign w:val="center"/>
          </w:tcPr>
          <w:p w14:paraId="5F83316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（1）计税方法</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35483E4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□一般计税方法</w:t>
            </w:r>
          </w:p>
          <w:p w14:paraId="18BF796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□简易计算方法 </w:t>
            </w:r>
          </w:p>
          <w:p w14:paraId="1EAEDD4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（2）发票类型</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74D081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□增值税专用发票</w:t>
            </w:r>
          </w:p>
          <w:p w14:paraId="179FA84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增值税普通发票</w:t>
            </w:r>
          </w:p>
          <w:p w14:paraId="025F636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3</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增值税税率按照国家有关规定执行。</w:t>
            </w:r>
          </w:p>
          <w:p w14:paraId="2634CE0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其它</w:t>
            </w:r>
            <w:r>
              <w:rPr>
                <w:rFonts w:hint="eastAsia" w:ascii="Times New Roman" w:hAnsi="Times New Roman"/>
                <w:smallCaps w:val="0"/>
                <w:color w:val="000000" w:themeColor="text1"/>
                <w:highlight w:val="none"/>
                <w:u w:val="none"/>
                <w:lang w:eastAsia="zh-CN"/>
                <w14:textFill>
                  <w14:solidFill>
                    <w14:schemeClr w14:val="tx1"/>
                  </w14:solidFill>
                </w14:textFill>
              </w:rPr>
              <w:t>：注册地不在淮南市行政区域范围（含两县）的中标人，应按照《纳税人跨县（市、区）提供建筑服务增值税征收管理暂行办法》（国家税务总局公告2016年第17号）规定，在建筑服务发生地及时足额缴纳增值税。</w:t>
            </w:r>
          </w:p>
        </w:tc>
      </w:tr>
      <w:tr w14:paraId="7331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926" w:type="dxa"/>
            <w:noWrap w:val="0"/>
            <w:vAlign w:val="center"/>
          </w:tcPr>
          <w:p w14:paraId="538561C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3.2.4</w:t>
            </w:r>
          </w:p>
        </w:tc>
        <w:tc>
          <w:tcPr>
            <w:tcW w:w="1978" w:type="dxa"/>
            <w:noWrap w:val="0"/>
            <w:vAlign w:val="center"/>
          </w:tcPr>
          <w:p w14:paraId="7467DB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最高投标限价</w:t>
            </w:r>
          </w:p>
        </w:tc>
        <w:tc>
          <w:tcPr>
            <w:tcW w:w="6053" w:type="dxa"/>
            <w:noWrap w:val="0"/>
            <w:vAlign w:val="center"/>
          </w:tcPr>
          <w:p w14:paraId="010B549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无</w:t>
            </w:r>
          </w:p>
          <w:p w14:paraId="1781FAEC">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□有，</w:t>
            </w:r>
            <w:r>
              <w:rPr>
                <w:rFonts w:hint="eastAsia" w:ascii="Times New Roman" w:hAnsi="Times New Roman"/>
                <w:smallCaps w:val="0"/>
                <w:color w:val="000000" w:themeColor="text1"/>
                <w:highlight w:val="none"/>
                <w:lang w:val="en-US" w:eastAsia="zh-CN"/>
                <w14:textFill>
                  <w14:solidFill>
                    <w14:schemeClr w14:val="tx1"/>
                  </w14:solidFill>
                </w14:textFill>
              </w:rPr>
              <w:t>建筑安装工程费</w:t>
            </w:r>
            <w:r>
              <w:rPr>
                <w:rFonts w:hint="eastAsia" w:ascii="Times New Roman" w:hAnsi="Times New Roman"/>
                <w:smallCaps w:val="0"/>
                <w:color w:val="000000" w:themeColor="text1"/>
                <w:highlight w:val="none"/>
                <w14:textFill>
                  <w14:solidFill>
                    <w14:schemeClr w14:val="tx1"/>
                  </w14:solidFill>
                </w14:textFill>
              </w:rPr>
              <w:t>最高投标限价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（其中含暂列金额</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 xml:space="preserve"> XX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元</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暂估价</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 xml:space="preserve"> XX </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元</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，通过电子交易系统发布。</w:t>
            </w:r>
            <w:r>
              <w:rPr>
                <w:rStyle w:val="28"/>
                <w:rFonts w:hint="eastAsia" w:ascii="Times New Roman" w:hAnsi="Times New Roman" w:eastAsia="宋体" w:cs="宋体"/>
                <w:b w:val="0"/>
                <w:bCs/>
                <w:smallCaps w:val="0"/>
                <w:snapToGrid w:val="0"/>
                <w:color w:val="000000" w:themeColor="text1"/>
                <w:kern w:val="0"/>
                <w:szCs w:val="21"/>
                <w:highlight w:val="none"/>
                <w14:textFill>
                  <w14:solidFill>
                    <w14:schemeClr w14:val="tx1"/>
                  </w14:solidFill>
                </w14:textFill>
              </w:rPr>
              <w:footnoteReference w:id="20"/>
            </w:r>
          </w:p>
          <w:p w14:paraId="70C2E2E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其他补充：</w:t>
            </w:r>
            <w:r>
              <w:rPr>
                <w:rFonts w:hint="eastAsia" w:ascii="Times New Roman" w:hAnsi="Times New Roman"/>
                <w:smallCaps w:val="0"/>
                <w:color w:val="000000" w:themeColor="text1"/>
                <w:highlight w:val="none"/>
                <w:u w:val="single"/>
                <w:lang w:val="en-US" w:eastAsia="zh-CN"/>
                <w14:textFill>
                  <w14:solidFill>
                    <w14:schemeClr w14:val="tx1"/>
                  </w14:solidFill>
                </w14:textFill>
              </w:rPr>
              <w:t>XXXXXX</w:t>
            </w:r>
          </w:p>
        </w:tc>
      </w:tr>
      <w:tr w14:paraId="122B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52AAE2A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3.2.5</w:t>
            </w:r>
          </w:p>
        </w:tc>
        <w:tc>
          <w:tcPr>
            <w:tcW w:w="1978" w:type="dxa"/>
            <w:noWrap w:val="0"/>
            <w:vAlign w:val="center"/>
          </w:tcPr>
          <w:p w14:paraId="2C566E6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投标报价的</w:t>
            </w:r>
          </w:p>
          <w:p w14:paraId="0EA008F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其他要求</w:t>
            </w:r>
          </w:p>
        </w:tc>
        <w:tc>
          <w:tcPr>
            <w:tcW w:w="6053" w:type="dxa"/>
            <w:noWrap w:val="0"/>
            <w:vAlign w:val="center"/>
          </w:tcPr>
          <w:p w14:paraId="63F45D5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承包人应严格执行淮南市安全文明要求的相关规定。施工现场视频监控设备经费、维护费用和网络运营费用，由承包人从工程建设安全防护、文明施工措施费用专项账户中列支，投标人在投标报价时应充分考虑上述因素。</w:t>
            </w:r>
          </w:p>
          <w:p w14:paraId="36E4ABE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sym w:font="Wingdings 2" w:char="00A3"/>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投标人应充分考虑开工时间的不确定性和工料机价格的涨跌等因素对投标报价的影响。</w:t>
            </w:r>
          </w:p>
          <w:p w14:paraId="253110C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其他：</w:t>
            </w:r>
          </w:p>
          <w:p w14:paraId="0A3E807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（1）投标人应根据招标人提供的工程量清单和图纸自行填报投标报价，报价时应提交投标报价总价和完整的投标报价详细组价文件；</w:t>
            </w:r>
          </w:p>
          <w:p w14:paraId="57CE392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宋体" w:hAnsi="宋体" w:eastAsia="宋体" w:cs="宋体"/>
                <w:smallCaps w:val="0"/>
                <w:color w:val="000000" w:themeColor="text1"/>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（2）电子清标及评审：详见评审办法附件《投标报价电子清标办法》。</w:t>
            </w:r>
          </w:p>
          <w:p w14:paraId="77EC653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BIM应用费用在工程建设其他费中单独计列，投标人在报价时应充分考虑实施BIM所需的软件、硬件、人员等费用，在“第四章合同条款及格式 第一节合同协议书第四条签约合同价与合同价格形式(5)BIM技术应用费用”填写。</w:t>
            </w:r>
          </w:p>
        </w:tc>
      </w:tr>
      <w:tr w14:paraId="025B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53D3B0B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3.3.1</w:t>
            </w:r>
          </w:p>
        </w:tc>
        <w:tc>
          <w:tcPr>
            <w:tcW w:w="1978" w:type="dxa"/>
            <w:noWrap w:val="0"/>
            <w:vAlign w:val="center"/>
          </w:tcPr>
          <w:p w14:paraId="4E5D755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投标有效期</w:t>
            </w:r>
          </w:p>
        </w:tc>
        <w:tc>
          <w:tcPr>
            <w:tcW w:w="6053" w:type="dxa"/>
            <w:noWrap w:val="0"/>
            <w:vAlign w:val="center"/>
          </w:tcPr>
          <w:p w14:paraId="6ACE984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自投标人</w:t>
            </w:r>
            <w:r>
              <w:rPr>
                <w:rFonts w:hint="eastAsia" w:ascii="Times New Roman" w:hAnsi="Times New Roman"/>
                <w:smallCaps w:val="0"/>
                <w:color w:val="000000" w:themeColor="text1"/>
                <w:highlight w:val="none"/>
                <w:lang w:eastAsia="zh-CN"/>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投标文件截止之日起计算</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tc>
      </w:tr>
      <w:tr w14:paraId="2FB3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926" w:type="dxa"/>
            <w:noWrap w:val="0"/>
            <w:vAlign w:val="center"/>
          </w:tcPr>
          <w:p w14:paraId="232CA16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3.4.1</w:t>
            </w:r>
          </w:p>
        </w:tc>
        <w:tc>
          <w:tcPr>
            <w:tcW w:w="1978" w:type="dxa"/>
            <w:noWrap w:val="0"/>
            <w:vAlign w:val="center"/>
          </w:tcPr>
          <w:p w14:paraId="6F9597E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投标保证金</w:t>
            </w:r>
            <w:r>
              <w:rPr>
                <w:rStyle w:val="28"/>
                <w:rFonts w:hint="eastAsia" w:ascii="Times New Roman" w:hAnsi="Times New Roman" w:eastAsia="宋体" w:cs="宋体"/>
                <w:b w:val="0"/>
                <w:bCs/>
                <w:smallCaps w:val="0"/>
                <w:snapToGrid w:val="0"/>
                <w:color w:val="000000" w:themeColor="text1"/>
                <w:kern w:val="0"/>
                <w:szCs w:val="21"/>
                <w:highlight w:val="none"/>
                <w14:textFill>
                  <w14:solidFill>
                    <w14:schemeClr w14:val="tx1"/>
                  </w14:solidFill>
                </w14:textFill>
              </w:rPr>
              <w:footnoteReference w:id="21"/>
            </w:r>
          </w:p>
        </w:tc>
        <w:tc>
          <w:tcPr>
            <w:tcW w:w="6053" w:type="dxa"/>
            <w:noWrap w:val="0"/>
            <w:vAlign w:val="center"/>
          </w:tcPr>
          <w:p w14:paraId="507117B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是否要求投标人提交投标保证金</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346020C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不要求</w:t>
            </w:r>
          </w:p>
          <w:p w14:paraId="74F4B41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要求</w:t>
            </w:r>
            <w:r>
              <w:rPr>
                <w:rFonts w:hint="eastAsia" w:ascii="Times New Roman" w:hAnsi="Times New Roman"/>
                <w:smallCaps w:val="0"/>
                <w:color w:val="000000" w:themeColor="text1"/>
                <w:highlight w:val="none"/>
                <w:lang w:eastAsia="zh-CN"/>
                <w14:textFill>
                  <w14:solidFill>
                    <w14:schemeClr w14:val="tx1"/>
                  </w14:solidFill>
                </w14:textFill>
              </w:rPr>
              <w:t>。</w:t>
            </w:r>
          </w:p>
          <w:p w14:paraId="7CF7386B">
            <w:pPr>
              <w:keepNext w:val="0"/>
              <w:keepLines w:val="0"/>
              <w:pageBreakBefore w:val="0"/>
              <w:suppressLineNumbers w:val="0"/>
              <w:kinsoku/>
              <w:wordWrap w:val="0"/>
              <w:overflowPunct/>
              <w:topLinePunct w:val="0"/>
              <w:bidi w:val="0"/>
              <w:adjustRightInd/>
              <w:snapToGrid/>
              <w:spacing w:before="0" w:beforeAutospacing="0" w:after="0" w:afterAutospacing="0" w:line="360" w:lineRule="auto"/>
              <w:ind w:left="0" w:right="0" w:firstLine="422" w:firstLineChars="200"/>
              <w:jc w:val="left"/>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投标保证金账号：详见招标公告</w:t>
            </w:r>
          </w:p>
          <w:p w14:paraId="34019EF4">
            <w:pPr>
              <w:pStyle w:val="21"/>
              <w:keepNext w:val="0"/>
              <w:keepLines w:val="0"/>
              <w:pageBreakBefore w:val="0"/>
              <w:suppressLineNumbers w:val="0"/>
              <w:kinsoku/>
              <w:wordWrap w:val="0"/>
              <w:overflowPunct/>
              <w:topLinePunct w:val="0"/>
              <w:bidi w:val="0"/>
              <w:adjustRightInd/>
              <w:snapToGrid/>
              <w:spacing w:before="0" w:beforeAutospacing="0" w:after="0" w:afterAutospacing="0" w:line="360" w:lineRule="auto"/>
              <w:ind w:left="0" w:right="0" w:firstLine="422" w:firstLineChars="200"/>
              <w:rPr>
                <w:rFonts w:hint="eastAsia"/>
                <w:b/>
                <w:bCs w:val="0"/>
                <w:color w:val="000000" w:themeColor="text1"/>
                <w:sz w:val="21"/>
                <w:szCs w:val="21"/>
                <w:highlight w:val="none"/>
                <w:lang w:val="en-US" w:eastAsia="zh-CN"/>
                <w14:textFill>
                  <w14:solidFill>
                    <w14:schemeClr w14:val="tx1"/>
                  </w14:solidFill>
                </w14:textFill>
              </w:rPr>
            </w:pPr>
            <w:r>
              <w:rPr>
                <w:rFonts w:hint="eastAsia"/>
                <w:b/>
                <w:bCs w:val="0"/>
                <w:color w:val="000000" w:themeColor="text1"/>
                <w:sz w:val="21"/>
                <w:szCs w:val="21"/>
                <w:highlight w:val="none"/>
                <w:lang w:val="en-US" w:eastAsia="zh-CN"/>
                <w14:textFill>
                  <w14:solidFill>
                    <w14:schemeClr w14:val="tx1"/>
                  </w14:solidFill>
                </w14:textFill>
              </w:rPr>
              <w:t>递交方式：</w:t>
            </w:r>
          </w:p>
          <w:p w14:paraId="7C506366">
            <w:pPr>
              <w:pStyle w:val="21"/>
              <w:keepNext w:val="0"/>
              <w:keepLines w:val="0"/>
              <w:pageBreakBefore w:val="0"/>
              <w:suppressLineNumbers w:val="0"/>
              <w:kinsoku/>
              <w:wordWrap w:val="0"/>
              <w:overflowPunct/>
              <w:topLinePunct w:val="0"/>
              <w:bidi w:val="0"/>
              <w:adjustRightInd/>
              <w:snapToGrid/>
              <w:spacing w:before="0" w:beforeAutospacing="0" w:after="0" w:afterAutospacing="0" w:line="360" w:lineRule="auto"/>
              <w:ind w:left="0" w:right="0" w:firstLine="420" w:firstLineChars="200"/>
              <w:rPr>
                <w:rFonts w:hint="eastAsia"/>
                <w:b w:val="0"/>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1、银行转账；2、银行电汇；3、网银支付；4、银行保函；5、电子保函；6、保证保险。以上支付方式均可</w:t>
            </w:r>
            <w:r>
              <w:rPr>
                <w:rFonts w:hint="eastAsia"/>
                <w:b w:val="0"/>
                <w:bCs/>
                <w:color w:val="000000" w:themeColor="text1"/>
                <w:sz w:val="21"/>
                <w:szCs w:val="21"/>
                <w:highlight w:val="none"/>
                <w:lang w:val="en-US" w:eastAsia="zh-CN"/>
                <w14:textFill>
                  <w14:solidFill>
                    <w14:schemeClr w14:val="tx1"/>
                  </w14:solidFill>
                </w14:textFill>
              </w:rPr>
              <w:t>。</w:t>
            </w:r>
          </w:p>
          <w:p w14:paraId="1133FFA9">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right="0" w:firstLine="422" w:firstLineChars="200"/>
              <w:textAlignment w:val="auto"/>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具体要求：为减轻投标人及供应商负担，鼓励优先使用电子投标保函形式（具体操作请登录“淮南 市公共资源交易中心网”（http://jy.ggj.huainan.gov.cn/），点击“资料下载”，查询 “淮南市电子投标保函使用手册”，采用纸质保函，投标人应从基本账户开户行出具见索即付无条件不可撤销的纸质保函，否则其投标将被否决；其次通过银行转账、电汇、网银支付、电子保函等方式递交。投标人应按时足额从基本户转入（电汇）至本项目所提供的保证金账户之一中，开标前（服务时间）到账为准。招标结束投标保证金本息一并退还。</w:t>
            </w:r>
          </w:p>
          <w:p w14:paraId="0AB1BF49">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right="0" w:firstLine="422" w:firstLineChars="200"/>
              <w:textAlignment w:val="auto"/>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投标保证金退还：</w:t>
            </w:r>
          </w:p>
          <w:p w14:paraId="6C89B56E">
            <w:pPr>
              <w:pStyle w:val="97"/>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eastAsia="宋体"/>
                <w:color w:val="000000" w:themeColor="text1"/>
                <w:sz w:val="21"/>
                <w:szCs w:val="21"/>
                <w:highlight w:val="none"/>
                <w:lang w:val="zh-CN" w:eastAsia="zh-CN"/>
                <w14:textFill>
                  <w14:solidFill>
                    <w14:schemeClr w14:val="tx1"/>
                  </w14:solidFill>
                </w14:textFill>
              </w:rPr>
            </w:pPr>
            <w:r>
              <w:rPr>
                <w:rFonts w:hint="eastAsia" w:eastAsia="宋体"/>
                <w:color w:val="000000" w:themeColor="text1"/>
                <w:sz w:val="21"/>
                <w:szCs w:val="21"/>
                <w:highlight w:val="none"/>
                <w:lang w:val="zh-CN" w:eastAsia="zh-CN"/>
                <w14:textFill>
                  <w14:solidFill>
                    <w14:schemeClr w14:val="tx1"/>
                  </w14:solidFill>
                </w14:textFill>
              </w:rPr>
              <w:t>中标候选人以外的投标人投标保证金将在评标结束后办理退还手续（本息退还）。未中标的中标候选人的投标保证金在中标通知书发放后5日内予以退还（本息退还）。中标人的投标保证金在招标人与中标人签订合同、支付招标代理费用并提交履约担保后5日内予以退还（本息退还）。</w:t>
            </w:r>
          </w:p>
          <w:p w14:paraId="6A02BCF1">
            <w:pPr>
              <w:pStyle w:val="97"/>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right="0" w:firstLine="422" w:firstLineChars="200"/>
              <w:textAlignment w:val="auto"/>
              <w:rPr>
                <w:rFonts w:hint="eastAsia" w:eastAsia="宋体"/>
                <w:b/>
                <w:bCs/>
                <w:color w:val="000000" w:themeColor="text1"/>
                <w:sz w:val="21"/>
                <w:szCs w:val="21"/>
                <w:highlight w:val="none"/>
                <w:lang w:val="zh-CN" w:eastAsia="zh-CN"/>
                <w14:textFill>
                  <w14:solidFill>
                    <w14:schemeClr w14:val="tx1"/>
                  </w14:solidFill>
                </w14:textFill>
              </w:rPr>
            </w:pPr>
            <w:r>
              <w:rPr>
                <w:rFonts w:hint="eastAsia" w:eastAsia="宋体"/>
                <w:b/>
                <w:bCs/>
                <w:color w:val="000000" w:themeColor="text1"/>
                <w:sz w:val="21"/>
                <w:szCs w:val="21"/>
                <w:highlight w:val="none"/>
                <w:lang w:val="zh-CN" w:eastAsia="zh-CN"/>
                <w14:textFill>
                  <w14:solidFill>
                    <w14:schemeClr w14:val="tx1"/>
                  </w14:solidFill>
                </w14:textFill>
              </w:rPr>
              <w:t>投标保证金不予退还的情形：</w:t>
            </w:r>
          </w:p>
          <w:p w14:paraId="2DAF19A2">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①中标通知书发出后，中标人放弃中标项目的，无正当理由不与招标人签订合同的，在签订合同时向招标人提出附加条件或者更改合同实质性内容的，或者不按要求递交履约担保的；</w:t>
            </w:r>
          </w:p>
          <w:p w14:paraId="12B6C790">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②投标截止后投标人撤销投标文件的</w:t>
            </w:r>
            <w:r>
              <w:rPr>
                <w:rFonts w:hint="eastAsia" w:ascii="宋体" w:hAnsi="宋体" w:cs="宋体"/>
                <w:snapToGrid w:val="0"/>
                <w:color w:val="000000" w:themeColor="text1"/>
                <w:kern w:val="0"/>
                <w:sz w:val="21"/>
                <w:szCs w:val="21"/>
                <w:highlight w:val="none"/>
                <w:lang w:eastAsia="zh-CN"/>
                <w14:textFill>
                  <w14:solidFill>
                    <w14:schemeClr w14:val="tx1"/>
                  </w14:solidFill>
                </w14:textFill>
              </w:rPr>
              <w:t>。</w:t>
            </w:r>
          </w:p>
        </w:tc>
      </w:tr>
      <w:tr w14:paraId="6353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6" w:type="dxa"/>
            <w:noWrap w:val="0"/>
            <w:vAlign w:val="center"/>
          </w:tcPr>
          <w:p w14:paraId="399E220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3.4.4</w:t>
            </w:r>
          </w:p>
        </w:tc>
        <w:tc>
          <w:tcPr>
            <w:tcW w:w="1978" w:type="dxa"/>
            <w:noWrap w:val="0"/>
            <w:vAlign w:val="center"/>
          </w:tcPr>
          <w:p w14:paraId="2B8D1B1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其他不予退还投标保证金的情形</w:t>
            </w:r>
          </w:p>
        </w:tc>
        <w:tc>
          <w:tcPr>
            <w:tcW w:w="6053" w:type="dxa"/>
            <w:noWrap w:val="0"/>
            <w:vAlign w:val="center"/>
          </w:tcPr>
          <w:p w14:paraId="1E2B30F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w:t>
            </w:r>
          </w:p>
        </w:tc>
      </w:tr>
      <w:tr w14:paraId="59F5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6" w:type="dxa"/>
            <w:noWrap w:val="0"/>
            <w:vAlign w:val="center"/>
          </w:tcPr>
          <w:p w14:paraId="5AFED8B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3.6.1</w:t>
            </w:r>
          </w:p>
        </w:tc>
        <w:tc>
          <w:tcPr>
            <w:tcW w:w="1978" w:type="dxa"/>
            <w:noWrap w:val="0"/>
            <w:vAlign w:val="center"/>
          </w:tcPr>
          <w:p w14:paraId="6AB56B3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是否允许</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备选投标方案</w:t>
            </w:r>
          </w:p>
        </w:tc>
        <w:tc>
          <w:tcPr>
            <w:tcW w:w="6053" w:type="dxa"/>
            <w:noWrap w:val="0"/>
            <w:vAlign w:val="center"/>
          </w:tcPr>
          <w:p w14:paraId="6B5C6DC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□不允许</w:t>
            </w:r>
          </w:p>
          <w:p w14:paraId="13510B7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□允许</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具体要求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tc>
      </w:tr>
      <w:tr w14:paraId="0B31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4" w:hRule="atLeast"/>
        </w:trPr>
        <w:tc>
          <w:tcPr>
            <w:tcW w:w="926" w:type="dxa"/>
            <w:noWrap w:val="0"/>
            <w:vAlign w:val="center"/>
          </w:tcPr>
          <w:p w14:paraId="499123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3.7.1</w:t>
            </w:r>
          </w:p>
        </w:tc>
        <w:tc>
          <w:tcPr>
            <w:tcW w:w="1978" w:type="dxa"/>
            <w:noWrap w:val="0"/>
            <w:vAlign w:val="center"/>
          </w:tcPr>
          <w:p w14:paraId="26370364">
            <w:pPr>
              <w:pStyle w:val="16"/>
              <w:keepNext w:val="0"/>
              <w:keepLines w:val="0"/>
              <w:pageBreakBefore w:val="0"/>
              <w:suppressLineNumbers w:val="0"/>
              <w:kinsoku/>
              <w:wordWrap w:val="0"/>
              <w:overflowPunct/>
              <w:bidi w:val="0"/>
              <w:spacing w:before="0" w:beforeAutospacing="0" w:after="0" w:afterAutospacing="0"/>
              <w:ind w:left="0" w:right="0"/>
              <w:jc w:val="center"/>
              <w:rPr>
                <w:rFonts w:hint="eastAsia"/>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施工组织设计编制的特殊要求</w:t>
            </w:r>
          </w:p>
        </w:tc>
        <w:tc>
          <w:tcPr>
            <w:tcW w:w="6053" w:type="dxa"/>
            <w:noWrap w:val="0"/>
            <w:vAlign w:val="center"/>
          </w:tcPr>
          <w:p w14:paraId="4B0F977C">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（1）本招标项目重点难点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 xml:space="preserve">； </w:t>
            </w:r>
          </w:p>
          <w:p w14:paraId="46E7E16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本项内容与施工组织设计重难点评审相对应，投标人必须在施工组织设计中全面重点阐述）</w:t>
            </w:r>
          </w:p>
          <w:p w14:paraId="43981B6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（2）本招标项目危险性较大的分部分项工程清单</w:t>
            </w:r>
            <w:r>
              <w:rPr>
                <w:rStyle w:val="28"/>
                <w:rFonts w:hint="eastAsia" w:ascii="Times New Roman" w:hAnsi="Times New Roman"/>
                <w:smallCaps w:val="0"/>
                <w:color w:val="000000" w:themeColor="text1"/>
                <w:highlight w:val="none"/>
                <w14:textFill>
                  <w14:solidFill>
                    <w14:schemeClr w14:val="tx1"/>
                  </w14:solidFill>
                </w14:textFill>
              </w:rPr>
              <w:footnoteReference w:id="22"/>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810500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上述危险性工程的施工应根据工地实际情况，严格按施工规范采取有效措施，并严格控制施工机械和车辆对施工产生动荷载的影响，施工前作出细部施工组织设计、监控、应急方案并组织专家论证。</w:t>
            </w:r>
          </w:p>
          <w:p w14:paraId="5661F21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投标单位在投标时补充完善危大工程清单并明确相应的安全管理措施。相关技术措施费及安全防护文明施工措施费均包含在投标总价中。</w:t>
            </w:r>
          </w:p>
          <w:p w14:paraId="24F4B890">
            <w:pPr>
              <w:pStyle w:val="41"/>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 xml:space="preserve">（3）是否应用BIM技术   </w:t>
            </w:r>
            <w:r>
              <w:rPr>
                <w:rFonts w:hint="eastAsia" w:ascii="Times New Roman" w:hAnsi="Times New Roman" w:eastAsia="宋体" w:cs="Times New Roman"/>
                <w:smallCaps w:val="0"/>
                <w:color w:val="000000" w:themeColor="text1"/>
                <w:highlight w:val="none"/>
                <w14:textFill>
                  <w14:solidFill>
                    <w14:schemeClr w14:val="tx1"/>
                  </w14:solidFill>
                </w14:textFill>
              </w:rPr>
              <w:t>□</w:t>
            </w: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 xml:space="preserve">应用 </w:t>
            </w:r>
            <w:r>
              <w:rPr>
                <w:rFonts w:hint="eastAsia" w:ascii="Times New Roman" w:hAnsi="Times New Roman" w:eastAsia="宋体" w:cs="Times New Roman"/>
                <w:smallCaps w:val="0"/>
                <w:color w:val="000000" w:themeColor="text1"/>
                <w:highlight w:val="none"/>
                <w14:textFill>
                  <w14:solidFill>
                    <w14:schemeClr w14:val="tx1"/>
                  </w14:solidFill>
                </w14:textFill>
              </w:rPr>
              <w:t>□</w:t>
            </w: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不应用</w:t>
            </w:r>
          </w:p>
          <w:p w14:paraId="131B7516">
            <w:pPr>
              <w:pStyle w:val="41"/>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应用范围：</w:t>
            </w:r>
          </w:p>
          <w:p w14:paraId="55A9358A">
            <w:pPr>
              <w:pStyle w:val="41"/>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实施方案、</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模型评审、</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进度评审、</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 xml:space="preserve">场地评审、 </w:t>
            </w:r>
          </w:p>
          <w:p w14:paraId="3C99794F">
            <w:pPr>
              <w:pStyle w:val="41"/>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工艺评审、</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清单评审、</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资金资源评审、</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直接费评审</w:t>
            </w:r>
          </w:p>
          <w:p w14:paraId="55D7E41E">
            <w:pPr>
              <w:pStyle w:val="41"/>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注：如应用BIM技术，实施方案、模型评审和进度评审为必选项，BIM技术详见要求见第七章“技术标准和要求”，同时招标人需充分考虑投标人编制BIM标书的时间，考察重难点部位BIM应用能力。</w:t>
            </w:r>
          </w:p>
          <w:p w14:paraId="69A86347">
            <w:pPr>
              <w:pStyle w:val="41"/>
              <w:keepNext w:val="0"/>
              <w:keepLines w:val="0"/>
              <w:pageBreakBefore w:val="0"/>
              <w:widowControl w:val="0"/>
              <w:numPr>
                <w:ilvl w:val="0"/>
                <w:numId w:val="7"/>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施工组织设计如要求应用BIM技术，BIM标书内容详见第八章</w:t>
            </w:r>
            <w:r>
              <w:rPr>
                <w:rFonts w:hint="eastAsia" w:ascii="Times New Roman" w:hAnsi="Times New Roman" w:cs="Times New Roman"/>
                <w:smallCaps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投标文件格式</w:t>
            </w:r>
            <w:r>
              <w:rPr>
                <w:rStyle w:val="28"/>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footnoteReference w:id="23"/>
            </w:r>
            <w:r>
              <w:rPr>
                <w:rFonts w:hint="eastAsia" w:ascii="Times New Roman" w:hAnsi="Times New Roman" w:cs="Times New Roman"/>
                <w:smallCaps w:val="0"/>
                <w:color w:val="000000" w:themeColor="text1"/>
                <w:highlight w:val="none"/>
                <w:lang w:val="en-US" w:eastAsia="zh-CN"/>
                <w14:textFill>
                  <w14:solidFill>
                    <w14:schemeClr w14:val="tx1"/>
                  </w14:solidFill>
                </w14:textFill>
              </w:rPr>
              <w:t>》投标文件（</w:t>
            </w: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技术文件</w:t>
            </w:r>
            <w:r>
              <w:rPr>
                <w:rFonts w:hint="eastAsia" w:ascii="Times New Roman" w:hAnsi="Times New Roman" w:cs="Times New Roman"/>
                <w:smallCaps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w:t>
            </w:r>
          </w:p>
          <w:p w14:paraId="6B56E693">
            <w:pPr>
              <w:pStyle w:val="41"/>
              <w:keepNext w:val="0"/>
              <w:keepLines w:val="0"/>
              <w:pageBreakBefore w:val="0"/>
              <w:widowControl w:val="0"/>
              <w:numPr>
                <w:ilvl w:val="0"/>
                <w:numId w:val="7"/>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应用BIM技术的招标项目，投标人在各市公共资源交易平台的下载专区进行BIM标书编制工具下载，请注意使用最新的版本。投标人应在招标人提供的招标模型基础上进行深化应用，将深化后的BIM模型、进度文件、预算文件导入BIM标书编制工具，并进行整合，导出施工BIM标书（格式为*.MBS-AH</w:t>
            </w:r>
            <w:r>
              <w:rPr>
                <w:rFonts w:hint="eastAsia" w:ascii="Times New Roman" w:hAnsi="Times New Roman" w:cs="Times New Roman"/>
                <w:smallCaps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文件应小于1G），然后将其导入投标文件制作工具，和其他投标文件统一加密生成电子投标文件，上传到交易平台</w:t>
            </w:r>
            <w:r>
              <w:rPr>
                <w:rFonts w:hint="eastAsia" w:ascii="Times New Roman" w:hAnsi="Times New Roman" w:cs="Times New Roman"/>
                <w:smallCaps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MBS-AH文件应小于1G）。</w:t>
            </w:r>
          </w:p>
          <w:p w14:paraId="46053337">
            <w:pPr>
              <w:pStyle w:val="41"/>
              <w:keepNext w:val="0"/>
              <w:keepLines w:val="0"/>
              <w:pageBreakBefore w:val="0"/>
              <w:widowControl w:val="0"/>
              <w:numPr>
                <w:ilvl w:val="0"/>
                <w:numId w:val="7"/>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施工组织设计编制采用</w:t>
            </w:r>
            <w:r>
              <w:rPr>
                <w:rStyle w:val="28"/>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footnoteReference w:id="24"/>
            </w:r>
            <w:r>
              <w:rPr>
                <w:rFonts w:hint="eastAsia" w:ascii="Times New Roman" w:hAnsi="Times New Roman" w:eastAsia="宋体" w:cs="Times New Roman"/>
                <w:smallCaps w:val="0"/>
                <w:color w:val="000000" w:themeColor="text1"/>
                <w:highlight w:val="none"/>
                <w:lang w:val="en-US" w:eastAsia="zh-CN"/>
                <w14:textFill>
                  <w14:solidFill>
                    <w14:schemeClr w14:val="tx1"/>
                  </w14:solidFill>
                </w14:textFill>
              </w:rPr>
              <w:t>：</w:t>
            </w:r>
          </w:p>
          <w:p w14:paraId="43700FF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明标。</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暗标。具体要求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3E5611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施工组织设计采用暗标评审项目的编制要求</w:t>
            </w:r>
            <w:r>
              <w:rPr>
                <w:rFonts w:hint="eastAsia" w:ascii="Times New Roman" w:hAnsi="Times New Roman"/>
                <w:smallCaps w:val="0"/>
                <w:color w:val="000000" w:themeColor="text1"/>
                <w:highlight w:val="none"/>
                <w:lang w:val="en-US" w:eastAsia="zh-CN"/>
                <w14:textFill>
                  <w14:solidFill>
                    <w14:schemeClr w14:val="tx1"/>
                  </w14:solidFill>
                </w14:textFill>
              </w:rPr>
              <w:t>:</w:t>
            </w:r>
          </w:p>
          <w:p w14:paraId="19B38CF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（1）施工组织设计部分应按照招标文件中</w:t>
            </w:r>
            <w:r>
              <w:rPr>
                <w:rFonts w:hint="eastAsia" w:ascii="Times New Roman" w:hAnsi="Times New Roman"/>
                <w:smallCaps w:val="0"/>
                <w:color w:val="000000" w:themeColor="text1"/>
                <w:highlight w:val="none"/>
                <w:lang w:eastAsia="zh-CN"/>
                <w14:textFill>
                  <w14:solidFill>
                    <w14:schemeClr w14:val="tx1"/>
                  </w14:solidFill>
                </w14:textFill>
              </w:rPr>
              <w:t>“投标文件格式”中“投标文件（技术文件）”中的“施工组织设计”所列内容和顺序编制。</w:t>
            </w:r>
            <w:r>
              <w:rPr>
                <w:rFonts w:hint="eastAsia" w:ascii="宋体" w:hAnsi="宋体" w:cs="宋体"/>
                <w:snapToGrid w:val="0"/>
                <w:color w:val="000000" w:themeColor="text1"/>
                <w:kern w:val="0"/>
                <w:sz w:val="21"/>
                <w:szCs w:val="21"/>
                <w:highlight w:val="none"/>
                <w:shd w:val="clear" w:color="auto" w:fill="FFFFFF"/>
                <w14:textFill>
                  <w14:solidFill>
                    <w14:schemeClr w14:val="tx1"/>
                  </w14:solidFill>
                </w14:textFill>
              </w:rPr>
              <w:t>施工组织设计部分应按照招标文件</w:t>
            </w:r>
            <w:r>
              <w:rPr>
                <w:rFonts w:hint="eastAsia" w:ascii="宋体" w:hAnsi="宋体" w:cs="宋体"/>
                <w:snapToGrid w:val="0"/>
                <w:color w:val="000000" w:themeColor="text1"/>
                <w:kern w:val="0"/>
                <w:sz w:val="21"/>
                <w:szCs w:val="21"/>
                <w:highlight w:val="none"/>
                <w:shd w:val="clear" w:color="auto" w:fill="FFFFFF"/>
                <w:lang w:val="en-US" w:eastAsia="zh-CN"/>
                <w14:textFill>
                  <w14:solidFill>
                    <w14:schemeClr w14:val="tx1"/>
                  </w14:solidFill>
                </w14:textFill>
              </w:rPr>
              <w:t>、</w:t>
            </w:r>
            <w:r>
              <w:rPr>
                <w:rFonts w:hint="eastAsia" w:ascii="宋体" w:hAnsi="宋体" w:cs="宋体"/>
                <w:snapToGrid w:val="0"/>
                <w:color w:val="000000" w:themeColor="text1"/>
                <w:kern w:val="0"/>
                <w:sz w:val="21"/>
                <w:szCs w:val="21"/>
                <w:highlight w:val="none"/>
                <w:shd w:val="clear" w:color="auto" w:fill="FFFFFF"/>
                <w14:textFill>
                  <w14:solidFill>
                    <w14:schemeClr w14:val="tx1"/>
                  </w14:solidFill>
                </w14:textFill>
              </w:rPr>
              <w:t>评标办法前附表</w:t>
            </w:r>
            <w:r>
              <w:rPr>
                <w:rFonts w:hint="eastAsia" w:ascii="宋体" w:hAnsi="宋体" w:cs="宋体"/>
                <w:snapToGrid w:val="0"/>
                <w:color w:val="000000" w:themeColor="text1"/>
                <w:kern w:val="0"/>
                <w:sz w:val="21"/>
                <w:szCs w:val="21"/>
                <w:highlight w:val="none"/>
                <w:u w:val="single"/>
                <w:shd w:val="clear" w:color="auto" w:fill="FFFFFF"/>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shd w:val="clear" w:color="auto" w:fill="FFFFFF"/>
                <w:lang w:val="en-US" w:eastAsia="zh-CN"/>
                <w14:textFill>
                  <w14:solidFill>
                    <w14:schemeClr w14:val="tx1"/>
                  </w14:solidFill>
                </w14:textFill>
              </w:rPr>
              <w:t>与评审项的</w:t>
            </w:r>
            <w:r>
              <w:rPr>
                <w:rFonts w:hint="eastAsia" w:ascii="宋体" w:hAnsi="宋体" w:cs="宋体"/>
                <w:snapToGrid w:val="0"/>
                <w:color w:val="000000" w:themeColor="text1"/>
                <w:kern w:val="0"/>
                <w:sz w:val="21"/>
                <w:szCs w:val="21"/>
                <w:highlight w:val="none"/>
                <w:u w:val="single"/>
                <w:shd w:val="clear" w:color="auto" w:fill="FFFFFF"/>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shd w:val="clear" w:color="auto" w:fill="FFFFFF"/>
                <w14:textFill>
                  <w14:solidFill>
                    <w14:schemeClr w14:val="tx1"/>
                  </w14:solidFill>
                </w14:textFill>
              </w:rPr>
              <w:t>要求编写</w:t>
            </w:r>
            <w:r>
              <w:rPr>
                <w:rFonts w:hint="eastAsia" w:ascii="宋体" w:hAnsi="宋体" w:cs="宋体"/>
                <w:snapToGrid w:val="0"/>
                <w:color w:val="000000" w:themeColor="text1"/>
                <w:kern w:val="0"/>
                <w:sz w:val="21"/>
                <w:szCs w:val="21"/>
                <w:highlight w:val="none"/>
                <w:shd w:val="clear" w:color="auto" w:fill="FFFFFF"/>
                <w14:textFill>
                  <w14:solidFill>
                    <w14:schemeClr w14:val="tx1"/>
                  </w14:solidFill>
                </w14:textFill>
              </w:rPr>
              <w:t>。</w:t>
            </w:r>
          </w:p>
          <w:p w14:paraId="3F0EFB0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（2）施工组织设计部分的正文及各类型图表，框图一律单黑色，图表和框图内字号为三号至八号，不得有其他颜色的文字和图表出现在投标文件施工组织设计部分中</w:t>
            </w:r>
            <w:r>
              <w:rPr>
                <w:rFonts w:hint="eastAsia" w:ascii="Times New Roman" w:hAnsi="Times New Roman"/>
                <w:smallCaps w:val="0"/>
                <w:color w:val="000000" w:themeColor="text1"/>
                <w:highlight w:val="none"/>
                <w:lang w:eastAsia="zh-CN"/>
                <w14:textFill>
                  <w14:solidFill>
                    <w14:schemeClr w14:val="tx1"/>
                  </w14:solidFill>
                </w14:textFill>
              </w:rPr>
              <w:t>。</w:t>
            </w:r>
          </w:p>
          <w:p w14:paraId="133D798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（3）施工组织设计部分正文一律</w:t>
            </w:r>
            <w:r>
              <w:rPr>
                <w:rFonts w:hint="eastAsia" w:ascii="Times New Roman" w:hAnsi="Times New Roman"/>
                <w:smallCaps w:val="0"/>
                <w:color w:val="000000" w:themeColor="text1"/>
                <w:highlight w:val="none"/>
                <w:lang w:val="en-US" w:eastAsia="zh-CN"/>
                <w14:textFill>
                  <w14:solidFill>
                    <w14:schemeClr w14:val="tx1"/>
                  </w14:solidFill>
                </w14:textFill>
              </w:rPr>
              <w:t>A4幅面</w:t>
            </w:r>
            <w:r>
              <w:rPr>
                <w:rFonts w:hint="eastAsia" w:ascii="Times New Roman" w:hAnsi="Times New Roman"/>
                <w:smallCaps w:val="0"/>
                <w:color w:val="000000" w:themeColor="text1"/>
                <w:highlight w:val="none"/>
                <w14:textFill>
                  <w14:solidFill>
                    <w14:schemeClr w14:val="tx1"/>
                  </w14:solidFill>
                </w14:textFill>
              </w:rPr>
              <w:t>单面排版，大标题用三号仿宋（GB2312）加粗字体居中（一、二、三、…），其余均为正文部分，正文部分采用小三号仿宋（GB2312）字体；页边距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上2.5</w:t>
            </w:r>
            <w:r>
              <w:rPr>
                <w:rFonts w:hint="eastAsia" w:ascii="Times New Roman" w:hAnsi="Times New Roman"/>
                <w:smallCaps w:val="0"/>
                <w:color w:val="000000" w:themeColor="text1"/>
                <w:highlight w:val="none"/>
                <w:lang w:val="en-US" w:eastAsia="zh-CN"/>
                <w14:textFill>
                  <w14:solidFill>
                    <w14:schemeClr w14:val="tx1"/>
                  </w14:solidFill>
                </w14:textFill>
              </w:rPr>
              <w:t>cm</w:t>
            </w:r>
            <w:r>
              <w:rPr>
                <w:rFonts w:hint="eastAsia" w:ascii="Times New Roman" w:hAnsi="Times New Roman"/>
                <w:smallCaps w:val="0"/>
                <w:color w:val="000000" w:themeColor="text1"/>
                <w:highlight w:val="none"/>
                <w14:textFill>
                  <w14:solidFill>
                    <w14:schemeClr w14:val="tx1"/>
                  </w14:solidFill>
                </w14:textFill>
              </w:rPr>
              <w:t>，下2.5</w:t>
            </w:r>
            <w:r>
              <w:rPr>
                <w:rFonts w:hint="eastAsia" w:ascii="Times New Roman" w:hAnsi="Times New Roman"/>
                <w:smallCaps w:val="0"/>
                <w:color w:val="000000" w:themeColor="text1"/>
                <w:highlight w:val="none"/>
                <w:lang w:val="en-US" w:eastAsia="zh-CN"/>
                <w14:textFill>
                  <w14:solidFill>
                    <w14:schemeClr w14:val="tx1"/>
                  </w14:solidFill>
                </w14:textFill>
              </w:rPr>
              <w:t>cm</w:t>
            </w:r>
            <w:r>
              <w:rPr>
                <w:rFonts w:hint="eastAsia" w:ascii="Times New Roman" w:hAnsi="Times New Roman"/>
                <w:smallCaps w:val="0"/>
                <w:color w:val="000000" w:themeColor="text1"/>
                <w:highlight w:val="none"/>
                <w14:textFill>
                  <w14:solidFill>
                    <w14:schemeClr w14:val="tx1"/>
                  </w14:solidFill>
                </w14:textFill>
              </w:rPr>
              <w:t>，左3</w:t>
            </w:r>
            <w:r>
              <w:rPr>
                <w:rFonts w:hint="eastAsia" w:ascii="Times New Roman" w:hAnsi="Times New Roman"/>
                <w:smallCaps w:val="0"/>
                <w:color w:val="000000" w:themeColor="text1"/>
                <w:highlight w:val="none"/>
                <w:lang w:val="en-US" w:eastAsia="zh-CN"/>
                <w14:textFill>
                  <w14:solidFill>
                    <w14:schemeClr w14:val="tx1"/>
                  </w14:solidFill>
                </w14:textFill>
              </w:rPr>
              <w:t>cm</w:t>
            </w:r>
            <w:r>
              <w:rPr>
                <w:rFonts w:hint="eastAsia" w:ascii="Times New Roman" w:hAnsi="Times New Roman"/>
                <w:smallCaps w:val="0"/>
                <w:color w:val="000000" w:themeColor="text1"/>
                <w:highlight w:val="none"/>
                <w14:textFill>
                  <w14:solidFill>
                    <w14:schemeClr w14:val="tx1"/>
                  </w14:solidFill>
                </w14:textFill>
              </w:rPr>
              <w:t>，右2.5</w:t>
            </w:r>
            <w:r>
              <w:rPr>
                <w:rFonts w:hint="eastAsia" w:ascii="Times New Roman" w:hAnsi="Times New Roman"/>
                <w:smallCaps w:val="0"/>
                <w:color w:val="000000" w:themeColor="text1"/>
                <w:highlight w:val="none"/>
                <w:lang w:val="en-US" w:eastAsia="zh-CN"/>
                <w14:textFill>
                  <w14:solidFill>
                    <w14:schemeClr w14:val="tx1"/>
                  </w14:solidFill>
                </w14:textFill>
              </w:rPr>
              <w:t>cm</w:t>
            </w:r>
            <w:r>
              <w:rPr>
                <w:rFonts w:hint="eastAsia" w:ascii="Times New Roman" w:hAnsi="Times New Roman"/>
                <w:smallCaps w:val="0"/>
                <w:color w:val="000000" w:themeColor="text1"/>
                <w:highlight w:val="none"/>
                <w14:textFill>
                  <w14:solidFill>
                    <w14:schemeClr w14:val="tx1"/>
                  </w14:solidFill>
                </w14:textFill>
              </w:rPr>
              <w:t>，装订线0.3-0.6</w:t>
            </w:r>
            <w:r>
              <w:rPr>
                <w:rFonts w:hint="eastAsia" w:ascii="Times New Roman" w:hAnsi="Times New Roman"/>
                <w:smallCaps w:val="0"/>
                <w:color w:val="000000" w:themeColor="text1"/>
                <w:highlight w:val="none"/>
                <w:lang w:val="en-US" w:eastAsia="zh-CN"/>
                <w14:textFill>
                  <w14:solidFill>
                    <w14:schemeClr w14:val="tx1"/>
                  </w14:solidFill>
                </w14:textFill>
              </w:rPr>
              <w:t>cm</w:t>
            </w:r>
            <w:r>
              <w:rPr>
                <w:rFonts w:hint="eastAsia" w:ascii="Times New Roman" w:hAnsi="Times New Roman"/>
                <w:smallCaps w:val="0"/>
                <w:color w:val="000000" w:themeColor="text1"/>
                <w:highlight w:val="none"/>
                <w14:textFill>
                  <w14:solidFill>
                    <w14:schemeClr w14:val="tx1"/>
                  </w14:solidFill>
                </w14:textFill>
              </w:rPr>
              <w:t>；正文所有字间距为标准字间距、行间距为固定值25磅；正文内不允许出现非文字需要的其他任何符号和标志。</w:t>
            </w:r>
          </w:p>
          <w:p w14:paraId="6706A76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（4）施工组织设计部分内不需编制页眉、页脚、页码，不设内封面，不得有图片和扉页出现。</w:t>
            </w:r>
          </w:p>
          <w:p w14:paraId="438C31F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（5）施工组织设计部分页数不得超过100页</w:t>
            </w:r>
            <w:r>
              <w:rPr>
                <w:rStyle w:val="28"/>
                <w:rFonts w:hint="eastAsia" w:ascii="Times New Roman" w:hAnsi="Times New Roman"/>
                <w:smallCaps w:val="0"/>
                <w:color w:val="000000" w:themeColor="text1"/>
                <w:highlight w:val="none"/>
                <w14:textFill>
                  <w14:solidFill>
                    <w14:schemeClr w14:val="tx1"/>
                  </w14:solidFill>
                </w14:textFill>
              </w:rPr>
              <w:footnoteReference w:id="25"/>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目录、标题等均计入页码范围</w:t>
            </w:r>
            <w:r>
              <w:rPr>
                <w:rFonts w:hint="eastAsia" w:ascii="Times New Roman" w:hAnsi="Times New Roman"/>
                <w:smallCaps w:val="0"/>
                <w:color w:val="000000" w:themeColor="text1"/>
                <w:highlight w:val="none"/>
                <w:lang w:eastAsia="zh-CN"/>
                <w14:textFill>
                  <w14:solidFill>
                    <w14:schemeClr w14:val="tx1"/>
                  </w14:solidFill>
                </w14:textFill>
              </w:rPr>
              <w:t>）</w:t>
            </w:r>
          </w:p>
          <w:p w14:paraId="06FBA73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（6）大标题用三号仿宋（GB2312）加粗字体居中（一、二、三、…），除一级标题外，其余均为正文部分，正文内容均顶格编写。施工组织设计部分正文内序号排列用阿拉伯数字表示，具体要求规定如下</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1FEB51A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正文编制格式</w:t>
            </w:r>
          </w:p>
          <w:p w14:paraId="0A0EF55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一、工程概况</w:t>
            </w:r>
          </w:p>
          <w:p w14:paraId="3B1CA2DF">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 ……</w:t>
            </w:r>
          </w:p>
          <w:p w14:paraId="441EDCC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 ……</w:t>
            </w:r>
          </w:p>
          <w:p w14:paraId="62CC637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p w14:paraId="6383024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w:t>
            </w:r>
          </w:p>
          <w:p w14:paraId="5A4AF4D0">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 ……</w:t>
            </w:r>
          </w:p>
          <w:p w14:paraId="0BD9167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 ……</w:t>
            </w:r>
          </w:p>
          <w:p w14:paraId="34622B4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 ……</w:t>
            </w:r>
          </w:p>
          <w:p w14:paraId="4BA56A69">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p w14:paraId="646AFC5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投标文件施工组织设计部分中横道图、网络图及一些表格和框图采用何种软件编制自行确定，但必须符合招标文件对投标文件施工组织设计部分编制的要求，且不得出现与投标内容无关的文字、字符或标记；网络图、进度图、平面布置图放在投标文件</w:t>
            </w:r>
            <w:r>
              <w:rPr>
                <w:rFonts w:hint="eastAsia" w:ascii="Times New Roman" w:hAnsi="Times New Roman"/>
                <w:smallCaps w:val="0"/>
                <w:color w:val="000000" w:themeColor="text1"/>
                <w:highlight w:val="none"/>
                <w:lang w:eastAsia="zh-CN"/>
                <w14:textFill>
                  <w14:solidFill>
                    <w14:schemeClr w14:val="tx1"/>
                  </w14:solidFill>
                </w14:textFill>
              </w:rPr>
              <w:t>施工组织设计章节</w:t>
            </w:r>
            <w:r>
              <w:rPr>
                <w:rFonts w:hint="eastAsia" w:ascii="Times New Roman" w:hAnsi="Times New Roman"/>
                <w:smallCaps w:val="0"/>
                <w:color w:val="000000" w:themeColor="text1"/>
                <w:highlight w:val="none"/>
                <w14:textFill>
                  <w14:solidFill>
                    <w14:schemeClr w14:val="tx1"/>
                  </w14:solidFill>
                </w14:textFill>
              </w:rPr>
              <w:t>最后（施工进度表可采用网络图或横道图表示）。</w:t>
            </w:r>
          </w:p>
          <w:p w14:paraId="4ACD40F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（8）施工组织设计部分的任何部位、任何条文出现明示或暗示具体投标人的说明及标记（包括以往的施工业绩等），未按照要求编制的，</w:t>
            </w:r>
            <w:r>
              <w:rPr>
                <w:rFonts w:hint="eastAsia" w:ascii="Times New Roman" w:hAnsi="Times New Roman"/>
                <w:smallCaps w:val="0"/>
                <w:color w:val="000000" w:themeColor="text1"/>
                <w:highlight w:val="none"/>
                <w:lang w:val="en-US" w:eastAsia="zh-CN"/>
                <w14:textFill>
                  <w14:solidFill>
                    <w14:schemeClr w14:val="tx1"/>
                  </w14:solidFill>
                </w14:textFill>
              </w:rPr>
              <w:t>施工组织设计部分不得分</w:t>
            </w:r>
            <w:r>
              <w:rPr>
                <w:rFonts w:hint="eastAsia" w:ascii="Times New Roman" w:hAnsi="Times New Roman"/>
                <w:smallCaps w:val="0"/>
                <w:color w:val="000000" w:themeColor="text1"/>
                <w:highlight w:val="none"/>
                <w14:textFill>
                  <w14:solidFill>
                    <w14:schemeClr w14:val="tx1"/>
                  </w14:solidFill>
                </w14:textFill>
              </w:rPr>
              <w:t>。</w:t>
            </w:r>
          </w:p>
          <w:p w14:paraId="3DF4EAD9">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（9）未按暗标编制要求编写的施工组织设计，</w:t>
            </w:r>
            <w:r>
              <w:rPr>
                <w:rFonts w:hint="eastAsia" w:ascii="Times New Roman" w:hAnsi="Times New Roman"/>
                <w:smallCaps w:val="0"/>
                <w:color w:val="000000" w:themeColor="text1"/>
                <w:highlight w:val="none"/>
                <w:lang w:val="en-US" w:eastAsia="zh-CN"/>
                <w14:textFill>
                  <w14:solidFill>
                    <w14:schemeClr w14:val="tx1"/>
                  </w14:solidFill>
                </w14:textFill>
              </w:rPr>
              <w:t>施工组织设计部分不得分</w:t>
            </w:r>
            <w:r>
              <w:rPr>
                <w:rFonts w:hint="eastAsia" w:ascii="Times New Roman" w:hAnsi="Times New Roman"/>
                <w:smallCaps w:val="0"/>
                <w:color w:val="000000" w:themeColor="text1"/>
                <w:highlight w:val="none"/>
                <w14:textFill>
                  <w14:solidFill>
                    <w14:schemeClr w14:val="tx1"/>
                  </w14:solidFill>
                </w14:textFill>
              </w:rPr>
              <w:t>。</w:t>
            </w:r>
          </w:p>
        </w:tc>
      </w:tr>
      <w:tr w14:paraId="2083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0DC0E80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3.7.4</w:t>
            </w:r>
          </w:p>
        </w:tc>
        <w:tc>
          <w:tcPr>
            <w:tcW w:w="1978" w:type="dxa"/>
            <w:noWrap w:val="0"/>
            <w:vAlign w:val="center"/>
          </w:tcPr>
          <w:p w14:paraId="2E58426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非加密</w:t>
            </w:r>
          </w:p>
          <w:p w14:paraId="0D2AC93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投标文件递交</w:t>
            </w:r>
          </w:p>
        </w:tc>
        <w:tc>
          <w:tcPr>
            <w:tcW w:w="6053" w:type="dxa"/>
            <w:noWrap w:val="0"/>
            <w:vAlign w:val="center"/>
          </w:tcPr>
          <w:p w14:paraId="5923022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不要求。</w:t>
            </w:r>
          </w:p>
          <w:p w14:paraId="4D5129B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要求，具体要求如下</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1932F6C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本招标项目采用电子招标投标方式，无须提供纸质投标文件，加密的电子投标文件应在投标截止时间前通过电子交易系统在线完成上传。</w:t>
            </w:r>
          </w:p>
          <w:p w14:paraId="4DAAF999">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非加密投标文件由投标人自行确定是否递交。</w:t>
            </w:r>
          </w:p>
          <w:p w14:paraId="38C00B3C">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如递交，应在投标截止时间前在开标地点递交，并提供以下证明材料，否则招标人不予接收。</w:t>
            </w:r>
          </w:p>
          <w:p w14:paraId="3AD9D65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（1）法定代表人亲自递交的，应提供法定代表人身份证明和法定代表人的有效身份证件；</w:t>
            </w:r>
          </w:p>
          <w:p w14:paraId="7D15AD4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（2）委托代理人递交的，应提供授权委托书和委托代理人的有效身份证件。</w:t>
            </w:r>
          </w:p>
          <w:p w14:paraId="5DD6CE5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非加密投标文件介质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光盘或U盘</w:t>
            </w:r>
          </w:p>
        </w:tc>
      </w:tr>
      <w:tr w14:paraId="4A4A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2E97520B">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3.7.</w:t>
            </w:r>
            <w:r>
              <w:rPr>
                <w:rFonts w:hint="eastAsia" w:ascii="宋体" w:hAnsi="宋体" w:cs="宋体"/>
                <w:color w:val="000000" w:themeColor="text1"/>
                <w:sz w:val="21"/>
                <w:szCs w:val="21"/>
                <w:highlight w:val="none"/>
                <w:lang w:val="en-US" w:eastAsia="zh-CN"/>
                <w14:textFill>
                  <w14:solidFill>
                    <w14:schemeClr w14:val="tx1"/>
                  </w14:solidFill>
                </w14:textFill>
              </w:rPr>
              <w:t>6</w:t>
            </w:r>
          </w:p>
        </w:tc>
        <w:tc>
          <w:tcPr>
            <w:tcW w:w="1978" w:type="dxa"/>
            <w:noWrap w:val="0"/>
            <w:vAlign w:val="center"/>
          </w:tcPr>
          <w:p w14:paraId="0D25C27A">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投标文件份数</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及</w:t>
            </w:r>
          </w:p>
          <w:p w14:paraId="446C0245">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smallCap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电子版要求</w:t>
            </w:r>
          </w:p>
        </w:tc>
        <w:tc>
          <w:tcPr>
            <w:tcW w:w="6053" w:type="dxa"/>
            <w:noWrap w:val="0"/>
            <w:vAlign w:val="center"/>
          </w:tcPr>
          <w:p w14:paraId="56CE2CD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 xml:space="preserve">执行电子招投标相关要求。 </w:t>
            </w:r>
          </w:p>
          <w:p w14:paraId="5371F58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textAlignment w:val="auto"/>
              <w:rPr>
                <w:rFonts w:hint="eastAsia" w:ascii="Times New Roman" w:hAnsi="Times New Roman"/>
                <w:smallCaps w:val="0"/>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中标人中标后需在合同签订前向招标人提供与电子版投标文件一致的纸质版投标文件，</w:t>
            </w:r>
            <w:r>
              <w:rPr>
                <w:rFonts w:hint="eastAsia" w:ascii="宋体" w:hAnsi="宋体" w:eastAsia="宋体" w:cs="宋体"/>
                <w:b/>
                <w:bCs/>
                <w:color w:val="000000" w:themeColor="text1"/>
                <w:sz w:val="21"/>
                <w:szCs w:val="21"/>
                <w:highlight w:val="none"/>
                <w14:textFill>
                  <w14:solidFill>
                    <w14:schemeClr w14:val="tx1"/>
                  </w14:solidFill>
                </w14:textFill>
              </w:rPr>
              <w:t>正本</w:t>
            </w:r>
            <w:r>
              <w:rPr>
                <w:rFonts w:hint="eastAsia" w:ascii="宋体" w:hAnsi="宋体" w:cs="宋体"/>
                <w:b/>
                <w:bCs/>
                <w:color w:val="000000" w:themeColor="text1"/>
                <w:sz w:val="21"/>
                <w:szCs w:val="21"/>
                <w:highlight w:val="none"/>
                <w:lang w:val="en-US" w:eastAsia="zh-CN"/>
                <w14:textFill>
                  <w14:solidFill>
                    <w14:schemeClr w14:val="tx1"/>
                  </w14:solidFill>
                </w14:textFill>
              </w:rPr>
              <w:t>XX</w:t>
            </w:r>
            <w:r>
              <w:rPr>
                <w:rFonts w:hint="eastAsia" w:ascii="宋体" w:hAnsi="宋体" w:eastAsia="宋体" w:cs="宋体"/>
                <w:b/>
                <w:bCs/>
                <w:color w:val="000000" w:themeColor="text1"/>
                <w:sz w:val="21"/>
                <w:szCs w:val="21"/>
                <w:highlight w:val="none"/>
                <w14:textFill>
                  <w14:solidFill>
                    <w14:schemeClr w14:val="tx1"/>
                  </w14:solidFill>
                </w14:textFill>
              </w:rPr>
              <w:t>份，副本</w:t>
            </w:r>
            <w:r>
              <w:rPr>
                <w:rFonts w:hint="eastAsia" w:ascii="宋体" w:hAnsi="宋体" w:cs="宋体"/>
                <w:b/>
                <w:bCs/>
                <w:color w:val="000000" w:themeColor="text1"/>
                <w:sz w:val="21"/>
                <w:szCs w:val="21"/>
                <w:highlight w:val="none"/>
                <w:lang w:val="en-US" w:eastAsia="zh-CN"/>
                <w14:textFill>
                  <w14:solidFill>
                    <w14:schemeClr w14:val="tx1"/>
                  </w14:solidFill>
                </w14:textFill>
              </w:rPr>
              <w:t>XX</w:t>
            </w:r>
            <w:r>
              <w:rPr>
                <w:rFonts w:hint="eastAsia" w:ascii="宋体" w:hAnsi="宋体" w:eastAsia="宋体" w:cs="宋体"/>
                <w:b/>
                <w:bCs/>
                <w:color w:val="000000" w:themeColor="text1"/>
                <w:sz w:val="21"/>
                <w:szCs w:val="21"/>
                <w:highlight w:val="none"/>
                <w14:textFill>
                  <w14:solidFill>
                    <w14:schemeClr w14:val="tx1"/>
                  </w14:solidFill>
                </w14:textFill>
              </w:rPr>
              <w:t>份，</w:t>
            </w:r>
            <w:r>
              <w:rPr>
                <w:rFonts w:hint="eastAsia" w:ascii="宋体" w:hAnsi="宋体" w:eastAsia="宋体" w:cs="宋体"/>
                <w:b/>
                <w:bCs/>
                <w:color w:val="000000" w:themeColor="text1"/>
                <w:sz w:val="21"/>
                <w:szCs w:val="21"/>
                <w:highlight w:val="none"/>
                <w14:textFill>
                  <w14:solidFill>
                    <w14:schemeClr w14:val="tx1"/>
                  </w14:solidFill>
                </w14:textFill>
              </w:rPr>
              <w:t>以及工程量清单报价书电子版（</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XXX</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造价软件</w:t>
            </w:r>
            <w:r>
              <w:rPr>
                <w:rFonts w:hint="eastAsia" w:ascii="宋体" w:hAnsi="宋体" w:eastAsia="宋体" w:cs="宋体"/>
                <w:b/>
                <w:bCs/>
                <w:color w:val="000000" w:themeColor="text1"/>
                <w:sz w:val="21"/>
                <w:szCs w:val="21"/>
                <w:highlight w:val="none"/>
                <w14:textFill>
                  <w14:solidFill>
                    <w14:schemeClr w14:val="tx1"/>
                  </w14:solidFill>
                </w14:textFill>
              </w:rPr>
              <w:t>格式）</w:t>
            </w:r>
            <w:r>
              <w:rPr>
                <w:rFonts w:hint="eastAsia" w:ascii="宋体" w:hAnsi="宋体" w:cs="宋体"/>
                <w:b/>
                <w:bCs/>
                <w:color w:val="000000" w:themeColor="text1"/>
                <w:sz w:val="21"/>
                <w:szCs w:val="21"/>
                <w:highlight w:val="none"/>
                <w:lang w:val="en-US" w:eastAsia="zh-CN"/>
                <w14:textFill>
                  <w14:solidFill>
                    <w14:schemeClr w14:val="tx1"/>
                  </w14:solidFill>
                </w14:textFill>
              </w:rPr>
              <w:t>和投标文件电子版刻制</w:t>
            </w:r>
            <w:r>
              <w:rPr>
                <w:rFonts w:hint="eastAsia" w:ascii="宋体" w:hAnsi="宋体" w:eastAsia="宋体" w:cs="宋体"/>
                <w:b/>
                <w:bCs/>
                <w:color w:val="000000" w:themeColor="text1"/>
                <w:sz w:val="21"/>
                <w:szCs w:val="21"/>
                <w:highlight w:val="none"/>
                <w14:textFill>
                  <w14:solidFill>
                    <w14:schemeClr w14:val="tx1"/>
                  </w14:solidFill>
                </w14:textFill>
              </w:rPr>
              <w:t>光盘</w:t>
            </w:r>
            <w:r>
              <w:rPr>
                <w:rFonts w:hint="eastAsia" w:ascii="宋体" w:hAnsi="宋体" w:cs="宋体"/>
                <w:b/>
                <w:bCs/>
                <w:color w:val="000000" w:themeColor="text1"/>
                <w:sz w:val="21"/>
                <w:szCs w:val="21"/>
                <w:highlight w:val="none"/>
                <w:lang w:val="en-US" w:eastAsia="zh-CN"/>
                <w14:textFill>
                  <w14:solidFill>
                    <w14:schemeClr w14:val="tx1"/>
                  </w14:solidFill>
                </w14:textFill>
              </w:rPr>
              <w:t>一</w:t>
            </w:r>
            <w:r>
              <w:rPr>
                <w:rFonts w:hint="eastAsia" w:ascii="宋体" w:hAnsi="宋体" w:eastAsia="宋体" w:cs="宋体"/>
                <w:b/>
                <w:bCs/>
                <w:color w:val="000000" w:themeColor="text1"/>
                <w:sz w:val="21"/>
                <w:szCs w:val="21"/>
                <w:highlight w:val="none"/>
                <w14:textFill>
                  <w14:solidFill>
                    <w14:schemeClr w14:val="tx1"/>
                  </w14:solidFill>
                </w14:textFill>
              </w:rPr>
              <w:t>份</w:t>
            </w:r>
            <w:r>
              <w:rPr>
                <w:rFonts w:hint="eastAsia" w:ascii="宋体" w:hAnsi="宋体" w:cs="宋体"/>
                <w:b/>
                <w:bCs/>
                <w:color w:val="000000" w:themeColor="text1"/>
                <w:sz w:val="21"/>
                <w:szCs w:val="21"/>
                <w:highlight w:val="none"/>
                <w:lang w:eastAsia="zh-CN"/>
                <w14:textFill>
                  <w14:solidFill>
                    <w14:schemeClr w14:val="tx1"/>
                  </w14:solidFill>
                </w14:textFill>
              </w:rPr>
              <w:t>（</w:t>
            </w:r>
            <w:r>
              <w:rPr>
                <w:rFonts w:hint="eastAsia" w:ascii="宋体" w:hAnsi="宋体" w:cs="宋体"/>
                <w:b/>
                <w:bCs/>
                <w:color w:val="000000" w:themeColor="text1"/>
                <w:sz w:val="21"/>
                <w:szCs w:val="21"/>
                <w:highlight w:val="none"/>
                <w:lang w:val="en-US" w:eastAsia="zh-CN"/>
                <w14:textFill>
                  <w14:solidFill>
                    <w14:schemeClr w14:val="tx1"/>
                  </w14:solidFill>
                </w14:textFill>
              </w:rPr>
              <w:t>或存入U盘</w:t>
            </w:r>
            <w:r>
              <w:rPr>
                <w:rFonts w:hint="eastAsia" w:ascii="宋体" w:hAnsi="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w:t>
            </w:r>
          </w:p>
        </w:tc>
      </w:tr>
      <w:tr w14:paraId="50CA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trPr>
        <w:tc>
          <w:tcPr>
            <w:tcW w:w="926" w:type="dxa"/>
            <w:noWrap w:val="0"/>
            <w:vAlign w:val="center"/>
          </w:tcPr>
          <w:p w14:paraId="7F38B3B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4.1.2</w:t>
            </w:r>
          </w:p>
        </w:tc>
        <w:tc>
          <w:tcPr>
            <w:tcW w:w="1978" w:type="dxa"/>
            <w:noWrap w:val="0"/>
            <w:vAlign w:val="center"/>
          </w:tcPr>
          <w:p w14:paraId="6DBE927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非加密投标文件及工程保函密封和标记要求</w:t>
            </w:r>
          </w:p>
        </w:tc>
        <w:tc>
          <w:tcPr>
            <w:tcW w:w="6053" w:type="dxa"/>
            <w:noWrap w:val="0"/>
            <w:vAlign w:val="center"/>
          </w:tcPr>
          <w:p w14:paraId="65EE20D4">
            <w:pPr>
              <w:pStyle w:val="41"/>
              <w:keepNext w:val="0"/>
              <w:keepLines w:val="0"/>
              <w:pageBreakBefore w:val="0"/>
              <w:widowControl w:val="0"/>
              <w:numPr>
                <w:ilvl w:val="0"/>
                <w:numId w:val="8"/>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非加密投标文件封套</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20047952">
            <w:pPr>
              <w:pStyle w:val="41"/>
              <w:keepNext w:val="0"/>
              <w:keepLines w:val="0"/>
              <w:pageBreakBefore w:val="0"/>
              <w:widowControl w:val="0"/>
              <w:numPr>
                <w:ilvl w:val="0"/>
                <w:numId w:val="8"/>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投标人地址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515790E">
            <w:pPr>
              <w:pStyle w:val="41"/>
              <w:keepNext w:val="0"/>
              <w:keepLines w:val="0"/>
              <w:pageBreakBefore w:val="0"/>
              <w:widowControl w:val="0"/>
              <w:numPr>
                <w:ilvl w:val="0"/>
                <w:numId w:val="8"/>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36F1A0C3">
            <w:pPr>
              <w:pStyle w:val="41"/>
              <w:keepNext w:val="0"/>
              <w:keepLines w:val="0"/>
              <w:pageBreakBefore w:val="0"/>
              <w:widowControl w:val="0"/>
              <w:numPr>
                <w:ilvl w:val="0"/>
                <w:numId w:val="8"/>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(招标项目名称)     </w:t>
            </w:r>
            <w:r>
              <w:rPr>
                <w:rFonts w:hint="eastAsia" w:ascii="Times New Roman" w:hAnsi="Times New Roman"/>
                <w:smallCaps w:val="0"/>
                <w:color w:val="000000" w:themeColor="text1"/>
                <w:highlight w:val="none"/>
                <w14:textFill>
                  <w14:solidFill>
                    <w14:schemeClr w14:val="tx1"/>
                  </w14:solidFill>
                </w14:textFill>
              </w:rPr>
              <w:t>标段投标文件（非加密投标文件）</w:t>
            </w:r>
          </w:p>
          <w:p w14:paraId="01D32734">
            <w:pPr>
              <w:pStyle w:val="41"/>
              <w:keepNext w:val="0"/>
              <w:keepLines w:val="0"/>
              <w:pageBreakBefore w:val="0"/>
              <w:widowControl w:val="0"/>
              <w:numPr>
                <w:ilvl w:val="0"/>
                <w:numId w:val="8"/>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在</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时</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分前不得开启</w:t>
            </w:r>
          </w:p>
          <w:p w14:paraId="30312D57">
            <w:pPr>
              <w:pStyle w:val="41"/>
              <w:keepNext w:val="0"/>
              <w:keepLines w:val="0"/>
              <w:pageBreakBefore w:val="0"/>
              <w:widowControl w:val="0"/>
              <w:numPr>
                <w:ilvl w:val="0"/>
                <w:numId w:val="8"/>
              </w:numPr>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工程保函封套</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70AC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093BD2E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4.2.1</w:t>
            </w:r>
          </w:p>
        </w:tc>
        <w:tc>
          <w:tcPr>
            <w:tcW w:w="1978" w:type="dxa"/>
            <w:noWrap w:val="0"/>
            <w:vAlign w:val="center"/>
          </w:tcPr>
          <w:p w14:paraId="5D47226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投标截止时间</w:t>
            </w:r>
          </w:p>
        </w:tc>
        <w:tc>
          <w:tcPr>
            <w:tcW w:w="6053" w:type="dxa"/>
            <w:noWrap w:val="0"/>
            <w:vAlign w:val="center"/>
          </w:tcPr>
          <w:p w14:paraId="38EE0410">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见招标公告（投标邀请书）</w:t>
            </w:r>
          </w:p>
        </w:tc>
      </w:tr>
      <w:tr w14:paraId="2C0C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4D900AA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4.2.2</w:t>
            </w:r>
          </w:p>
        </w:tc>
        <w:tc>
          <w:tcPr>
            <w:tcW w:w="1978" w:type="dxa"/>
            <w:noWrap w:val="0"/>
            <w:vAlign w:val="center"/>
          </w:tcPr>
          <w:p w14:paraId="191D44A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递交非加密投标</w:t>
            </w:r>
          </w:p>
          <w:p w14:paraId="210B770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文件及工程</w:t>
            </w:r>
          </w:p>
          <w:p w14:paraId="76972FD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保函地点</w:t>
            </w:r>
          </w:p>
        </w:tc>
        <w:tc>
          <w:tcPr>
            <w:tcW w:w="6053" w:type="dxa"/>
            <w:noWrap w:val="0"/>
            <w:vAlign w:val="center"/>
          </w:tcPr>
          <w:p w14:paraId="22DECD8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宋体" w:hAnsi="宋体" w:cs="宋体"/>
                <w:bCs/>
                <w:snapToGrid w:val="0"/>
                <w:color w:val="000000" w:themeColor="text1"/>
                <w:kern w:val="0"/>
                <w:szCs w:val="21"/>
                <w:highlight w:val="none"/>
                <w:lang w:val="en-US" w:eastAsia="zh-CN"/>
                <w14:textFill>
                  <w14:solidFill>
                    <w14:schemeClr w14:val="tx1"/>
                  </w14:solidFill>
                </w14:textFill>
              </w:rPr>
              <w:t>无需递交。如递交，则</w:t>
            </w:r>
            <w:r>
              <w:rPr>
                <w:rFonts w:hint="eastAsia" w:ascii="宋体" w:hAnsi="宋体" w:eastAsia="宋体" w:cs="宋体"/>
                <w:bCs/>
                <w:snapToGrid w:val="0"/>
                <w:color w:val="000000" w:themeColor="text1"/>
                <w:kern w:val="0"/>
                <w:szCs w:val="21"/>
                <w:highlight w:val="none"/>
                <w14:textFill>
                  <w14:solidFill>
                    <w14:schemeClr w14:val="tx1"/>
                  </w14:solidFill>
                </w14:textFill>
              </w:rPr>
              <w:t>同开标地点</w:t>
            </w:r>
            <w:r>
              <w:rPr>
                <w:rFonts w:hint="eastAsia" w:ascii="宋体" w:hAnsi="宋体" w:cs="宋体"/>
                <w:bCs/>
                <w:snapToGrid w:val="0"/>
                <w:color w:val="000000" w:themeColor="text1"/>
                <w:kern w:val="0"/>
                <w:szCs w:val="21"/>
                <w:highlight w:val="none"/>
                <w:lang w:eastAsia="zh-CN"/>
                <w14:textFill>
                  <w14:solidFill>
                    <w14:schemeClr w14:val="tx1"/>
                  </w14:solidFill>
                </w14:textFill>
              </w:rPr>
              <w:t>。</w:t>
            </w:r>
          </w:p>
        </w:tc>
      </w:tr>
      <w:tr w14:paraId="10C4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926" w:type="dxa"/>
            <w:noWrap w:val="0"/>
            <w:vAlign w:val="center"/>
          </w:tcPr>
          <w:p w14:paraId="321E9AB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4.2.3</w:t>
            </w:r>
          </w:p>
        </w:tc>
        <w:tc>
          <w:tcPr>
            <w:tcW w:w="1978" w:type="dxa"/>
            <w:noWrap w:val="0"/>
            <w:vAlign w:val="center"/>
          </w:tcPr>
          <w:p w14:paraId="3513D31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是否退还</w:t>
            </w:r>
          </w:p>
          <w:p w14:paraId="4882F4C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w:t>
            </w:r>
          </w:p>
        </w:tc>
        <w:tc>
          <w:tcPr>
            <w:tcW w:w="6053" w:type="dxa"/>
            <w:noWrap w:val="0"/>
            <w:vAlign w:val="center"/>
          </w:tcPr>
          <w:p w14:paraId="683B0E5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否</w:t>
            </w:r>
          </w:p>
          <w:p w14:paraId="492AC88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□是，退还安排</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068F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926" w:type="dxa"/>
            <w:noWrap w:val="0"/>
            <w:vAlign w:val="center"/>
          </w:tcPr>
          <w:p w14:paraId="2F417D4C">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5.1</w:t>
            </w:r>
          </w:p>
        </w:tc>
        <w:tc>
          <w:tcPr>
            <w:tcW w:w="1978" w:type="dxa"/>
            <w:noWrap w:val="0"/>
            <w:vAlign w:val="center"/>
          </w:tcPr>
          <w:p w14:paraId="3296B66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开标时间和地点</w:t>
            </w:r>
          </w:p>
        </w:tc>
        <w:tc>
          <w:tcPr>
            <w:tcW w:w="6053" w:type="dxa"/>
            <w:noWrap w:val="0"/>
            <w:vAlign w:val="center"/>
          </w:tcPr>
          <w:p w14:paraId="4235273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开标时间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p w14:paraId="69DF6120">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开标地点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77E7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4D6083C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5.2</w:t>
            </w:r>
          </w:p>
        </w:tc>
        <w:tc>
          <w:tcPr>
            <w:tcW w:w="1978" w:type="dxa"/>
            <w:noWrap w:val="0"/>
            <w:vAlign w:val="center"/>
          </w:tcPr>
          <w:p w14:paraId="127C0E3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开标程序</w:t>
            </w:r>
          </w:p>
        </w:tc>
        <w:tc>
          <w:tcPr>
            <w:tcW w:w="6053" w:type="dxa"/>
            <w:noWrap w:val="0"/>
            <w:vAlign w:val="center"/>
          </w:tcPr>
          <w:p w14:paraId="796102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20" w:leftChars="50" w:right="120" w:rightChars="5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（1）公布投标人名称；</w:t>
            </w:r>
          </w:p>
          <w:p w14:paraId="38B008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20" w:leftChars="50" w:right="120" w:rightChars="5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（2）投标人在规定的解密时间内_30_分钟</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（以电子交易系统解密倒计时为准）</w:t>
            </w:r>
            <w:r>
              <w:rPr>
                <w:rFonts w:hint="eastAsia" w:ascii="宋体" w:hAnsi="宋体" w:eastAsia="宋体" w:cs="宋体"/>
                <w:color w:val="000000" w:themeColor="text1"/>
                <w:sz w:val="21"/>
                <w:szCs w:val="21"/>
                <w:highlight w:val="none"/>
                <w14:textFill>
                  <w14:solidFill>
                    <w14:schemeClr w14:val="tx1"/>
                  </w14:solidFill>
                </w14:textFill>
              </w:rPr>
              <w:t>解密其投标文件；</w:t>
            </w:r>
          </w:p>
          <w:p w14:paraId="00B1F52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20" w:leftChars="50" w:right="120" w:rightChars="5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（3）招标人完成解密工作，导入并读取所有成功解密的投标文件；</w:t>
            </w:r>
          </w:p>
          <w:p w14:paraId="5B1507C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20" w:leftChars="50" w:right="120" w:rightChars="50"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（4）公布投标人名称、投标报价（如需）、质量目标、工期及其他内容；</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0E077F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20" w:leftChars="50" w:right="120" w:rightChars="50"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（5）开标结束。</w:t>
            </w: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投标人在评标结束之前持续保持在线，在交易系统的投标人登录后台之后，持续关注项目的询标或评标委员会要求澄清的内容。</w:t>
            </w:r>
          </w:p>
          <w:p w14:paraId="2CACA3A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20" w:leftChars="50" w:right="120" w:rightChars="50" w:firstLine="420" w:firstLineChars="200"/>
              <w:jc w:val="left"/>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□多标段开标顺序</w:t>
            </w:r>
            <w:r>
              <w:rPr>
                <w:rStyle w:val="28"/>
                <w:rFonts w:hint="eastAsia" w:ascii="宋体" w:hAnsi="宋体" w:eastAsia="宋体" w:cs="宋体"/>
                <w:color w:val="000000" w:themeColor="text1"/>
                <w:sz w:val="21"/>
                <w:szCs w:val="21"/>
                <w:highlight w:val="none"/>
                <w14:textFill>
                  <w14:solidFill>
                    <w14:schemeClr w14:val="tx1"/>
                  </w14:solidFill>
                </w14:textFill>
              </w:rPr>
              <w:footnoteReference w:id="26"/>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XXXXX</w:t>
            </w:r>
          </w:p>
          <w:p w14:paraId="724D2B8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20" w:leftChars="50" w:right="120" w:rightChars="50" w:firstLine="422"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宋体" w:hAnsi="宋体" w:cs="宋体"/>
                <w:b/>
                <w:bCs/>
                <w:color w:val="000000" w:themeColor="text1"/>
                <w:sz w:val="21"/>
                <w:szCs w:val="21"/>
                <w:highlight w:val="none"/>
                <w:lang w:val="zh-CN" w:eastAsia="zh-CN"/>
                <w14:textFill>
                  <w14:solidFill>
                    <w14:schemeClr w14:val="tx1"/>
                  </w14:solidFill>
                </w14:textFill>
              </w:rPr>
              <w:t>实施电子化开标的项目，其电子开标程序及公布内容以电子交易系统的程序和公布信息为准</w:t>
            </w:r>
            <w:r>
              <w:rPr>
                <w:rFonts w:hint="eastAsia" w:cs="宋体"/>
                <w:b/>
                <w:bCs/>
                <w:color w:val="000000" w:themeColor="text1"/>
                <w:sz w:val="21"/>
                <w:szCs w:val="21"/>
                <w:highlight w:val="none"/>
                <w:lang w:val="zh-CN" w:eastAsia="zh-CN"/>
                <w14:textFill>
                  <w14:solidFill>
                    <w14:schemeClr w14:val="tx1"/>
                  </w14:solidFill>
                </w14:textFill>
              </w:rPr>
              <w:t>。</w:t>
            </w:r>
          </w:p>
        </w:tc>
      </w:tr>
      <w:tr w14:paraId="60EA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574C478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6.1.1</w:t>
            </w:r>
          </w:p>
        </w:tc>
        <w:tc>
          <w:tcPr>
            <w:tcW w:w="1978" w:type="dxa"/>
            <w:noWrap w:val="0"/>
            <w:vAlign w:val="center"/>
          </w:tcPr>
          <w:p w14:paraId="35EA89C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评标委员会</w:t>
            </w:r>
          </w:p>
          <w:p w14:paraId="15371F8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的组建</w:t>
            </w:r>
            <w:r>
              <w:rPr>
                <w:rStyle w:val="28"/>
                <w:rFonts w:hint="eastAsia" w:ascii="Times New Roman" w:hAnsi="Times New Roman" w:eastAsia="宋体" w:cs="宋体"/>
                <w:smallCaps w:val="0"/>
                <w:color w:val="000000" w:themeColor="text1"/>
                <w:szCs w:val="20"/>
                <w:highlight w:val="none"/>
                <w14:textFill>
                  <w14:solidFill>
                    <w14:schemeClr w14:val="tx1"/>
                  </w14:solidFill>
                </w14:textFill>
              </w:rPr>
              <w:footnoteReference w:id="27"/>
            </w:r>
          </w:p>
        </w:tc>
        <w:tc>
          <w:tcPr>
            <w:tcW w:w="6053" w:type="dxa"/>
            <w:noWrap w:val="0"/>
            <w:vAlign w:val="center"/>
          </w:tcPr>
          <w:p w14:paraId="7EFB0D8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评标委员会构成：</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u w:val="single"/>
                <w14:textFill>
                  <w14:solidFill>
                    <w14:schemeClr w14:val="tx1"/>
                  </w14:solidFill>
                </w14:textFill>
              </w:rPr>
              <w:t>人</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或以上单数</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，其中技术、经济类专家不少于总人数的2/3；</w:t>
            </w:r>
          </w:p>
          <w:p w14:paraId="66CA024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评标专家确定方式：</w:t>
            </w:r>
            <w:r>
              <w:rPr>
                <w:rFonts w:hint="eastAsia" w:ascii="宋体" w:hAnsi="宋体" w:eastAsia="宋体" w:cs="宋体"/>
                <w:color w:val="000000" w:themeColor="text1"/>
                <w:sz w:val="21"/>
                <w:szCs w:val="21"/>
                <w:highlight w:val="none"/>
                <w:u w:val="single"/>
                <w14:textFill>
                  <w14:solidFill>
                    <w14:schemeClr w14:val="tx1"/>
                  </w14:solidFill>
                </w14:textFill>
              </w:rPr>
              <w:t>从安徽省综合评标评审专家库中随机抽取 。</w:t>
            </w:r>
          </w:p>
        </w:tc>
      </w:tr>
      <w:tr w14:paraId="14A9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1A62FFA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6.3.2</w:t>
            </w:r>
          </w:p>
        </w:tc>
        <w:tc>
          <w:tcPr>
            <w:tcW w:w="1978" w:type="dxa"/>
            <w:noWrap w:val="0"/>
            <w:vAlign w:val="center"/>
          </w:tcPr>
          <w:p w14:paraId="4A46BCC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评标委员会推荐</w:t>
            </w:r>
          </w:p>
          <w:p w14:paraId="664EBC8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中标候选人</w:t>
            </w:r>
          </w:p>
          <w:p w14:paraId="17C94A7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的人数</w:t>
            </w:r>
          </w:p>
        </w:tc>
        <w:tc>
          <w:tcPr>
            <w:tcW w:w="6053" w:type="dxa"/>
            <w:noWrap w:val="0"/>
            <w:vAlign w:val="center"/>
          </w:tcPr>
          <w:p w14:paraId="47F7EE5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详见评标办法前附表</w:t>
            </w:r>
          </w:p>
        </w:tc>
      </w:tr>
      <w:tr w14:paraId="394F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6AE08734">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6.3.4</w:t>
            </w:r>
          </w:p>
        </w:tc>
        <w:tc>
          <w:tcPr>
            <w:tcW w:w="1978" w:type="dxa"/>
            <w:noWrap w:val="0"/>
            <w:vAlign w:val="center"/>
          </w:tcPr>
          <w:p w14:paraId="2F24443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投标报价电子清标办法</w:t>
            </w:r>
          </w:p>
        </w:tc>
        <w:tc>
          <w:tcPr>
            <w:tcW w:w="6053" w:type="dxa"/>
            <w:noWrap w:val="0"/>
            <w:vAlign w:val="center"/>
          </w:tcPr>
          <w:p w14:paraId="057978A4">
            <w:pPr>
              <w:keepNext w:val="0"/>
              <w:keepLines w:val="0"/>
              <w:pageBreakBefore w:val="0"/>
              <w:suppressLineNumbers w:val="0"/>
              <w:kinsoku/>
              <w:wordWrap w:val="0"/>
              <w:overflowPunct/>
              <w:bidi w:val="0"/>
              <w:spacing w:before="0" w:beforeAutospacing="0" w:after="0" w:afterAutospacing="0" w:line="400" w:lineRule="exact"/>
              <w:ind w:left="0" w:right="0"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评标委员会对投标人投标报价时提交的完整投标报价组价文件，通过计算机辅助评标系统进行电子清标，清标评审不合格的投标文件应做废标处理，具体要求如下：</w:t>
            </w:r>
          </w:p>
          <w:p w14:paraId="503A024A">
            <w:pPr>
              <w:keepNext w:val="0"/>
              <w:keepLines w:val="0"/>
              <w:pageBreakBefore w:val="0"/>
              <w:suppressLineNumbers w:val="0"/>
              <w:kinsoku/>
              <w:wordWrap w:val="0"/>
              <w:overflowPunct/>
              <w:bidi w:val="0"/>
              <w:spacing w:before="0" w:beforeAutospacing="0" w:after="0" w:afterAutospacing="0" w:line="400" w:lineRule="exact"/>
              <w:ind w:left="0" w:right="0"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(1)电子电子清标是指通过计算机辅助评标系统对需要评审的工程量清单投标报价采用核对、比较、筛选等方法，对基础性数据进行分析和整理。其目的是找出投标文件中可能存在疑义或者显著异常的数据，为评审中的质疑工作提供基础。</w:t>
            </w:r>
          </w:p>
          <w:p w14:paraId="570CEAE6">
            <w:pPr>
              <w:keepNext w:val="0"/>
              <w:keepLines w:val="0"/>
              <w:pageBreakBefore w:val="0"/>
              <w:suppressLineNumbers w:val="0"/>
              <w:kinsoku/>
              <w:wordWrap w:val="0"/>
              <w:overflowPunct/>
              <w:bidi w:val="0"/>
              <w:spacing w:before="0" w:beforeAutospacing="0" w:after="0" w:afterAutospacing="0" w:line="400" w:lineRule="exact"/>
              <w:ind w:left="0" w:right="0"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(2)电子清标工作使用计算机辅助评标系统，由计算机完成。</w:t>
            </w:r>
          </w:p>
          <w:p w14:paraId="5E04DB6F">
            <w:pPr>
              <w:keepNext w:val="0"/>
              <w:keepLines w:val="0"/>
              <w:pageBreakBefore w:val="0"/>
              <w:suppressLineNumbers w:val="0"/>
              <w:kinsoku/>
              <w:wordWrap w:val="0"/>
              <w:overflowPunct/>
              <w:bidi w:val="0"/>
              <w:spacing w:before="0" w:beforeAutospacing="0" w:after="0" w:afterAutospacing="0" w:line="400" w:lineRule="exact"/>
              <w:ind w:left="0" w:right="0"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(3)电子清标的内容和步骤：</w:t>
            </w:r>
          </w:p>
          <w:p w14:paraId="4D936C4F">
            <w:pPr>
              <w:keepNext w:val="0"/>
              <w:keepLines w:val="0"/>
              <w:pageBreakBefore w:val="0"/>
              <w:suppressLineNumbers w:val="0"/>
              <w:kinsoku/>
              <w:wordWrap w:val="0"/>
              <w:overflowPunct/>
              <w:bidi w:val="0"/>
              <w:spacing w:before="0" w:beforeAutospacing="0" w:after="0" w:afterAutospacing="0" w:line="400" w:lineRule="exact"/>
              <w:ind w:left="0" w:right="0"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①投标文件在符合性、响应性等方面存在的偏差。</w:t>
            </w:r>
          </w:p>
          <w:p w14:paraId="6D409B1F">
            <w:pPr>
              <w:keepNext w:val="0"/>
              <w:keepLines w:val="0"/>
              <w:pageBreakBefore w:val="0"/>
              <w:suppressLineNumbers w:val="0"/>
              <w:kinsoku/>
              <w:wordWrap w:val="0"/>
              <w:overflowPunct/>
              <w:bidi w:val="0"/>
              <w:spacing w:before="0" w:beforeAutospacing="0" w:after="0" w:afterAutospacing="0" w:line="400" w:lineRule="exact"/>
              <w:ind w:left="0" w:right="0"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②投标文件存在的算术计算错误和修正结果。</w:t>
            </w:r>
          </w:p>
          <w:p w14:paraId="47BA79E5">
            <w:pPr>
              <w:keepNext w:val="0"/>
              <w:keepLines w:val="0"/>
              <w:pageBreakBefore w:val="0"/>
              <w:suppressLineNumbers w:val="0"/>
              <w:kinsoku/>
              <w:wordWrap w:val="0"/>
              <w:overflowPunct/>
              <w:bidi w:val="0"/>
              <w:spacing w:before="0" w:beforeAutospacing="0" w:after="0" w:afterAutospacing="0" w:line="400" w:lineRule="exact"/>
              <w:ind w:left="0" w:right="0"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③在列出的所有偏差中，属于重大偏差的情形和相关依据；在列出的所有偏差中，属于细微偏差的情形。</w:t>
            </w:r>
          </w:p>
          <w:p w14:paraId="04F6AC5E">
            <w:pPr>
              <w:keepNext w:val="0"/>
              <w:keepLines w:val="0"/>
              <w:pageBreakBefore w:val="0"/>
              <w:suppressLineNumbers w:val="0"/>
              <w:kinsoku/>
              <w:wordWrap w:val="0"/>
              <w:overflowPunct/>
              <w:bidi w:val="0"/>
              <w:spacing w:before="0" w:beforeAutospacing="0" w:after="0" w:afterAutospacing="0" w:line="40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④列出投标价格过高或过低的清单项目的序号、项目编码、项目名称、项目特征、工程内容、与招标文件规定的标准之间存在的偏差幅度和产生原因的摘录。</w:t>
            </w:r>
          </w:p>
        </w:tc>
      </w:tr>
      <w:tr w14:paraId="296D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926" w:type="dxa"/>
            <w:noWrap w:val="0"/>
            <w:vAlign w:val="center"/>
          </w:tcPr>
          <w:p w14:paraId="2C79D277">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6.4</w:t>
            </w:r>
          </w:p>
        </w:tc>
        <w:tc>
          <w:tcPr>
            <w:tcW w:w="1978" w:type="dxa"/>
            <w:noWrap w:val="0"/>
            <w:vAlign w:val="center"/>
          </w:tcPr>
          <w:p w14:paraId="5D64627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中标候选人公示媒介及期限</w:t>
            </w:r>
          </w:p>
        </w:tc>
        <w:tc>
          <w:tcPr>
            <w:tcW w:w="6053" w:type="dxa"/>
            <w:noWrap w:val="0"/>
            <w:vAlign w:val="center"/>
          </w:tcPr>
          <w:p w14:paraId="6F8979C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公示媒介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同招标公告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发布媒介</w:t>
            </w:r>
          </w:p>
          <w:p w14:paraId="39F4BA5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公示期限</w:t>
            </w:r>
            <w:r>
              <w:rPr>
                <w:rStyle w:val="28"/>
                <w:rFonts w:hint="eastAsia" w:ascii="Times New Roman" w:hAnsi="Times New Roman" w:eastAsia="宋体" w:cs="宋体"/>
                <w:smallCaps w:val="0"/>
                <w:color w:val="000000" w:themeColor="text1"/>
                <w:szCs w:val="20"/>
                <w:highlight w:val="none"/>
                <w14:textFill>
                  <w14:solidFill>
                    <w14:schemeClr w14:val="tx1"/>
                  </w14:solidFill>
                </w14:textFill>
              </w:rPr>
              <w:footnoteReference w:id="28"/>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不少于3日（如公示期的最后一天在休息日，则公示期顺延至工作日的第一天）</w:t>
            </w:r>
          </w:p>
          <w:p w14:paraId="3F05FE8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（3）其他要求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35D8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6B1BE7D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w:t>
            </w:r>
            <w:r>
              <w:rPr>
                <w:rFonts w:hint="eastAsia" w:ascii="Times New Roman" w:hAnsi="Times New Roman"/>
                <w:smallCaps w:val="0"/>
                <w:color w:val="000000" w:themeColor="text1"/>
                <w:highlight w:val="none"/>
                <w:lang w:val="en-US" w:eastAsia="zh-CN"/>
                <w14:textFill>
                  <w14:solidFill>
                    <w14:schemeClr w14:val="tx1"/>
                  </w14:solidFill>
                </w14:textFill>
              </w:rPr>
              <w:t>1</w:t>
            </w:r>
          </w:p>
        </w:tc>
        <w:tc>
          <w:tcPr>
            <w:tcW w:w="1978" w:type="dxa"/>
            <w:noWrap w:val="0"/>
            <w:vAlign w:val="center"/>
          </w:tcPr>
          <w:p w14:paraId="20D21CB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是否授权评标委员会确定中标人</w:t>
            </w:r>
          </w:p>
        </w:tc>
        <w:tc>
          <w:tcPr>
            <w:tcW w:w="6053" w:type="dxa"/>
            <w:noWrap w:val="0"/>
            <w:vAlign w:val="center"/>
          </w:tcPr>
          <w:p w14:paraId="34BAC1B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是  □否</w:t>
            </w:r>
          </w:p>
        </w:tc>
      </w:tr>
      <w:tr w14:paraId="7F3E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4FA3DBD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w:t>
            </w:r>
            <w:r>
              <w:rPr>
                <w:rFonts w:hint="eastAsia" w:ascii="Times New Roman" w:hAnsi="Times New Roman"/>
                <w:smallCaps w:val="0"/>
                <w:color w:val="000000" w:themeColor="text1"/>
                <w:highlight w:val="none"/>
                <w:lang w:val="en-US" w:eastAsia="zh-CN"/>
                <w14:textFill>
                  <w14:solidFill>
                    <w14:schemeClr w14:val="tx1"/>
                  </w14:solidFill>
                </w14:textFill>
              </w:rPr>
              <w:t>2</w:t>
            </w:r>
          </w:p>
        </w:tc>
        <w:tc>
          <w:tcPr>
            <w:tcW w:w="1978" w:type="dxa"/>
            <w:noWrap w:val="0"/>
            <w:vAlign w:val="center"/>
          </w:tcPr>
          <w:p w14:paraId="4A7BBFB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中标通知书发出的形式</w:t>
            </w:r>
          </w:p>
        </w:tc>
        <w:tc>
          <w:tcPr>
            <w:tcW w:w="6053" w:type="dxa"/>
            <w:noWrap w:val="0"/>
            <w:vAlign w:val="center"/>
          </w:tcPr>
          <w:p w14:paraId="3233F56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根据国家发改委《电子招标投标办法》规定，按照安徽省公共资源交易监督管理办公室要求，淮南市</w:t>
            </w:r>
            <w:r>
              <w:rPr>
                <w:rFonts w:hint="eastAsia" w:ascii="宋体" w:hAnsi="宋体" w:eastAsia="宋体" w:cs="宋体"/>
                <w:bCs/>
                <w:snapToGrid w:val="0"/>
                <w:color w:val="000000" w:themeColor="text1"/>
                <w:kern w:val="0"/>
                <w:szCs w:val="21"/>
                <w:highlight w:val="none"/>
                <w14:textFill>
                  <w14:solidFill>
                    <w14:schemeClr w14:val="tx1"/>
                  </w14:solidFill>
                </w14:textFill>
              </w:rPr>
              <w:t>行政区域范围（含两县）</w:t>
            </w:r>
            <w:r>
              <w:rPr>
                <w:rFonts w:hint="eastAsia" w:ascii="宋体" w:hAnsi="宋体" w:eastAsia="宋体" w:cs="宋体"/>
                <w:color w:val="000000" w:themeColor="text1"/>
                <w:highlight w:val="none"/>
                <w14:textFill>
                  <w14:solidFill>
                    <w14:schemeClr w14:val="tx1"/>
                  </w14:solidFill>
                </w14:textFill>
              </w:rPr>
              <w:t>全面实行公共交易活动全流程电子化，启用淮南市公共资源交易平台电子签章（CA锁），实现中标通知书在线发放、合同在线签订。</w:t>
            </w:r>
          </w:p>
        </w:tc>
      </w:tr>
      <w:tr w14:paraId="5D03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19B43A8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w:t>
            </w:r>
            <w:r>
              <w:rPr>
                <w:rFonts w:hint="eastAsia" w:ascii="Times New Roman" w:hAnsi="Times New Roman"/>
                <w:smallCaps w:val="0"/>
                <w:color w:val="000000" w:themeColor="text1"/>
                <w:highlight w:val="none"/>
                <w:lang w:val="en-US" w:eastAsia="zh-CN"/>
                <w14:textFill>
                  <w14:solidFill>
                    <w14:schemeClr w14:val="tx1"/>
                  </w14:solidFill>
                </w14:textFill>
              </w:rPr>
              <w:t>3</w:t>
            </w:r>
          </w:p>
        </w:tc>
        <w:tc>
          <w:tcPr>
            <w:tcW w:w="1978" w:type="dxa"/>
            <w:noWrap w:val="0"/>
            <w:vAlign w:val="center"/>
          </w:tcPr>
          <w:p w14:paraId="783286E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中标结果公示</w:t>
            </w:r>
          </w:p>
          <w:p w14:paraId="77AD8CF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媒介</w:t>
            </w:r>
          </w:p>
        </w:tc>
        <w:tc>
          <w:tcPr>
            <w:tcW w:w="6053" w:type="dxa"/>
            <w:noWrap w:val="0"/>
            <w:vAlign w:val="center"/>
          </w:tcPr>
          <w:p w14:paraId="1F5B560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公示媒介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同招标公告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发布媒介</w:t>
            </w:r>
          </w:p>
        </w:tc>
      </w:tr>
      <w:tr w14:paraId="683D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26" w:type="dxa"/>
            <w:noWrap w:val="0"/>
            <w:vAlign w:val="center"/>
          </w:tcPr>
          <w:p w14:paraId="3E90EE5F">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8.1.1</w:t>
            </w:r>
          </w:p>
        </w:tc>
        <w:tc>
          <w:tcPr>
            <w:tcW w:w="1978" w:type="dxa"/>
            <w:noWrap w:val="0"/>
            <w:vAlign w:val="center"/>
          </w:tcPr>
          <w:p w14:paraId="6BC0F78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履约保证金</w:t>
            </w:r>
            <w:r>
              <w:rPr>
                <w:rStyle w:val="28"/>
                <w:rFonts w:hint="eastAsia" w:ascii="Times New Roman" w:hAnsi="Times New Roman" w:eastAsia="宋体" w:cs="宋体"/>
                <w:b w:val="0"/>
                <w:bCs w:val="0"/>
                <w:smallCaps w:val="0"/>
                <w:color w:val="000000" w:themeColor="text1"/>
                <w:szCs w:val="21"/>
                <w:highlight w:val="none"/>
                <w14:textFill>
                  <w14:solidFill>
                    <w14:schemeClr w14:val="tx1"/>
                  </w14:solidFill>
                </w14:textFill>
              </w:rPr>
              <w:footnoteReference w:id="29"/>
            </w:r>
          </w:p>
        </w:tc>
        <w:tc>
          <w:tcPr>
            <w:tcW w:w="6053" w:type="dxa"/>
            <w:noWrap w:val="0"/>
            <w:vAlign w:val="center"/>
          </w:tcPr>
          <w:p w14:paraId="2849F9AC">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sz w:val="21"/>
                <w:szCs w:val="2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是否要</w:t>
            </w:r>
            <w:r>
              <w:rPr>
                <w:rFonts w:hint="eastAsia" w:ascii="Times New Roman" w:hAnsi="Times New Roman" w:eastAsia="宋体"/>
                <w:smallCaps w:val="0"/>
                <w:color w:val="000000" w:themeColor="text1"/>
                <w:sz w:val="21"/>
                <w:szCs w:val="21"/>
                <w:highlight w:val="none"/>
                <w14:textFill>
                  <w14:solidFill>
                    <w14:schemeClr w14:val="tx1"/>
                  </w14:solidFill>
                </w14:textFill>
              </w:rPr>
              <w:t>求投标人</w:t>
            </w:r>
            <w:r>
              <w:rPr>
                <w:rFonts w:hint="eastAsia" w:ascii="Times New Roman" w:hAnsi="Times New Roman" w:eastAsia="宋体"/>
                <w:smallCaps w:val="0"/>
                <w:color w:val="000000" w:themeColor="text1"/>
                <w:sz w:val="21"/>
                <w:szCs w:val="21"/>
                <w:highlight w:val="none"/>
                <w:lang w:eastAsia="zh"/>
                <w14:textFill>
                  <w14:solidFill>
                    <w14:schemeClr w14:val="tx1"/>
                  </w14:solidFill>
                </w14:textFill>
              </w:rPr>
              <w:t>提交</w:t>
            </w:r>
            <w:r>
              <w:rPr>
                <w:rFonts w:hint="eastAsia" w:ascii="Times New Roman" w:hAnsi="Times New Roman" w:eastAsia="宋体"/>
                <w:smallCaps w:val="0"/>
                <w:color w:val="000000" w:themeColor="text1"/>
                <w:sz w:val="21"/>
                <w:szCs w:val="21"/>
                <w:highlight w:val="none"/>
                <w14:textFill>
                  <w14:solidFill>
                    <w14:schemeClr w14:val="tx1"/>
                  </w14:solidFill>
                </w14:textFill>
              </w:rPr>
              <w:t>履约保证金</w:t>
            </w:r>
            <w:r>
              <w:rPr>
                <w:rFonts w:hint="eastAsia" w:ascii="Times New Roman" w:hAnsi="Times New Roman" w:eastAsia="宋体"/>
                <w:smallCaps w:val="0"/>
                <w:color w:val="000000" w:themeColor="text1"/>
                <w:sz w:val="21"/>
                <w:szCs w:val="21"/>
                <w:highlight w:val="none"/>
                <w:u w:val="none"/>
                <w:lang w:eastAsia="zh-CN"/>
                <w14:textFill>
                  <w14:solidFill>
                    <w14:schemeClr w14:val="tx1"/>
                  </w14:solidFill>
                </w14:textFill>
              </w:rPr>
              <w:t>：</w:t>
            </w:r>
          </w:p>
          <w:p w14:paraId="0EBE194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sz w:val="21"/>
                <w:szCs w:val="21"/>
                <w:highlight w:val="none"/>
                <w14:textFill>
                  <w14:solidFill>
                    <w14:schemeClr w14:val="tx1"/>
                  </w14:solidFill>
                </w14:textFill>
              </w:rPr>
            </w:pPr>
            <w:r>
              <w:rPr>
                <w:rFonts w:hint="eastAsia" w:ascii="Times New Roman" w:hAnsi="Times New Roman" w:eastAsia="宋体"/>
                <w:smallCaps w:val="0"/>
                <w:color w:val="000000" w:themeColor="text1"/>
                <w:sz w:val="21"/>
                <w:szCs w:val="21"/>
                <w:highlight w:val="none"/>
                <w14:textFill>
                  <w14:solidFill>
                    <w14:schemeClr w14:val="tx1"/>
                  </w14:solidFill>
                </w14:textFill>
              </w:rPr>
              <w:t>□不要求</w:t>
            </w:r>
          </w:p>
          <w:p w14:paraId="08C4C76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smallCap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smallCaps w:val="0"/>
                <w:color w:val="000000" w:themeColor="text1"/>
                <w:sz w:val="21"/>
                <w:szCs w:val="21"/>
                <w:highlight w:val="none"/>
                <w14:textFill>
                  <w14:solidFill>
                    <w14:schemeClr w14:val="tx1"/>
                  </w14:solidFill>
                </w14:textFill>
              </w:rPr>
              <w:t>要求，具体如下</w:t>
            </w:r>
            <w:r>
              <w:rPr>
                <w:rFonts w:hint="eastAsia" w:ascii="Times New Roman" w:hAnsi="Times New Roman" w:eastAsia="宋体"/>
                <w:smallCaps w:val="0"/>
                <w:color w:val="000000" w:themeColor="text1"/>
                <w:sz w:val="21"/>
                <w:szCs w:val="21"/>
                <w:highlight w:val="none"/>
                <w:u w:val="none"/>
                <w:lang w:eastAsia="zh-CN"/>
                <w14:textFill>
                  <w14:solidFill>
                    <w14:schemeClr w14:val="tx1"/>
                  </w14:solidFill>
                </w14:textFill>
              </w:rPr>
              <w:t>：</w:t>
            </w:r>
          </w:p>
          <w:p w14:paraId="6F83D6FE">
            <w:pPr>
              <w:pStyle w:val="21"/>
              <w:keepNext w:val="0"/>
              <w:keepLines w:val="0"/>
              <w:pageBreakBefore w:val="0"/>
              <w:widowControl w:val="0"/>
              <w:suppressLineNumbers w:val="0"/>
              <w:kinsoku/>
              <w:wordWrap w:val="0"/>
              <w:overflowPunct/>
              <w:topLinePunct w:val="0"/>
              <w:bidi w:val="0"/>
              <w:adjustRightInd/>
              <w:snapToGrid/>
              <w:spacing w:before="0" w:beforeAutospacing="0" w:after="0" w:afterAutospacing="0" w:line="360" w:lineRule="auto"/>
              <w:ind w:left="0" w:right="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1、形式</w:t>
            </w:r>
            <w:r>
              <w:rPr>
                <w:rFonts w:hint="eastAsia" w:cs="宋体"/>
                <w:b/>
                <w:color w:val="000000" w:themeColor="text1"/>
                <w:sz w:val="21"/>
                <w:szCs w:val="21"/>
                <w:highlight w:val="none"/>
                <w:lang w:val="en-US" w:eastAsia="zh-CN"/>
                <w14:textFill>
                  <w14:solidFill>
                    <w14:schemeClr w14:val="tx1"/>
                  </w14:solidFill>
                </w14:textFill>
              </w:rPr>
              <w:t>（以下形式均可）</w:t>
            </w:r>
            <w:r>
              <w:rPr>
                <w:rFonts w:hint="eastAsia" w:ascii="宋体" w:hAnsi="宋体" w:eastAsia="宋体" w:cs="宋体"/>
                <w:b/>
                <w:color w:val="000000" w:themeColor="text1"/>
                <w:sz w:val="21"/>
                <w:szCs w:val="21"/>
                <w:highlight w:val="none"/>
                <w14:textFill>
                  <w14:solidFill>
                    <w14:schemeClr w14:val="tx1"/>
                  </w14:solidFill>
                </w14:textFill>
              </w:rPr>
              <w:t>：</w:t>
            </w:r>
          </w:p>
          <w:p w14:paraId="7DCDFD87">
            <w:pPr>
              <w:pStyle w:val="21"/>
              <w:keepNext w:val="0"/>
              <w:keepLines w:val="0"/>
              <w:pageBreakBefore w:val="0"/>
              <w:widowControl w:val="0"/>
              <w:suppressLineNumbers w:val="0"/>
              <w:kinsoku/>
              <w:wordWrap w:val="0"/>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①电子保函</w:t>
            </w:r>
          </w:p>
          <w:p w14:paraId="1AB084AF">
            <w:pPr>
              <w:pStyle w:val="21"/>
              <w:keepNext w:val="0"/>
              <w:keepLines w:val="0"/>
              <w:pageBreakBefore w:val="0"/>
              <w:widowControl w:val="0"/>
              <w:suppressLineNumbers w:val="0"/>
              <w:kinsoku/>
              <w:wordWrap w:val="0"/>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cs="宋体"/>
                <w:b w:val="0"/>
                <w:bCs/>
                <w:color w:val="000000" w:themeColor="text1"/>
                <w:sz w:val="21"/>
                <w:szCs w:val="21"/>
                <w:highlight w:val="none"/>
                <w:lang w:val="en-US" w:eastAsia="zh-CN"/>
                <w14:textFill>
                  <w14:solidFill>
                    <w14:schemeClr w14:val="tx1"/>
                  </w14:solidFill>
                </w14:textFill>
              </w:rPr>
              <w:t>②</w:t>
            </w:r>
            <w:r>
              <w:rPr>
                <w:rFonts w:hint="eastAsia" w:ascii="宋体" w:hAnsi="宋体" w:eastAsia="宋体" w:cs="宋体"/>
                <w:b w:val="0"/>
                <w:bCs/>
                <w:color w:val="000000" w:themeColor="text1"/>
                <w:sz w:val="21"/>
                <w:szCs w:val="21"/>
                <w:highlight w:val="none"/>
                <w14:textFill>
                  <w14:solidFill>
                    <w14:schemeClr w14:val="tx1"/>
                  </w14:solidFill>
                </w14:textFill>
              </w:rPr>
              <w:t>现金（银行转账、银行电汇）</w:t>
            </w:r>
          </w:p>
          <w:p w14:paraId="350AFBFB">
            <w:pPr>
              <w:pStyle w:val="21"/>
              <w:keepNext w:val="0"/>
              <w:keepLines w:val="0"/>
              <w:pageBreakBefore w:val="0"/>
              <w:widowControl w:val="0"/>
              <w:suppressLineNumbers w:val="0"/>
              <w:kinsoku/>
              <w:wordWrap w:val="0"/>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cs="宋体"/>
                <w:b w:val="0"/>
                <w:bCs/>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b w:val="0"/>
                <w:bCs/>
                <w:color w:val="000000" w:themeColor="text1"/>
                <w:sz w:val="21"/>
                <w:szCs w:val="21"/>
                <w:highlight w:val="none"/>
                <w14:textFill>
                  <w14:solidFill>
                    <w14:schemeClr w14:val="tx1"/>
                  </w14:solidFill>
                </w14:textFill>
              </w:rPr>
              <w:t>纸质保函（纸质银行保函、纸质担保机构担保、纸质保证保险）</w:t>
            </w:r>
          </w:p>
          <w:p w14:paraId="5D36A9D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14:textFill>
                  <w14:solidFill>
                    <w14:schemeClr w14:val="tx1"/>
                  </w14:solidFill>
                </w14:textFill>
              </w:rPr>
              <w:t>、金额：中标</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合同金额</w:t>
            </w:r>
            <w:r>
              <w:rPr>
                <w:rFonts w:hint="eastAsia" w:ascii="宋体" w:hAnsi="宋体" w:eastAsia="宋体" w:cs="宋体"/>
                <w:b/>
                <w:bCs/>
                <w:color w:val="000000" w:themeColor="text1"/>
                <w:sz w:val="21"/>
                <w:szCs w:val="21"/>
                <w:highlight w:val="none"/>
                <w14:textFill>
                  <w14:solidFill>
                    <w14:schemeClr w14:val="tx1"/>
                  </w14:solidFill>
                </w14:textFill>
              </w:rPr>
              <w:t>的2%。</w:t>
            </w:r>
          </w:p>
          <w:p w14:paraId="719617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联合体投标的，履约保证金由联合体牵头人递交。</w:t>
            </w:r>
          </w:p>
          <w:p w14:paraId="72052D9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时限</w:t>
            </w:r>
            <w:r>
              <w:rPr>
                <w:rFonts w:hint="eastAsia" w:ascii="宋体" w:hAnsi="宋体" w:eastAsia="宋体" w:cs="宋体"/>
                <w:b/>
                <w:bCs/>
                <w:color w:val="000000" w:themeColor="text1"/>
                <w:sz w:val="21"/>
                <w:szCs w:val="21"/>
                <w:highlight w:val="none"/>
                <w14:textFill>
                  <w14:solidFill>
                    <w14:schemeClr w14:val="tx1"/>
                  </w14:solidFill>
                </w14:textFill>
              </w:rPr>
              <w:t>：</w:t>
            </w:r>
          </w:p>
          <w:p w14:paraId="2BE094E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①采用转账、网银支付</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电汇递交担保</w:t>
            </w:r>
            <w:r>
              <w:rPr>
                <w:rFonts w:hint="eastAsia" w:ascii="宋体" w:hAnsi="宋体" w:eastAsia="宋体" w:cs="宋体"/>
                <w:color w:val="000000" w:themeColor="text1"/>
                <w:sz w:val="21"/>
                <w:szCs w:val="21"/>
                <w:highlight w:val="none"/>
                <w14:textFill>
                  <w14:solidFill>
                    <w14:schemeClr w14:val="tx1"/>
                  </w14:solidFill>
                </w14:textFill>
              </w:rPr>
              <w:t>的，</w:t>
            </w:r>
            <w:r>
              <w:rPr>
                <w:rFonts w:hint="eastAsia" w:ascii="宋体" w:hAnsi="宋体" w:eastAsia="宋体" w:cs="宋体"/>
                <w:color w:val="000000" w:themeColor="text1"/>
                <w:sz w:val="21"/>
                <w:szCs w:val="21"/>
                <w:highlight w:val="none"/>
                <w:lang w:val="en-US" w:eastAsia="zh-CN"/>
                <w14:textFill>
                  <w14:solidFill>
                    <w14:schemeClr w14:val="tx1"/>
                  </w14:solidFill>
                </w14:textFill>
              </w:rPr>
              <w:t>自</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b/>
                <w:color w:val="000000" w:themeColor="text1"/>
                <w:sz w:val="21"/>
                <w:szCs w:val="21"/>
                <w:highlight w:val="none"/>
                <w14:textFill>
                  <w14:solidFill>
                    <w14:schemeClr w14:val="tx1"/>
                  </w14:solidFill>
                </w14:textFill>
              </w:rPr>
              <w:t xml:space="preserve">中标通知书 </w:t>
            </w:r>
            <w:r>
              <w:rPr>
                <w:rFonts w:hint="eastAsia" w:ascii="宋体" w:hAnsi="宋体" w:eastAsia="宋体" w:cs="宋体"/>
                <w:color w:val="000000" w:themeColor="text1"/>
                <w:sz w:val="21"/>
                <w:szCs w:val="21"/>
                <w:highlight w:val="none"/>
                <w14:textFill>
                  <w14:solidFill>
                    <w14:schemeClr w14:val="tx1"/>
                  </w14:solidFill>
                </w14:textFill>
              </w:rPr>
              <w:t>发出</w:t>
            </w:r>
            <w:r>
              <w:rPr>
                <w:rFonts w:hint="eastAsia" w:ascii="宋体" w:hAnsi="宋体" w:eastAsia="宋体" w:cs="宋体"/>
                <w:color w:val="000000" w:themeColor="text1"/>
                <w:sz w:val="21"/>
                <w:szCs w:val="21"/>
                <w:highlight w:val="none"/>
                <w:lang w:val="en-US" w:eastAsia="zh-CN"/>
                <w14:textFill>
                  <w14:solidFill>
                    <w14:schemeClr w14:val="tx1"/>
                  </w14:solidFill>
                </w14:textFill>
              </w:rPr>
              <w:t>之日起</w:t>
            </w:r>
            <w:r>
              <w:rPr>
                <w:rFonts w:hint="eastAsia"/>
                <w:color w:val="000000" w:themeColor="text1"/>
                <w:sz w:val="21"/>
                <w:szCs w:val="21"/>
                <w:highlight w:val="none"/>
                <w:lang w:val="en-US" w:eastAsia="zh-CN"/>
                <w14:textFill>
                  <w14:solidFill>
                    <w14:schemeClr w14:val="tx1"/>
                  </w14:solidFill>
                </w14:textFill>
              </w:rPr>
              <w:t>10个工作</w:t>
            </w:r>
            <w:r>
              <w:rPr>
                <w:rFonts w:hint="eastAsia"/>
                <w:color w:val="000000" w:themeColor="text1"/>
                <w:sz w:val="21"/>
                <w:szCs w:val="21"/>
                <w:highlight w:val="none"/>
                <w14:textFill>
                  <w14:solidFill>
                    <w14:schemeClr w14:val="tx1"/>
                  </w14:solidFill>
                </w14:textFill>
              </w:rPr>
              <w:t>日</w:t>
            </w:r>
            <w:r>
              <w:rPr>
                <w:rFonts w:hint="eastAsia" w:ascii="宋体" w:hAnsi="宋体" w:eastAsia="宋体" w:cs="宋体"/>
                <w:color w:val="000000" w:themeColor="text1"/>
                <w:sz w:val="21"/>
                <w:szCs w:val="21"/>
                <w:highlight w:val="none"/>
                <w14:textFill>
                  <w14:solidFill>
                    <w14:schemeClr w14:val="tx1"/>
                  </w14:solidFill>
                </w14:textFill>
              </w:rPr>
              <w:t>内</w:t>
            </w:r>
            <w:r>
              <w:rPr>
                <w:rFonts w:hint="eastAsia" w:ascii="宋体" w:hAnsi="宋体" w:eastAsia="宋体" w:cs="宋体"/>
                <w:color w:val="000000" w:themeColor="text1"/>
                <w:sz w:val="21"/>
                <w:szCs w:val="21"/>
                <w:highlight w:val="none"/>
                <w:lang w:val="en-US" w:eastAsia="zh-CN"/>
                <w14:textFill>
                  <w14:solidFill>
                    <w14:schemeClr w14:val="tx1"/>
                  </w14:solidFill>
                </w14:textFill>
              </w:rPr>
              <w:t>完成递交</w:t>
            </w:r>
            <w:r>
              <w:rPr>
                <w:rFonts w:hint="eastAsia" w:ascii="宋体" w:hAnsi="宋体" w:eastAsia="宋体" w:cs="宋体"/>
                <w:color w:val="000000" w:themeColor="text1"/>
                <w:sz w:val="21"/>
                <w:szCs w:val="21"/>
                <w:highlight w:val="none"/>
                <w14:textFill>
                  <w14:solidFill>
                    <w14:schemeClr w14:val="tx1"/>
                  </w14:solidFill>
                </w14:textFill>
              </w:rPr>
              <w:t>，以转账或电汇回单载明的时间为准；</w:t>
            </w:r>
          </w:p>
          <w:p w14:paraId="0E37902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②采用银行保函</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担保机构担保、</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保证保险</w:t>
            </w:r>
            <w:r>
              <w:rPr>
                <w:rFonts w:hint="eastAsia" w:ascii="宋体" w:hAnsi="宋体" w:eastAsia="宋体" w:cs="宋体"/>
                <w:b w:val="0"/>
                <w:bCs/>
                <w:color w:val="000000" w:themeColor="text1"/>
                <w:sz w:val="21"/>
                <w:szCs w:val="21"/>
                <w:highlight w:val="none"/>
                <w14:textFill>
                  <w14:solidFill>
                    <w14:schemeClr w14:val="tx1"/>
                  </w14:solidFill>
                </w14:textFill>
              </w:rPr>
              <w:t>方式</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递交</w:t>
            </w:r>
            <w:r>
              <w:rPr>
                <w:rFonts w:hint="eastAsia" w:ascii="宋体" w:hAnsi="宋体" w:eastAsia="宋体" w:cs="宋体"/>
                <w:b w:val="0"/>
                <w:bCs/>
                <w:color w:val="000000" w:themeColor="text1"/>
                <w:sz w:val="21"/>
                <w:szCs w:val="21"/>
                <w:highlight w:val="none"/>
                <w14:textFill>
                  <w14:solidFill>
                    <w14:schemeClr w14:val="tx1"/>
                  </w14:solidFill>
                </w14:textFill>
              </w:rPr>
              <w:t>担</w:t>
            </w:r>
            <w:r>
              <w:rPr>
                <w:rFonts w:hint="eastAsia" w:ascii="宋体" w:hAnsi="宋体" w:eastAsia="宋体" w:cs="宋体"/>
                <w:color w:val="000000" w:themeColor="text1"/>
                <w:sz w:val="21"/>
                <w:szCs w:val="21"/>
                <w:highlight w:val="none"/>
                <w14:textFill>
                  <w14:solidFill>
                    <w14:schemeClr w14:val="tx1"/>
                  </w14:solidFill>
                </w14:textFill>
              </w:rPr>
              <w:t>保的，自</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14:textFill>
                  <w14:solidFill>
                    <w14:schemeClr w14:val="tx1"/>
                  </w14:solidFill>
                </w14:textFill>
              </w:rPr>
              <w:t>中标通知书</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发出之日起</w:t>
            </w:r>
            <w:r>
              <w:rPr>
                <w:rFonts w:hint="eastAsia"/>
                <w:color w:val="000000" w:themeColor="text1"/>
                <w:sz w:val="21"/>
                <w:szCs w:val="21"/>
                <w:highlight w:val="none"/>
                <w:lang w:val="en-US" w:eastAsia="zh-CN"/>
                <w14:textFill>
                  <w14:solidFill>
                    <w14:schemeClr w14:val="tx1"/>
                  </w14:solidFill>
                </w14:textFill>
              </w:rPr>
              <w:t>10个工作</w:t>
            </w:r>
            <w:r>
              <w:rPr>
                <w:rFonts w:hint="eastAsia"/>
                <w:color w:val="000000" w:themeColor="text1"/>
                <w:sz w:val="21"/>
                <w:szCs w:val="21"/>
                <w:highlight w:val="none"/>
                <w14:textFill>
                  <w14:solidFill>
                    <w14:schemeClr w14:val="tx1"/>
                  </w14:solidFill>
                </w14:textFill>
              </w:rPr>
              <w:t>日</w:t>
            </w:r>
            <w:r>
              <w:rPr>
                <w:rFonts w:hint="eastAsia" w:ascii="宋体" w:hAnsi="宋体" w:eastAsia="宋体" w:cs="宋体"/>
                <w:color w:val="000000" w:themeColor="text1"/>
                <w:sz w:val="21"/>
                <w:szCs w:val="21"/>
                <w:highlight w:val="none"/>
                <w14:textFill>
                  <w14:solidFill>
                    <w14:schemeClr w14:val="tx1"/>
                  </w14:solidFill>
                </w14:textFill>
              </w:rPr>
              <w:t>内完成提交，以凭证落款时间为准</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72FD02C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备注：招标文件所述的 </w:t>
            </w:r>
            <w:r>
              <w:rPr>
                <w:rFonts w:hint="eastAsia" w:ascii="宋体" w:hAnsi="宋体" w:eastAsia="宋体" w:cs="宋体"/>
                <w:b/>
                <w:bCs/>
                <w:color w:val="000000" w:themeColor="text1"/>
                <w:sz w:val="21"/>
                <w:szCs w:val="21"/>
                <w:highlight w:val="none"/>
                <w14:textFill>
                  <w14:solidFill>
                    <w14:schemeClr w14:val="tx1"/>
                  </w14:solidFill>
                </w14:textFill>
              </w:rPr>
              <w:t>中标通知书</w:t>
            </w:r>
            <w:r>
              <w:rPr>
                <w:rFonts w:hint="eastAsia" w:ascii="宋体" w:hAnsi="宋体" w:eastAsia="宋体" w:cs="宋体"/>
                <w:color w:val="000000" w:themeColor="text1"/>
                <w:sz w:val="21"/>
                <w:szCs w:val="21"/>
                <w:highlight w:val="none"/>
                <w14:textFill>
                  <w14:solidFill>
                    <w14:schemeClr w14:val="tx1"/>
                  </w14:solidFill>
                </w14:textFill>
              </w:rPr>
              <w:t xml:space="preserve"> 发出之日，指的是淮南公共资源交易监督管理局招标管理系统中签章后的电子中标通知书签署日期。请中标人及时关注系统中电子中标通知书签章进度，并及时办理后续事项。</w:t>
            </w:r>
          </w:p>
          <w:p w14:paraId="510AE66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cs="宋体"/>
                <w:b/>
                <w:bCs/>
                <w:color w:val="000000" w:themeColor="text1"/>
                <w:sz w:val="21"/>
                <w:szCs w:val="21"/>
                <w:highlight w:val="none"/>
                <w:lang w:val="en-US" w:eastAsia="zh-CN"/>
                <w14:textFill>
                  <w14:solidFill>
                    <w14:schemeClr w14:val="tx1"/>
                  </w14:solidFill>
                </w14:textFill>
              </w:rPr>
            </w:pPr>
            <w:r>
              <w:rPr>
                <w:rFonts w:hint="eastAsia" w:cs="宋体"/>
                <w:b/>
                <w:bCs/>
                <w:color w:val="000000" w:themeColor="text1"/>
                <w:sz w:val="21"/>
                <w:szCs w:val="21"/>
                <w:highlight w:val="none"/>
                <w:lang w:val="en-US" w:eastAsia="zh-CN"/>
                <w14:textFill>
                  <w14:solidFill>
                    <w14:schemeClr w14:val="tx1"/>
                  </w14:solidFill>
                </w14:textFill>
              </w:rPr>
              <w:t>4、具体要求：</w:t>
            </w:r>
          </w:p>
          <w:p w14:paraId="1527B4C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①采用纸质银行保函的，应为不可撤销、不可转让的见索即付独立保函。</w:t>
            </w:r>
          </w:p>
          <w:p w14:paraId="22EC0C0C">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②</w:t>
            </w:r>
            <w:r>
              <w:rPr>
                <w:rFonts w:hint="eastAsia"/>
                <w:color w:val="000000" w:themeColor="text1"/>
                <w:sz w:val="21"/>
                <w:szCs w:val="21"/>
                <w:highlight w:val="none"/>
                <w14:textFill>
                  <w14:solidFill>
                    <w14:schemeClr w14:val="tx1"/>
                  </w14:solidFill>
                </w14:textFill>
              </w:rPr>
              <w:t>采用纸质担保机构担保的，</w:t>
            </w:r>
            <w:r>
              <w:rPr>
                <w:rFonts w:hint="eastAsia" w:ascii="宋体" w:hAnsi="宋体" w:eastAsia="宋体" w:cs="宋体"/>
                <w:color w:val="000000" w:themeColor="text1"/>
                <w:sz w:val="21"/>
                <w:szCs w:val="21"/>
                <w:highlight w:val="none"/>
                <w:lang w:val="en-US" w:eastAsia="zh-CN"/>
                <w14:textFill>
                  <w14:solidFill>
                    <w14:schemeClr w14:val="tx1"/>
                  </w14:solidFill>
                </w14:textFill>
              </w:rPr>
              <w:t>应为</w:t>
            </w:r>
            <w:r>
              <w:rPr>
                <w:rFonts w:hint="eastAsia" w:ascii="宋体" w:hAnsi="宋体" w:cs="宋体"/>
                <w:color w:val="000000" w:themeColor="text1"/>
                <w:sz w:val="21"/>
                <w:szCs w:val="21"/>
                <w:highlight w:val="none"/>
                <w:lang w:val="en-US" w:eastAsia="zh-CN"/>
                <w14:textFill>
                  <w14:solidFill>
                    <w14:schemeClr w14:val="tx1"/>
                  </w14:solidFill>
                </w14:textFill>
              </w:rPr>
              <w:t>符合国家各项监督管理部门规定的金融</w:t>
            </w:r>
            <w:r>
              <w:rPr>
                <w:rFonts w:hint="eastAsia" w:ascii="宋体" w:hAnsi="宋体" w:eastAsia="宋体" w:cs="宋体"/>
                <w:color w:val="000000" w:themeColor="text1"/>
                <w:sz w:val="21"/>
                <w:szCs w:val="21"/>
                <w:highlight w:val="none"/>
                <w:lang w:val="en-US" w:eastAsia="zh-CN"/>
                <w14:textFill>
                  <w14:solidFill>
                    <w14:schemeClr w14:val="tx1"/>
                  </w14:solidFill>
                </w14:textFill>
              </w:rPr>
              <w:t>机构出具的</w:t>
            </w:r>
            <w:r>
              <w:rPr>
                <w:rFonts w:hint="eastAsia"/>
                <w:color w:val="000000" w:themeColor="text1"/>
                <w:sz w:val="21"/>
                <w:szCs w:val="21"/>
                <w:highlight w:val="none"/>
                <w14:textFill>
                  <w14:solidFill>
                    <w14:schemeClr w14:val="tx1"/>
                  </w14:solidFill>
                </w14:textFill>
              </w:rPr>
              <w:t>不可撤销、不可转让的见索即付独立保函。</w:t>
            </w:r>
          </w:p>
          <w:p w14:paraId="794E878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③采用纸质保证保险的，应为保险公司出具的不可撤销、不可转让的见索即付保证保险。</w:t>
            </w:r>
          </w:p>
          <w:p w14:paraId="3AF166C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违约</w:t>
            </w:r>
            <w:r>
              <w:rPr>
                <w:rFonts w:hint="eastAsia" w:ascii="宋体" w:hAnsi="宋体" w:eastAsia="宋体" w:cs="宋体"/>
                <w:b/>
                <w:bCs/>
                <w:color w:val="000000" w:themeColor="text1"/>
                <w:sz w:val="21"/>
                <w:szCs w:val="21"/>
                <w:highlight w:val="none"/>
                <w14:textFill>
                  <w14:solidFill>
                    <w14:schemeClr w14:val="tx1"/>
                  </w14:solidFill>
                </w14:textFill>
              </w:rPr>
              <w:t>：</w:t>
            </w:r>
          </w:p>
          <w:p w14:paraId="33658BE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XX</w:t>
            </w:r>
            <w:r>
              <w:rPr>
                <w:rFonts w:hint="eastAsia" w:ascii="宋体" w:hAnsi="宋体" w:cs="宋体"/>
                <w:color w:val="000000" w:themeColor="text1"/>
                <w:sz w:val="21"/>
                <w:szCs w:val="21"/>
                <w:highlight w:val="none"/>
                <w:lang w:val="en-US" w:eastAsia="zh-CN"/>
                <w14:textFill>
                  <w14:solidFill>
                    <w14:schemeClr w14:val="tx1"/>
                  </w14:solidFill>
                </w14:textFill>
              </w:rPr>
              <w:t>XXX</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14:paraId="127E22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
                <w:bCs/>
                <w:color w:val="000000" w:themeColor="text1"/>
                <w:sz w:val="21"/>
                <w:szCs w:val="21"/>
                <w:highlight w:val="none"/>
                <w14:textFill>
                  <w14:solidFill>
                    <w14:schemeClr w14:val="tx1"/>
                  </w14:solidFill>
                </w14:textFill>
              </w:rPr>
              <w:t>、退还方式及时间：</w:t>
            </w:r>
          </w:p>
          <w:p w14:paraId="1E1F17B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①</w:t>
            </w:r>
            <w:r>
              <w:rPr>
                <w:rFonts w:hint="eastAsia" w:ascii="宋体" w:hAnsi="宋体" w:eastAsia="宋体" w:cs="宋体"/>
                <w:color w:val="000000" w:themeColor="text1"/>
                <w:kern w:val="0"/>
                <w:sz w:val="21"/>
                <w:szCs w:val="21"/>
                <w:highlight w:val="none"/>
                <w14:textFill>
                  <w14:solidFill>
                    <w14:schemeClr w14:val="tx1"/>
                  </w14:solidFill>
                </w14:textFill>
              </w:rPr>
              <w:t>采用转账</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网银支付、电汇递交担保</w:t>
            </w:r>
            <w:r>
              <w:rPr>
                <w:rFonts w:hint="eastAsia" w:ascii="宋体" w:hAnsi="宋体" w:eastAsia="宋体" w:cs="宋体"/>
                <w:color w:val="000000" w:themeColor="text1"/>
                <w:kern w:val="0"/>
                <w:sz w:val="21"/>
                <w:szCs w:val="21"/>
                <w:highlight w:val="none"/>
                <w14:textFill>
                  <w14:solidFill>
                    <w14:schemeClr w14:val="tx1"/>
                  </w14:solidFill>
                </w14:textFill>
              </w:rPr>
              <w:t>的，</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在</w:t>
            </w:r>
            <w:r>
              <w:rPr>
                <w:rFonts w:hint="eastAsia" w:ascii="宋体" w:hAnsi="宋体" w:eastAsia="宋体" w:cs="宋体"/>
                <w:color w:val="000000" w:themeColor="text1"/>
                <w:kern w:val="0"/>
                <w:sz w:val="21"/>
                <w:szCs w:val="21"/>
                <w:highlight w:val="none"/>
                <w14:textFill>
                  <w14:solidFill>
                    <w14:schemeClr w14:val="tx1"/>
                  </w14:solidFill>
                </w14:textFill>
              </w:rPr>
              <w:t>招标范围内全部</w:t>
            </w:r>
            <w:r>
              <w:rPr>
                <w:rFonts w:hint="eastAsia" w:ascii="宋体" w:hAnsi="宋体" w:eastAsia="宋体" w:cs="宋体"/>
                <w:color w:val="000000" w:themeColor="text1"/>
                <w:sz w:val="21"/>
                <w:szCs w:val="21"/>
                <w:highlight w:val="none"/>
                <w14:textFill>
                  <w14:solidFill>
                    <w14:schemeClr w14:val="tx1"/>
                  </w14:solidFill>
                </w14:textFill>
              </w:rPr>
              <w:t>工程竣工验收合格</w:t>
            </w:r>
            <w:r>
              <w:rPr>
                <w:rFonts w:hint="eastAsia" w:ascii="宋体" w:hAnsi="宋体" w:eastAsia="宋体" w:cs="宋体"/>
                <w:color w:val="000000" w:themeColor="text1"/>
                <w:kern w:val="0"/>
                <w:sz w:val="21"/>
                <w:szCs w:val="21"/>
                <w:highlight w:val="none"/>
                <w14:textFill>
                  <w14:solidFill>
                    <w14:schemeClr w14:val="tx1"/>
                  </w14:solidFill>
                </w14:textFill>
              </w:rPr>
              <w:t>之日起</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XX</w:t>
            </w:r>
            <w:r>
              <w:rPr>
                <w:rFonts w:hint="eastAsia" w:ascii="宋体" w:hAnsi="宋体" w:eastAsia="宋体" w:cs="宋体"/>
                <w:color w:val="000000" w:themeColor="text1"/>
                <w:kern w:val="0"/>
                <w:sz w:val="21"/>
                <w:szCs w:val="21"/>
                <w:highlight w:val="none"/>
                <w14:textFill>
                  <w14:solidFill>
                    <w14:schemeClr w14:val="tx1"/>
                  </w14:solidFill>
                </w14:textFill>
              </w:rPr>
              <w:t>日</w:t>
            </w:r>
            <w:r>
              <w:rPr>
                <w:rFonts w:hint="eastAsia" w:ascii="宋体" w:hAnsi="宋体" w:eastAsia="宋体" w:cs="宋体"/>
                <w:color w:val="000000" w:themeColor="text1"/>
                <w:kern w:val="0"/>
                <w:sz w:val="21"/>
                <w:szCs w:val="21"/>
                <w:highlight w:val="none"/>
                <w14:textFill>
                  <w14:solidFill>
                    <w14:schemeClr w14:val="tx1"/>
                  </w14:solidFill>
                </w14:textFill>
              </w:rPr>
              <w:t>内扣除相关违约金后退还。</w:t>
            </w:r>
          </w:p>
          <w:p w14:paraId="5A4961D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②</w:t>
            </w:r>
            <w:r>
              <w:rPr>
                <w:rFonts w:hint="eastAsia" w:ascii="宋体" w:hAnsi="宋体" w:eastAsia="宋体" w:cs="宋体"/>
                <w:color w:val="000000" w:themeColor="text1"/>
                <w:kern w:val="0"/>
                <w:sz w:val="21"/>
                <w:szCs w:val="21"/>
                <w:highlight w:val="none"/>
                <w14:textFill>
                  <w14:solidFill>
                    <w14:schemeClr w14:val="tx1"/>
                  </w14:solidFill>
                </w14:textFill>
              </w:rPr>
              <w:t>采用</w:t>
            </w:r>
            <w:r>
              <w:rPr>
                <w:rFonts w:hint="eastAsia" w:ascii="宋体" w:hAnsi="宋体" w:eastAsia="宋体" w:cs="宋体"/>
                <w:color w:val="000000" w:themeColor="text1"/>
                <w:sz w:val="21"/>
                <w:szCs w:val="21"/>
                <w:highlight w:val="none"/>
                <w14:textFill>
                  <w14:solidFill>
                    <w14:schemeClr w14:val="tx1"/>
                  </w14:solidFill>
                </w14:textFill>
              </w:rPr>
              <w:t>银行保函</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担保机构担保、</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保证保险</w:t>
            </w:r>
            <w:r>
              <w:rPr>
                <w:rFonts w:hint="eastAsia" w:ascii="宋体" w:hAnsi="宋体" w:eastAsia="宋体" w:cs="宋体"/>
                <w:b w:val="0"/>
                <w:bCs/>
                <w:color w:val="000000" w:themeColor="text1"/>
                <w:sz w:val="21"/>
                <w:szCs w:val="21"/>
                <w:highlight w:val="none"/>
                <w14:textFill>
                  <w14:solidFill>
                    <w14:schemeClr w14:val="tx1"/>
                  </w14:solidFill>
                </w14:textFill>
              </w:rPr>
              <w:t>方式</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递交</w:t>
            </w:r>
            <w:r>
              <w:rPr>
                <w:rFonts w:hint="eastAsia" w:ascii="宋体" w:hAnsi="宋体" w:eastAsia="宋体" w:cs="宋体"/>
                <w:b w:val="0"/>
                <w:bCs/>
                <w:color w:val="000000" w:themeColor="text1"/>
                <w:sz w:val="21"/>
                <w:szCs w:val="21"/>
                <w:highlight w:val="none"/>
                <w14:textFill>
                  <w14:solidFill>
                    <w14:schemeClr w14:val="tx1"/>
                  </w14:solidFill>
                </w14:textFill>
              </w:rPr>
              <w:t>担</w:t>
            </w:r>
            <w:r>
              <w:rPr>
                <w:rFonts w:hint="eastAsia" w:ascii="宋体" w:hAnsi="宋体" w:eastAsia="宋体" w:cs="宋体"/>
                <w:color w:val="000000" w:themeColor="text1"/>
                <w:sz w:val="21"/>
                <w:szCs w:val="21"/>
                <w:highlight w:val="none"/>
                <w14:textFill>
                  <w14:solidFill>
                    <w14:schemeClr w14:val="tx1"/>
                  </w14:solidFill>
                </w14:textFill>
              </w:rPr>
              <w:t>保的</w:t>
            </w:r>
            <w:r>
              <w:rPr>
                <w:rFonts w:hint="eastAsia" w:ascii="宋体" w:hAnsi="宋体" w:eastAsia="宋体" w:cs="宋体"/>
                <w:color w:val="000000" w:themeColor="text1"/>
                <w:kern w:val="0"/>
                <w:sz w:val="21"/>
                <w:szCs w:val="21"/>
                <w:highlight w:val="none"/>
                <w14:textFill>
                  <w14:solidFill>
                    <w14:schemeClr w14:val="tx1"/>
                  </w14:solidFill>
                </w14:textFill>
              </w:rPr>
              <w:t>，有效期自开立之日起至施工合同约定的缺陷责任期后</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XX</w:t>
            </w:r>
            <w:r>
              <w:rPr>
                <w:rFonts w:hint="eastAsia" w:ascii="宋体" w:hAnsi="宋体" w:eastAsia="宋体" w:cs="宋体"/>
                <w:color w:val="000000" w:themeColor="text1"/>
                <w:kern w:val="0"/>
                <w:sz w:val="21"/>
                <w:szCs w:val="21"/>
                <w:highlight w:val="none"/>
                <w14:textFill>
                  <w14:solidFill>
                    <w14:schemeClr w14:val="tx1"/>
                  </w14:solidFill>
                </w14:textFill>
              </w:rPr>
              <w:t>日</w:t>
            </w:r>
            <w:r>
              <w:rPr>
                <w:rFonts w:hint="eastAsia" w:ascii="宋体" w:hAnsi="宋体" w:eastAsia="宋体" w:cs="宋体"/>
                <w:color w:val="000000" w:themeColor="text1"/>
                <w:kern w:val="0"/>
                <w:sz w:val="21"/>
                <w:szCs w:val="21"/>
                <w:highlight w:val="none"/>
                <w14:textFill>
                  <w14:solidFill>
                    <w14:schemeClr w14:val="tx1"/>
                  </w14:solidFill>
                </w14:textFill>
              </w:rPr>
              <w:t>止，追偿相关违约金后保函（或保险）失效。</w:t>
            </w:r>
          </w:p>
          <w:p w14:paraId="543CA83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备注：（1）如采用银行保函，按照招标文件附件规定格式出具。</w:t>
            </w:r>
          </w:p>
          <w:p w14:paraId="0C065DA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（2）如采用担保机构担保，应为</w:t>
            </w:r>
            <w:r>
              <w:rPr>
                <w:rFonts w:hint="eastAsia" w:ascii="宋体" w:hAnsi="宋体" w:cs="宋体"/>
                <w:color w:val="000000" w:themeColor="text1"/>
                <w:sz w:val="21"/>
                <w:szCs w:val="21"/>
                <w:highlight w:val="none"/>
                <w:lang w:val="en-US" w:eastAsia="zh-CN"/>
                <w14:textFill>
                  <w14:solidFill>
                    <w14:schemeClr w14:val="tx1"/>
                  </w14:solidFill>
                </w14:textFill>
              </w:rPr>
              <w:t>符合国家各项监督管理部门规定的金融</w:t>
            </w:r>
            <w:r>
              <w:rPr>
                <w:rFonts w:hint="eastAsia" w:ascii="宋体" w:hAnsi="宋体" w:eastAsia="宋体" w:cs="宋体"/>
                <w:color w:val="000000" w:themeColor="text1"/>
                <w:sz w:val="21"/>
                <w:szCs w:val="21"/>
                <w:highlight w:val="none"/>
                <w:lang w:val="en-US" w:eastAsia="zh-CN"/>
                <w14:textFill>
                  <w14:solidFill>
                    <w14:schemeClr w14:val="tx1"/>
                  </w14:solidFill>
                </w14:textFill>
              </w:rPr>
              <w:t>机构出具的无条件担保。</w:t>
            </w:r>
          </w:p>
          <w:p w14:paraId="66C12AE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
                <w:bCs/>
                <w:color w:val="000000" w:themeColor="text1"/>
                <w:sz w:val="21"/>
                <w:szCs w:val="21"/>
                <w:highlight w:val="none"/>
                <w14:textFill>
                  <w14:solidFill>
                    <w14:schemeClr w14:val="tx1"/>
                  </w14:solidFill>
                </w14:textFill>
              </w:rPr>
              <w:t>、招标人账户信息：</w:t>
            </w:r>
          </w:p>
          <w:p w14:paraId="6CDD80D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由招标人在投标人中标后提供</w:t>
            </w:r>
          </w:p>
          <w:p w14:paraId="48D25DC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详细信息如下</w:t>
            </w:r>
          </w:p>
          <w:p w14:paraId="58E3552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单位名称：</w:t>
            </w:r>
            <w:r>
              <w:rPr>
                <w:rFonts w:hint="eastAsia" w:ascii="宋体" w:hAnsi="宋体" w:eastAsia="宋体" w:cs="宋体"/>
                <w:color w:val="000000" w:themeColor="text1"/>
                <w:sz w:val="21"/>
                <w:szCs w:val="21"/>
                <w:highlight w:val="none"/>
                <w:lang w:val="en-US" w:eastAsia="zh-CN"/>
                <w14:textFill>
                  <w14:solidFill>
                    <w14:schemeClr w14:val="tx1"/>
                  </w14:solidFill>
                </w14:textFill>
              </w:rPr>
              <w:t>XXXX</w:t>
            </w:r>
          </w:p>
          <w:p w14:paraId="14C0B9A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lang w:val="en-US" w:eastAsia="zh-CN"/>
                <w14:textFill>
                  <w14:solidFill>
                    <w14:schemeClr w14:val="tx1"/>
                  </w14:solidFill>
                </w14:textFill>
              </w:rPr>
              <w:t>XXXX</w:t>
            </w:r>
          </w:p>
          <w:p w14:paraId="3D783B29">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账号：</w:t>
            </w:r>
            <w:r>
              <w:rPr>
                <w:rFonts w:hint="eastAsia" w:ascii="宋体" w:hAnsi="宋体" w:eastAsia="宋体" w:cs="宋体"/>
                <w:color w:val="000000" w:themeColor="text1"/>
                <w:sz w:val="21"/>
                <w:szCs w:val="21"/>
                <w:highlight w:val="none"/>
                <w:lang w:val="en-US" w:eastAsia="zh-CN"/>
                <w14:textFill>
                  <w14:solidFill>
                    <w14:schemeClr w14:val="tx1"/>
                  </w14:solidFill>
                </w14:textFill>
              </w:rPr>
              <w:t>XXXX</w:t>
            </w:r>
          </w:p>
        </w:tc>
      </w:tr>
      <w:tr w14:paraId="4195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373F4B40">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8.2</w:t>
            </w:r>
          </w:p>
        </w:tc>
        <w:tc>
          <w:tcPr>
            <w:tcW w:w="1978" w:type="dxa"/>
            <w:noWrap w:val="0"/>
            <w:vAlign w:val="center"/>
          </w:tcPr>
          <w:p w14:paraId="16559F3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签订合同</w:t>
            </w:r>
          </w:p>
        </w:tc>
        <w:tc>
          <w:tcPr>
            <w:tcW w:w="6053" w:type="dxa"/>
            <w:noWrap w:val="0"/>
            <w:vAlign w:val="center"/>
          </w:tcPr>
          <w:p w14:paraId="053A62C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中标通知书发出之日起</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日内，应委派代表与招标人联系并商讨书面合同签订事宜。中标人和招标人应在投标有效期内以及中标通知书发出之日起30日内，根据招标文件和中标人的投标文件订立书面合同。</w:t>
            </w:r>
          </w:p>
          <w:p w14:paraId="05F7D19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签订形式：</w:t>
            </w:r>
            <w:r>
              <w:rPr>
                <w:rFonts w:hint="eastAsia" w:ascii="宋体" w:hAnsi="宋体" w:eastAsia="宋体" w:cs="宋体"/>
                <w:color w:val="000000" w:themeColor="text1"/>
                <w:highlight w:val="none"/>
                <w14:textFill>
                  <w14:solidFill>
                    <w14:schemeClr w14:val="tx1"/>
                  </w14:solidFill>
                </w14:textFill>
              </w:rPr>
              <w:t>根据国家发改委《电子招标投标办法》规定，按照安徽省公共资源交易监督管理办公室要求，淮南市</w:t>
            </w:r>
            <w:r>
              <w:rPr>
                <w:rFonts w:hint="eastAsia" w:ascii="宋体" w:hAnsi="宋体" w:eastAsia="宋体" w:cs="宋体"/>
                <w:bCs/>
                <w:snapToGrid w:val="0"/>
                <w:color w:val="000000" w:themeColor="text1"/>
                <w:kern w:val="0"/>
                <w:highlight w:val="none"/>
                <w14:textFill>
                  <w14:solidFill>
                    <w14:schemeClr w14:val="tx1"/>
                  </w14:solidFill>
                </w14:textFill>
              </w:rPr>
              <w:t>行政区域范围（含两县）</w:t>
            </w:r>
            <w:r>
              <w:rPr>
                <w:rFonts w:hint="eastAsia" w:ascii="宋体" w:hAnsi="宋体" w:eastAsia="宋体" w:cs="宋体"/>
                <w:color w:val="000000" w:themeColor="text1"/>
                <w:highlight w:val="none"/>
                <w14:textFill>
                  <w14:solidFill>
                    <w14:schemeClr w14:val="tx1"/>
                  </w14:solidFill>
                </w14:textFill>
              </w:rPr>
              <w:t>全面实行公共交易活动全流程电子化，启用淮南市公共资源交易平台电子签章（CA锁），实现合同在线签订。</w:t>
            </w:r>
          </w:p>
        </w:tc>
      </w:tr>
      <w:tr w14:paraId="74BD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957" w:type="dxa"/>
            <w:gridSpan w:val="3"/>
            <w:noWrap w:val="0"/>
            <w:vAlign w:val="center"/>
          </w:tcPr>
          <w:p w14:paraId="266B8A9C">
            <w:pPr>
              <w:pStyle w:val="4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11.需要补充的其他内容</w:t>
            </w:r>
          </w:p>
        </w:tc>
      </w:tr>
      <w:tr w14:paraId="73B1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58C3E8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.1</w:t>
            </w:r>
          </w:p>
        </w:tc>
        <w:tc>
          <w:tcPr>
            <w:tcW w:w="1978" w:type="dxa"/>
            <w:noWrap w:val="0"/>
            <w:vAlign w:val="center"/>
          </w:tcPr>
          <w:p w14:paraId="6451C1E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获取与查看通知</w:t>
            </w:r>
          </w:p>
        </w:tc>
        <w:tc>
          <w:tcPr>
            <w:tcW w:w="6053" w:type="dxa"/>
            <w:noWrap w:val="0"/>
            <w:vAlign w:val="center"/>
          </w:tcPr>
          <w:p w14:paraId="0650023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本招标项目的招标文件、图纸、工程量清单、最高投标限价、澄清及修改等相关资料均通过电子</w:t>
            </w:r>
            <w:r>
              <w:rPr>
                <w:rFonts w:hint="eastAsia" w:ascii="Times New Roman" w:hAnsi="Times New Roman"/>
                <w:smallCaps w:val="0"/>
                <w:color w:val="000000" w:themeColor="text1"/>
                <w:highlight w:val="none"/>
                <w:lang w:eastAsia="zh-CN"/>
                <w14:textFill>
                  <w14:solidFill>
                    <w14:schemeClr w14:val="tx1"/>
                  </w14:solidFill>
                </w14:textFill>
              </w:rPr>
              <w:t>交易</w:t>
            </w:r>
            <w:r>
              <w:rPr>
                <w:rFonts w:hint="eastAsia" w:ascii="Times New Roman" w:hAnsi="Times New Roman"/>
                <w:smallCaps w:val="0"/>
                <w:color w:val="000000" w:themeColor="text1"/>
                <w:highlight w:val="none"/>
                <w14:textFill>
                  <w14:solidFill>
                    <w14:schemeClr w14:val="tx1"/>
                  </w14:solidFill>
                </w14:textFill>
              </w:rPr>
              <w:t>系统发布；投标人应当及时登录电子</w:t>
            </w:r>
            <w:r>
              <w:rPr>
                <w:rFonts w:hint="eastAsia" w:ascii="Times New Roman" w:hAnsi="Times New Roman"/>
                <w:smallCaps w:val="0"/>
                <w:color w:val="000000" w:themeColor="text1"/>
                <w:highlight w:val="none"/>
                <w:lang w:eastAsia="zh-CN"/>
                <w14:textFill>
                  <w14:solidFill>
                    <w14:schemeClr w14:val="tx1"/>
                  </w14:solidFill>
                </w14:textFill>
              </w:rPr>
              <w:t>交易</w:t>
            </w:r>
            <w:r>
              <w:rPr>
                <w:rFonts w:hint="eastAsia" w:ascii="Times New Roman" w:hAnsi="Times New Roman"/>
                <w:smallCaps w:val="0"/>
                <w:color w:val="000000" w:themeColor="text1"/>
                <w:highlight w:val="none"/>
                <w14:textFill>
                  <w14:solidFill>
                    <w14:schemeClr w14:val="tx1"/>
                  </w14:solidFill>
                </w14:textFill>
              </w:rPr>
              <w:t>系统自行查看并下载。</w:t>
            </w:r>
          </w:p>
        </w:tc>
      </w:tr>
      <w:tr w14:paraId="47C6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926" w:type="dxa"/>
            <w:noWrap w:val="0"/>
            <w:vAlign w:val="center"/>
          </w:tcPr>
          <w:p w14:paraId="20B8CD2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2</w:t>
            </w:r>
          </w:p>
        </w:tc>
        <w:tc>
          <w:tcPr>
            <w:tcW w:w="1978" w:type="dxa"/>
            <w:noWrap w:val="0"/>
            <w:vAlign w:val="center"/>
          </w:tcPr>
          <w:p w14:paraId="1931A45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电子招标</w:t>
            </w:r>
            <w:r>
              <w:rPr>
                <w:rFonts w:hint="eastAsia" w:ascii="Times New Roman" w:hAnsi="Times New Roman"/>
                <w:smallCaps w:val="0"/>
                <w:color w:val="000000" w:themeColor="text1"/>
                <w:highlight w:val="none"/>
                <w:lang w:val="en-US" w:eastAsia="zh-CN"/>
                <w14:textFill>
                  <w14:solidFill>
                    <w14:schemeClr w14:val="tx1"/>
                  </w14:solidFill>
                </w14:textFill>
              </w:rPr>
              <w:t>投标</w:t>
            </w:r>
          </w:p>
        </w:tc>
        <w:tc>
          <w:tcPr>
            <w:tcW w:w="6053" w:type="dxa"/>
            <w:noWrap w:val="0"/>
            <w:vAlign w:val="center"/>
          </w:tcPr>
          <w:p w14:paraId="37F44CC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1、本项目采用电子招标投标方式，除招标文件另有规定外，电子招标投标操作要求详见本章附件《电子招投标相关要求》。</w:t>
            </w:r>
          </w:p>
          <w:p w14:paraId="2187304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2、本招标项目中电子交易系统指：</w:t>
            </w:r>
            <w:r>
              <w:rPr>
                <w:rFonts w:hint="eastAsia" w:ascii="宋体" w:hAnsi="宋体" w:eastAsia="宋体" w:cs="宋体"/>
                <w:bCs/>
                <w:snapToGrid w:val="0"/>
                <w:color w:val="000000" w:themeColor="text1"/>
                <w:kern w:val="0"/>
                <w:sz w:val="21"/>
                <w:szCs w:val="21"/>
                <w:highlight w:val="none"/>
                <w:u w:val="single"/>
                <w14:textFill>
                  <w14:solidFill>
                    <w14:schemeClr w14:val="tx1"/>
                  </w14:solidFill>
                </w14:textFill>
              </w:rPr>
              <w:t xml:space="preserve"> 淮南市公共资源交易网电子交易系统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w:t>
            </w:r>
          </w:p>
          <w:p w14:paraId="2A9BB5F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电子服务系统指：</w:t>
            </w:r>
            <w:r>
              <w:rPr>
                <w:rFonts w:hint="eastAsia" w:ascii="宋体" w:hAnsi="宋体" w:eastAsia="宋体" w:cs="宋体"/>
                <w:bCs/>
                <w:snapToGrid w:val="0"/>
                <w:color w:val="000000" w:themeColor="text1"/>
                <w:kern w:val="0"/>
                <w:sz w:val="21"/>
                <w:szCs w:val="21"/>
                <w:highlight w:val="none"/>
                <w:u w:val="single"/>
                <w14:textFill>
                  <w14:solidFill>
                    <w14:schemeClr w14:val="tx1"/>
                  </w14:solidFill>
                </w14:textFill>
              </w:rPr>
              <w:t xml:space="preserve">  同上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w:t>
            </w:r>
          </w:p>
        </w:tc>
      </w:tr>
      <w:tr w14:paraId="3236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26" w:type="dxa"/>
            <w:noWrap w:val="0"/>
            <w:vAlign w:val="center"/>
          </w:tcPr>
          <w:p w14:paraId="6B87A5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3</w:t>
            </w:r>
          </w:p>
        </w:tc>
        <w:tc>
          <w:tcPr>
            <w:tcW w:w="1978" w:type="dxa"/>
            <w:noWrap w:val="0"/>
            <w:vAlign w:val="center"/>
          </w:tcPr>
          <w:p w14:paraId="60312CE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相关政策要求</w:t>
            </w:r>
            <w:r>
              <w:rPr>
                <w:rStyle w:val="28"/>
                <w:rFonts w:hint="eastAsia" w:ascii="Times New Roman" w:hAnsi="Times New Roman" w:cs="宋体"/>
                <w:bCs/>
                <w:smallCaps w:val="0"/>
                <w:snapToGrid w:val="0"/>
                <w:color w:val="000000" w:themeColor="text1"/>
                <w:kern w:val="0"/>
                <w:szCs w:val="20"/>
                <w:highlight w:val="none"/>
                <w14:textFill>
                  <w14:solidFill>
                    <w14:schemeClr w14:val="tx1"/>
                  </w14:solidFill>
                </w14:textFill>
              </w:rPr>
              <w:footnoteReference w:id="30"/>
            </w:r>
          </w:p>
        </w:tc>
        <w:tc>
          <w:tcPr>
            <w:tcW w:w="6053" w:type="dxa"/>
            <w:noWrap w:val="0"/>
            <w:vAlign w:val="center"/>
          </w:tcPr>
          <w:p w14:paraId="17D6D68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（1）关于投标保证金、履约保证金、工程质量保证金</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w:t>
            </w:r>
            <w:r>
              <w:rPr>
                <w:rFonts w:hint="eastAsia" w:ascii="Times New Roman" w:hAnsi="Times New Roman"/>
                <w:smallCaps w:val="0"/>
                <w:color w:val="000000" w:themeColor="text1"/>
                <w:highlight w:val="none"/>
                <w:lang w:eastAsia="zh-CN"/>
                <w14:textFill>
                  <w14:solidFill>
                    <w14:schemeClr w14:val="tx1"/>
                  </w14:solidFill>
                </w14:textFill>
              </w:rPr>
              <w:t>安徽省住房城乡建设厅等</w:t>
            </w:r>
            <w:r>
              <w:rPr>
                <w:rFonts w:hint="eastAsia" w:ascii="Times New Roman" w:hAnsi="Times New Roman"/>
                <w:smallCaps w:val="0"/>
                <w:color w:val="000000" w:themeColor="text1"/>
                <w:highlight w:val="none"/>
                <w:lang w:val="en-US" w:eastAsia="zh-CN"/>
                <w14:textFill>
                  <w14:solidFill>
                    <w14:schemeClr w14:val="tx1"/>
                  </w14:solidFill>
                </w14:textFill>
              </w:rPr>
              <w:t>6部门</w:t>
            </w:r>
            <w:r>
              <w:rPr>
                <w:rFonts w:hint="eastAsia" w:ascii="Times New Roman" w:hAnsi="Times New Roman"/>
                <w:smallCaps w:val="0"/>
                <w:color w:val="000000" w:themeColor="text1"/>
                <w:highlight w:val="none"/>
                <w14:textFill>
                  <w14:solidFill>
                    <w14:schemeClr w14:val="tx1"/>
                  </w14:solidFill>
                </w14:textFill>
              </w:rPr>
              <w:t>《关于加快推进房屋建筑和市政基础设施工程实行工程担保制度的通知》（建市〔2020〕84号）。</w:t>
            </w:r>
          </w:p>
          <w:p w14:paraId="50A96E4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hint="eastAsia" w:ascii="Times New Roman" w:hAnsi="Times New Roman"/>
                <w:smallCaps w:val="0"/>
                <w:color w:val="000000" w:themeColor="text1"/>
                <w:highlight w:val="none"/>
                <w14:textFill>
                  <w14:solidFill>
                    <w14:schemeClr w14:val="tx1"/>
                  </w14:solidFill>
                </w14:textFill>
              </w:rPr>
              <w:t>）关于发包人工程款支付担保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w:t>
            </w:r>
            <w:r>
              <w:rPr>
                <w:rFonts w:hint="eastAsia" w:ascii="Times New Roman" w:hAnsi="Times New Roman"/>
                <w:smallCaps w:val="0"/>
                <w:color w:val="000000" w:themeColor="text1"/>
                <w:highlight w:val="none"/>
                <w:lang w:eastAsia="zh-CN"/>
                <w14:textFill>
                  <w14:solidFill>
                    <w14:schemeClr w14:val="tx1"/>
                  </w14:solidFill>
                </w14:textFill>
              </w:rPr>
              <w:t>安徽省住房城乡建设厅等</w:t>
            </w:r>
            <w:r>
              <w:rPr>
                <w:rFonts w:hint="eastAsia" w:ascii="Times New Roman" w:hAnsi="Times New Roman"/>
                <w:smallCaps w:val="0"/>
                <w:color w:val="000000" w:themeColor="text1"/>
                <w:highlight w:val="none"/>
                <w:lang w:val="en-US" w:eastAsia="zh-CN"/>
                <w14:textFill>
                  <w14:solidFill>
                    <w14:schemeClr w14:val="tx1"/>
                  </w14:solidFill>
                </w14:textFill>
              </w:rPr>
              <w:t>3部门</w:t>
            </w:r>
            <w:r>
              <w:rPr>
                <w:rFonts w:hint="eastAsia" w:ascii="Times New Roman" w:hAnsi="Times New Roman"/>
                <w:smallCaps w:val="0"/>
                <w:color w:val="000000" w:themeColor="text1"/>
                <w:highlight w:val="none"/>
                <w14:textFill>
                  <w14:solidFill>
                    <w14:schemeClr w14:val="tx1"/>
                  </w14:solidFill>
                </w14:textFill>
              </w:rPr>
              <w:t>《关于加强房屋建筑和市政基础设施工程建设领域工程款支付担保管理工作的通知》（建市〔2022〕54号）。</w:t>
            </w:r>
          </w:p>
          <w:p w14:paraId="5A316E8C">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3</w:t>
            </w:r>
            <w:r>
              <w:rPr>
                <w:rFonts w:hint="eastAsia" w:ascii="Times New Roman" w:hAnsi="Times New Roman"/>
                <w:smallCaps w:val="0"/>
                <w:color w:val="000000" w:themeColor="text1"/>
                <w:highlight w:val="none"/>
                <w14:textFill>
                  <w14:solidFill>
                    <w14:schemeClr w14:val="tx1"/>
                  </w14:solidFill>
                </w14:textFill>
              </w:rPr>
              <w:t>）保证保险产品应按《中国银保监会办公厅关于进一步加强和改进财产保险公司产品监管有关问题的通知》执行。</w:t>
            </w:r>
          </w:p>
          <w:p w14:paraId="74198FC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lang w:eastAsia="zh-CN"/>
                <w14:textFill>
                  <w14:solidFill>
                    <w14:schemeClr w14:val="tx1"/>
                  </w14:solidFill>
                </w14:textFill>
              </w:rPr>
              <w:t>）模型建设和应用技术服务收费，</w:t>
            </w:r>
            <w:r>
              <w:rPr>
                <w:rFonts w:hint="eastAsia" w:ascii="Times New Roman" w:hAnsi="Times New Roman"/>
                <w:smallCaps w:val="0"/>
                <w:color w:val="000000" w:themeColor="text1"/>
                <w:highlight w:val="none"/>
                <w:lang w:val="en-US" w:eastAsia="zh-CN"/>
                <w14:textFill>
                  <w14:solidFill>
                    <w14:schemeClr w14:val="tx1"/>
                  </w14:solidFill>
                </w14:textFill>
              </w:rPr>
              <w:t>可参考</w:t>
            </w:r>
            <w:r>
              <w:rPr>
                <w:rFonts w:hint="eastAsia" w:ascii="Times New Roman" w:hAnsi="Times New Roman"/>
                <w:smallCaps w:val="0"/>
                <w:color w:val="000000" w:themeColor="text1"/>
                <w:highlight w:val="none"/>
                <w:lang w:eastAsia="zh-CN"/>
                <w14:textFill>
                  <w14:solidFill>
                    <w14:schemeClr w14:val="tx1"/>
                  </w14:solidFill>
                </w14:textFill>
              </w:rPr>
              <w:t>《安徽省建筑信息模型（</w:t>
            </w:r>
            <w:r>
              <w:rPr>
                <w:rFonts w:hint="eastAsia" w:ascii="Times New Roman" w:hAnsi="Times New Roman"/>
                <w:smallCaps w:val="0"/>
                <w:color w:val="000000" w:themeColor="text1"/>
                <w:highlight w:val="none"/>
                <w:lang w:val="en-US" w:eastAsia="zh-CN"/>
                <w14:textFill>
                  <w14:solidFill>
                    <w14:schemeClr w14:val="tx1"/>
                  </w14:solidFill>
                </w14:textFill>
              </w:rPr>
              <w:t>BIM</w:t>
            </w:r>
            <w:r>
              <w:rPr>
                <w:rFonts w:hint="eastAsia" w:ascii="Times New Roman" w:hAnsi="Times New Roman"/>
                <w:smallCaps w:val="0"/>
                <w:color w:val="000000" w:themeColor="text1"/>
                <w:highlight w:val="none"/>
                <w:lang w:eastAsia="zh-CN"/>
                <w14:textFill>
                  <w14:solidFill>
                    <w14:schemeClr w14:val="tx1"/>
                  </w14:solidFill>
                </w14:textFill>
              </w:rPr>
              <w:t>）技术服务计费参考依据》（建标函〔2020〕935号）。</w:t>
            </w:r>
          </w:p>
          <w:p w14:paraId="788749DF">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lang w:eastAsia="zh-CN"/>
                <w14:textFill>
                  <w14:solidFill>
                    <w14:schemeClr w14:val="tx1"/>
                  </w14:solidFill>
                </w14:textFill>
              </w:rPr>
              <w:t>）承包人须按《保障农民工工资支付条例》（国令第724号）、《工程建设领域农民工工资专用账户管理暂行办法》（人社部发〔2021〕53号）、《关于建立长效机制切实保障建筑行业农民工工资支付工作的通知》（安徽省建设厅建市函〔2022〕490号）、《安徽省工程建设领域农民工工资支付与监管指引（第一版）》（皖人社秘〔2022〕230号）、《关于建立保障建筑行业农民工工资支付工作长效机制的通知》（淮建管联﹝2022﹞99号）等规定规范用工行为，依法与招用的农民工签订劳动合同；并按规定及时足额支付工资，落实保障农民工工资支付的政策要求。如中标后查证中标单位在本项目中存在拖欠农民工工资的行为，必须在招标人限定的时间内完成支付，否则发包人有权代为支付并从承包人款项中扣除，履约保证金（如有）不予退还。</w:t>
            </w:r>
          </w:p>
          <w:p w14:paraId="68C246A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6</w:t>
            </w:r>
            <w:r>
              <w:rPr>
                <w:rFonts w:hint="eastAsia" w:ascii="Times New Roman" w:hAnsi="Times New Roman"/>
                <w:smallCaps w:val="0"/>
                <w:color w:val="000000" w:themeColor="text1"/>
                <w:highlight w:val="none"/>
                <w:lang w:eastAsia="zh-CN"/>
                <w14:textFill>
                  <w14:solidFill>
                    <w14:schemeClr w14:val="tx1"/>
                  </w14:solidFill>
                </w14:textFill>
              </w:rPr>
              <w:t>）中标承包单位应在符合条件的商业银行设立农民工工资专用账户，并与建设单位、开户银行签订资金管理三方协议。承包单位在专用账户开立后 3 日内将专户信息录入“淮南市保障农民工工资支付信息化系统”，并向属地人社部门和行业管理部门备案严格执行建筑领域劳务用工工资支付管理制度。</w:t>
            </w:r>
          </w:p>
          <w:p w14:paraId="70E2B01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7</w:t>
            </w:r>
            <w:r>
              <w:rPr>
                <w:rFonts w:hint="eastAsia" w:ascii="Times New Roman" w:hAnsi="Times New Roman"/>
                <w:smallCaps w:val="0"/>
                <w:color w:val="000000" w:themeColor="text1"/>
                <w:highlight w:val="none"/>
                <w:lang w:eastAsia="zh-CN"/>
                <w14:textFill>
                  <w14:solidFill>
                    <w14:schemeClr w14:val="tx1"/>
                  </w14:solidFill>
                </w14:textFill>
              </w:rPr>
              <w:t>）注册地不在淮南市行政区域范围（包括两县）的中标人，应按照《纳税人跨县（市、区）提供建筑服务增值税征收管理暂行办法》（国家税务总局公告2016年第17号）规定，在建筑服务发生地及时足额缴纳增值税。</w:t>
            </w:r>
          </w:p>
          <w:p w14:paraId="42BBA070">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lang w:eastAsia="zh-CN"/>
                <w14:textFill>
                  <w14:solidFill>
                    <w14:schemeClr w14:val="tx1"/>
                  </w14:solidFill>
                </w14:textFill>
              </w:rPr>
              <w:t>）承包人应按照国家、省市相关管理规定，到工程项目所在地社会保险基金征缴机构办理工伤保险参保登记手续。</w:t>
            </w:r>
          </w:p>
          <w:p w14:paraId="3AE8547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lang w:eastAsia="zh-CN"/>
                <w14:textFill>
                  <w14:solidFill>
                    <w14:schemeClr w14:val="tx1"/>
                  </w14:solidFill>
                </w14:textFill>
              </w:rPr>
              <w:t>）招标人应遵照淮南市司法局和淮南市公共资源交易监督管理局联合发布的《关于开展公共资源交易现场监督公证的意见》（淮司发〔2019〕29号）规定实行公证机构现场监督公证。</w:t>
            </w:r>
          </w:p>
          <w:p w14:paraId="0750F89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10</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XXXXX</w:t>
            </w:r>
          </w:p>
        </w:tc>
      </w:tr>
      <w:tr w14:paraId="7E74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926" w:type="dxa"/>
            <w:noWrap w:val="0"/>
            <w:vAlign w:val="center"/>
          </w:tcPr>
          <w:p w14:paraId="0F0580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p>
        </w:tc>
        <w:tc>
          <w:tcPr>
            <w:tcW w:w="1978" w:type="dxa"/>
            <w:noWrap w:val="0"/>
            <w:vAlign w:val="center"/>
          </w:tcPr>
          <w:p w14:paraId="63FE232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评标过程中的澄清、说明或补正</w:t>
            </w:r>
          </w:p>
        </w:tc>
        <w:tc>
          <w:tcPr>
            <w:tcW w:w="6053" w:type="dxa"/>
            <w:noWrap w:val="0"/>
            <w:vAlign w:val="center"/>
          </w:tcPr>
          <w:p w14:paraId="3518554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（1）评标委员会通过电子交易系统将需要澄清、说明或补正的内容以询标函的形式发送给投标人，投标人应安排专人登录电子交易系统并保持在线状态，以便及时接收评标委员会可能发出的询标函。</w:t>
            </w:r>
          </w:p>
          <w:p w14:paraId="7B1D50C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因投标人未登录电子交易系统导致无法及时接收询标函（远程网上询标）或未在规定时间内（询标函发出后30分钟内）按评标委员会要求进行澄清、说明或补正内容的视同投标人放弃澄清、说明或补正内容的权利，评标委员会可按对投标人不利的解释进行判定。</w:t>
            </w:r>
          </w:p>
        </w:tc>
      </w:tr>
      <w:tr w14:paraId="73A3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 w:type="dxa"/>
            <w:noWrap w:val="0"/>
            <w:vAlign w:val="center"/>
          </w:tcPr>
          <w:p w14:paraId="4981041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.5</w:t>
            </w:r>
          </w:p>
        </w:tc>
        <w:tc>
          <w:tcPr>
            <w:tcW w:w="1978" w:type="dxa"/>
            <w:noWrap w:val="0"/>
            <w:vAlign w:val="center"/>
          </w:tcPr>
          <w:p w14:paraId="7D8E754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投标人对所提供材料应承担的责任</w:t>
            </w:r>
          </w:p>
        </w:tc>
        <w:tc>
          <w:tcPr>
            <w:tcW w:w="6053" w:type="dxa"/>
            <w:noWrap w:val="0"/>
            <w:vAlign w:val="center"/>
          </w:tcPr>
          <w:p w14:paraId="226AF0D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（1）投标人提供虚假材料谋取中标的，</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将依法处理。</w:t>
            </w:r>
          </w:p>
          <w:p w14:paraId="317A8BF9">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（2）投标人对所提供的材料承担缔约过失责任和法律责任。若投诉人或举报人对前述材料存在争议，进行有效投诉或举报，被投诉人、被举报人应当主动配合</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调查，并在规定期限内举证，提供有关证明材料；拒绝配合调查，且未在规定期限内举证、提供证明材料的，</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将依法处理。</w:t>
            </w:r>
          </w:p>
        </w:tc>
      </w:tr>
      <w:tr w14:paraId="0771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26" w:type="dxa"/>
            <w:noWrap w:val="0"/>
            <w:vAlign w:val="center"/>
          </w:tcPr>
          <w:p w14:paraId="21CC075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.6</w:t>
            </w:r>
          </w:p>
        </w:tc>
        <w:tc>
          <w:tcPr>
            <w:tcW w:w="1978" w:type="dxa"/>
            <w:noWrap w:val="0"/>
            <w:vAlign w:val="center"/>
          </w:tcPr>
          <w:p w14:paraId="675D1B3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中标人未履行相关义务的责任</w:t>
            </w:r>
          </w:p>
        </w:tc>
        <w:tc>
          <w:tcPr>
            <w:tcW w:w="6053" w:type="dxa"/>
            <w:noWrap w:val="0"/>
            <w:vAlign w:val="center"/>
          </w:tcPr>
          <w:p w14:paraId="6837110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中标人未履行相关义务的，</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将依法对中标人进行处理，追究相关责任</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B937EB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（1）中标后，中标人被</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查实存在违法行为，不满足中标条件的，由招标人取消其中标资格，并做好项目后续工作；</w:t>
            </w:r>
          </w:p>
          <w:p w14:paraId="45CA0F8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（2）中标人应在规定期限内提交履约保证金并与招标人签订合同，若中标人未能在规定期限内提交履约保证金或签订合同，招标人有权取消其中标资格，并报</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w:t>
            </w:r>
          </w:p>
          <w:p w14:paraId="758BF1F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（3）合同签订后，中标人存在规定时间内不进场开工、不履行合同义务等情况，招标人有权解除合同，追究其违约责任，并报</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w:t>
            </w:r>
          </w:p>
        </w:tc>
      </w:tr>
      <w:tr w14:paraId="2BC8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926" w:type="dxa"/>
            <w:noWrap w:val="0"/>
            <w:vAlign w:val="center"/>
          </w:tcPr>
          <w:p w14:paraId="2885985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.7</w:t>
            </w:r>
          </w:p>
        </w:tc>
        <w:tc>
          <w:tcPr>
            <w:tcW w:w="1978" w:type="dxa"/>
            <w:noWrap w:val="0"/>
            <w:vAlign w:val="center"/>
          </w:tcPr>
          <w:p w14:paraId="494FCEDE">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对投标人的其他要求</w:t>
            </w:r>
          </w:p>
        </w:tc>
        <w:tc>
          <w:tcPr>
            <w:tcW w:w="6053" w:type="dxa"/>
            <w:noWrap w:val="0"/>
            <w:vAlign w:val="center"/>
          </w:tcPr>
          <w:p w14:paraId="09ED145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项目经理必须是投标人本单位工作人员，提供虚假资料谋取中标将被依法处罚。</w:t>
            </w:r>
          </w:p>
        </w:tc>
      </w:tr>
      <w:tr w14:paraId="0A65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00225AF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8</w:t>
            </w:r>
          </w:p>
        </w:tc>
        <w:tc>
          <w:tcPr>
            <w:tcW w:w="1978" w:type="dxa"/>
            <w:noWrap w:val="0"/>
            <w:vAlign w:val="center"/>
          </w:tcPr>
          <w:p w14:paraId="60878E1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解释权</w:t>
            </w:r>
          </w:p>
        </w:tc>
        <w:tc>
          <w:tcPr>
            <w:tcW w:w="6053" w:type="dxa"/>
            <w:noWrap w:val="0"/>
            <w:vAlign w:val="center"/>
          </w:tcPr>
          <w:p w14:paraId="7C6CC70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(1)构成本招标文件的各个组成文件应互为解释，互为说明；</w:t>
            </w:r>
          </w:p>
          <w:p w14:paraId="20A6C89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(2)同一组成文件中就同一事项的规定或约定不一致的，以编排顺序在后者为准；</w:t>
            </w:r>
          </w:p>
          <w:p w14:paraId="1C61982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(3)如有不明确或不一致，构成合同文件组成内容的，以合同文件约定内容为准，且以专用合同条款约定的合同文件优先顺序解释；</w:t>
            </w:r>
          </w:p>
          <w:p w14:paraId="3646B8E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(4)除招标文件中有特别规定外，仅适用于招标投标阶段的规定，按招标公告、投标人须知、评标办法、投标文件格式的先后顺序解释；</w:t>
            </w:r>
            <w:r>
              <w:rPr>
                <w:rFonts w:hint="eastAsia" w:ascii="宋体" w:hAnsi="宋体" w:eastAsia="宋体" w:cs="宋体"/>
                <w:color w:val="000000" w:themeColor="text1"/>
                <w:highlight w:val="none"/>
                <w14:textFill>
                  <w14:solidFill>
                    <w14:schemeClr w14:val="tx1"/>
                  </w14:solidFill>
                </w14:textFill>
              </w:rPr>
              <w:t>表格内文字约定效力优先于非表格文字约定效力。</w:t>
            </w:r>
          </w:p>
          <w:p w14:paraId="01A65B3F">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(5)按本款前述规定仍不能形成结论的，由招标人负责解释。</w:t>
            </w:r>
          </w:p>
        </w:tc>
      </w:tr>
      <w:tr w14:paraId="7DD2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26" w:type="dxa"/>
            <w:noWrap w:val="0"/>
            <w:vAlign w:val="center"/>
          </w:tcPr>
          <w:p w14:paraId="184299C0">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11.9</w:t>
            </w:r>
          </w:p>
        </w:tc>
        <w:tc>
          <w:tcPr>
            <w:tcW w:w="1978" w:type="dxa"/>
            <w:noWrap w:val="0"/>
            <w:vAlign w:val="center"/>
          </w:tcPr>
          <w:p w14:paraId="57971A7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异议、投诉提出方式</w:t>
            </w:r>
          </w:p>
        </w:tc>
        <w:tc>
          <w:tcPr>
            <w:tcW w:w="6053" w:type="dxa"/>
            <w:noWrap w:val="0"/>
            <w:vAlign w:val="center"/>
          </w:tcPr>
          <w:p w14:paraId="3F76319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投标人如对招投标事项有异议，应按国家相关法律规定以及淮南市公共资源交易监督管理局相关规定要求先以书面形式向招标人或招标代理机构提出。</w:t>
            </w:r>
          </w:p>
          <w:p w14:paraId="3876E32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异议材料</w:t>
            </w:r>
            <w:r>
              <w:rPr>
                <w:rFonts w:hint="eastAsia" w:ascii="宋体" w:hAnsi="宋体" w:eastAsia="宋体" w:cs="宋体"/>
                <w:color w:val="000000" w:themeColor="text1"/>
                <w:sz w:val="21"/>
                <w:szCs w:val="21"/>
                <w:highlight w:val="none"/>
                <w14:textFill>
                  <w14:solidFill>
                    <w14:schemeClr w14:val="tx1"/>
                  </w14:solidFill>
                </w14:textFill>
              </w:rPr>
              <w:t>符合《淮南市公共资源交易质疑处理暂行办法》（淮公管〔2016〕40号）以及《淮南市公共资源交易监督管理局办理公共资源交易领域信访举报工作暂行办法》（淮公管〔2022〕43号）文件规定。符合“谁质疑，谁举证”原则，事实清楚，主张明确，须提供确凿有力的证明材料或证据线索。不符合上述规定的不予受理。</w:t>
            </w:r>
          </w:p>
          <w:p w14:paraId="1ACC7CA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禁止虚假恶意投诉，对虚假恶意投诉的，视情节予以处罚。如无效投诉的给予记不良记录。</w:t>
            </w:r>
          </w:p>
          <w:p w14:paraId="01A6C83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投标人(或潜在投标人）如对招投标过程、结果或相关事项有异议(质疑)，可通过</w:t>
            </w:r>
            <w:r>
              <w:rPr>
                <w:rFonts w:hint="eastAsia" w:ascii="宋体" w:hAnsi="宋体" w:eastAsia="宋体" w:cs="宋体"/>
                <w:color w:val="000000" w:themeColor="text1"/>
                <w:sz w:val="21"/>
                <w:szCs w:val="21"/>
                <w:highlight w:val="none"/>
                <w:lang w:val="en-US" w:eastAsia="zh-CN"/>
                <w14:textFill>
                  <w14:solidFill>
                    <w14:schemeClr w14:val="tx1"/>
                  </w14:solidFill>
                </w14:textFill>
              </w:rPr>
              <w:t>淮南</w:t>
            </w:r>
            <w:r>
              <w:rPr>
                <w:rFonts w:hint="eastAsia" w:ascii="宋体" w:hAnsi="宋体" w:eastAsia="宋体" w:cs="宋体"/>
                <w:color w:val="000000" w:themeColor="text1"/>
                <w:sz w:val="21"/>
                <w:szCs w:val="21"/>
                <w:highlight w:val="none"/>
                <w14:textFill>
                  <w14:solidFill>
                    <w14:schemeClr w14:val="tx1"/>
                  </w14:solidFill>
                </w14:textFill>
              </w:rPr>
              <w:t>市公共资源电子交易系统在线依法提出，电子签章后提交。招标人、招行代理机构在线依法作出答复。对异议答复不满意或招标人、招标代理机构未在法定期限内答复的，投标人(或潜在投标人)可通过市公共资源电子交易系统在线依法向监管部门提出投诉。电子签章后在线提交，监管部门可在线依法受理投诉并作出投诉处理决定。</w:t>
            </w:r>
          </w:p>
          <w:p w14:paraId="3E25DE2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工程建设项目投诉按照《工程建设项目招标投标活动投诉处理办法》规定程序办理。</w:t>
            </w:r>
          </w:p>
          <w:p w14:paraId="4220188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投诉咨询电话：</w:t>
            </w:r>
          </w:p>
          <w:p w14:paraId="722A313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淮南市公共资源交易中心 </w:t>
            </w:r>
            <w:r>
              <w:rPr>
                <w:rFonts w:hint="eastAsia" w:ascii="宋体" w:hAnsi="宋体" w:eastAsia="宋体" w:cs="宋体"/>
                <w:color w:val="000000" w:themeColor="text1"/>
                <w:sz w:val="21"/>
                <w:szCs w:val="21"/>
                <w:highlight w:val="none"/>
                <w14:textFill>
                  <w14:solidFill>
                    <w14:schemeClr w14:val="tx1"/>
                  </w14:solidFill>
                </w14:textFill>
              </w:rPr>
              <w:t>0554-6818015</w:t>
            </w:r>
          </w:p>
          <w:p w14:paraId="70D933F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52"/>
            </w:r>
            <w:r>
              <w:rPr>
                <w:rFonts w:hint="eastAsia" w:ascii="宋体" w:hAnsi="宋体" w:eastAsia="宋体" w:cs="宋体"/>
                <w:color w:val="000000" w:themeColor="text1"/>
                <w:sz w:val="21"/>
                <w:szCs w:val="21"/>
                <w:highlight w:val="none"/>
                <w:lang w:val="en-US" w:eastAsia="zh-CN"/>
                <w14:textFill>
                  <w14:solidFill>
                    <w14:schemeClr w14:val="tx1"/>
                  </w14:solidFill>
                </w14:textFill>
              </w:rPr>
              <w:t>寿县公共资源交易</w:t>
            </w:r>
            <w:r>
              <w:rPr>
                <w:rFonts w:hint="eastAsia" w:ascii="宋体" w:hAnsi="宋体" w:cs="宋体"/>
                <w:color w:val="000000" w:themeColor="text1"/>
                <w:sz w:val="21"/>
                <w:szCs w:val="21"/>
                <w:highlight w:val="none"/>
                <w:lang w:val="en-US" w:eastAsia="zh-CN"/>
                <w14:textFill>
                  <w14:solidFill>
                    <w14:schemeClr w14:val="tx1"/>
                  </w14:solidFill>
                </w14:textFill>
              </w:rPr>
              <w:t>服务</w:t>
            </w:r>
            <w:r>
              <w:rPr>
                <w:rFonts w:hint="eastAsia" w:ascii="宋体" w:hAnsi="宋体" w:eastAsia="宋体" w:cs="宋体"/>
                <w:color w:val="000000" w:themeColor="text1"/>
                <w:sz w:val="21"/>
                <w:szCs w:val="21"/>
                <w:highlight w:val="none"/>
                <w:lang w:val="en-US" w:eastAsia="zh-CN"/>
                <w14:textFill>
                  <w14:solidFill>
                    <w14:schemeClr w14:val="tx1"/>
                  </w14:solidFill>
                </w14:textFill>
              </w:rPr>
              <w:t>中心 0554-XXXXXXX</w:t>
            </w:r>
          </w:p>
          <w:p w14:paraId="5591943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宋体" w:hAnsi="宋体" w:eastAsia="宋体" w:cs="宋体"/>
                <w:smallCaps w:val="0"/>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52"/>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凤台县公共资源交易中心 </w:t>
            </w:r>
            <w:r>
              <w:rPr>
                <w:rFonts w:hint="eastAsia" w:ascii="宋体" w:hAnsi="宋体" w:eastAsia="宋体" w:cs="宋体"/>
                <w:color w:val="000000" w:themeColor="text1"/>
                <w:sz w:val="21"/>
                <w:szCs w:val="21"/>
                <w:highlight w:val="none"/>
                <w:lang w:val="en-US" w:eastAsia="zh-CN"/>
                <w14:textFill>
                  <w14:solidFill>
                    <w14:schemeClr w14:val="tx1"/>
                  </w14:solidFill>
                </w14:textFill>
              </w:rPr>
              <w:t>0554-XXXXXXX</w:t>
            </w:r>
          </w:p>
          <w:p w14:paraId="5521563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对于投诉人捏造事实、伪造材料或者以非法手段取得证明材料投诉的，</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将</w:t>
            </w:r>
            <w:r>
              <w:rPr>
                <w:rFonts w:hint="eastAsia" w:ascii="Times New Roman" w:hAnsi="Times New Roman"/>
                <w:smallCaps w:val="0"/>
                <w:color w:val="000000" w:themeColor="text1"/>
                <w:highlight w:val="none"/>
                <w:lang w:eastAsia="zh-CN"/>
                <w14:textFill>
                  <w14:solidFill>
                    <w14:schemeClr w14:val="tx1"/>
                  </w14:solidFill>
                </w14:textFill>
              </w:rPr>
              <w:t>依法依规处理</w:t>
            </w:r>
            <w:r>
              <w:rPr>
                <w:rFonts w:hint="eastAsia" w:ascii="Times New Roman" w:hAnsi="Times New Roman"/>
                <w:smallCaps w:val="0"/>
                <w:color w:val="000000" w:themeColor="text1"/>
                <w:highlight w:val="none"/>
                <w14:textFill>
                  <w14:solidFill>
                    <w14:schemeClr w14:val="tx1"/>
                  </w14:solidFill>
                </w14:textFill>
              </w:rPr>
              <w:t>。</w:t>
            </w:r>
          </w:p>
        </w:tc>
      </w:tr>
      <w:tr w14:paraId="5ECF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926" w:type="dxa"/>
            <w:noWrap w:val="0"/>
            <w:vAlign w:val="center"/>
          </w:tcPr>
          <w:p w14:paraId="5131AD21">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10</w:t>
            </w:r>
          </w:p>
        </w:tc>
        <w:tc>
          <w:tcPr>
            <w:tcW w:w="1978" w:type="dxa"/>
            <w:noWrap w:val="0"/>
            <w:vAlign w:val="center"/>
          </w:tcPr>
          <w:p w14:paraId="105D3E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w:t>
            </w:r>
            <w:r>
              <w:rPr>
                <w:rFonts w:hint="eastAsia" w:ascii="Times New Roman" w:hAnsi="Times New Roman"/>
                <w:smallCaps w:val="0"/>
                <w:color w:val="000000" w:themeColor="text1"/>
                <w:highlight w:val="none"/>
                <w:lang w:eastAsia="zh-CN"/>
                <w14:textFill>
                  <w14:solidFill>
                    <w14:schemeClr w14:val="tx1"/>
                  </w14:solidFill>
                </w14:textFill>
              </w:rPr>
              <w:t>文件制作</w:t>
            </w:r>
          </w:p>
          <w:p w14:paraId="6687189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注意事项</w:t>
            </w:r>
          </w:p>
        </w:tc>
        <w:tc>
          <w:tcPr>
            <w:tcW w:w="6053" w:type="dxa"/>
            <w:noWrap w:val="0"/>
            <w:vAlign w:val="center"/>
          </w:tcPr>
          <w:p w14:paraId="4DD612B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sz w:val="21"/>
                <w:szCs w:val="21"/>
                <w:highlight w:val="none"/>
                <w14:textFill>
                  <w14:solidFill>
                    <w14:schemeClr w14:val="tx1"/>
                  </w14:solidFill>
                </w14:textFill>
              </w:rPr>
            </w:pPr>
            <w:r>
              <w:rPr>
                <w:rFonts w:hint="eastAsia" w:ascii="Times New Roman" w:hAnsi="Times New Roman"/>
                <w:smallCaps w:val="0"/>
                <w:color w:val="000000" w:themeColor="text1"/>
                <w:sz w:val="21"/>
                <w:szCs w:val="21"/>
                <w:highlight w:val="none"/>
                <w14:textFill>
                  <w14:solidFill>
                    <w14:schemeClr w14:val="tx1"/>
                  </w14:solidFill>
                </w14:textFill>
              </w:rPr>
              <w:t>（1）投标文件使用最新版投标文件制作工具制作生成。</w:t>
            </w:r>
          </w:p>
          <w:p w14:paraId="3BD0C01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smallCaps w:val="0"/>
                <w:color w:val="000000" w:themeColor="text1"/>
                <w:sz w:val="21"/>
                <w:szCs w:val="21"/>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1"/>
                <w:highlight w:val="none"/>
                <w14:textFill>
                  <w14:solidFill>
                    <w14:schemeClr w14:val="tx1"/>
                  </w14:solidFill>
                </w14:textFill>
              </w:rPr>
              <w:t>（2）投标文件制作的具体方法</w:t>
            </w:r>
            <w:r>
              <w:rPr>
                <w:rStyle w:val="28"/>
                <w:rFonts w:hint="eastAsia" w:ascii="Times New Roman" w:hAnsi="Times New Roman" w:cs="宋体"/>
                <w:smallCaps w:val="0"/>
                <w:color w:val="000000" w:themeColor="text1"/>
                <w:sz w:val="21"/>
                <w:szCs w:val="21"/>
                <w:highlight w:val="none"/>
                <w14:textFill>
                  <w14:solidFill>
                    <w14:schemeClr w14:val="tx1"/>
                  </w14:solidFill>
                </w14:textFill>
              </w:rPr>
              <w:footnoteReference w:id="31"/>
            </w:r>
            <w:r>
              <w:rPr>
                <w:rFonts w:hint="eastAsia" w:ascii="Times New Roman" w:hAnsi="Times New Roman"/>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smallCaps w:val="0"/>
                <w:color w:val="000000" w:themeColor="text1"/>
                <w:sz w:val="21"/>
                <w:szCs w:val="21"/>
                <w:highlight w:val="none"/>
                <w:u w:val="single"/>
                <w:lang w:val="en-US" w:eastAsia="zh-CN"/>
                <w14:textFill>
                  <w14:solidFill>
                    <w14:schemeClr w14:val="tx1"/>
                  </w14:solidFill>
                </w14:textFill>
              </w:rPr>
              <w:t>详见淮南市公共资源交易中心网站中《投标人--电子交易系统操作手册》</w:t>
            </w:r>
            <w:r>
              <w:rPr>
                <w:rFonts w:hint="eastAsia" w:ascii="Times New Roman" w:hAnsi="Times New Roman"/>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sz w:val="21"/>
                <w:szCs w:val="21"/>
                <w:highlight w:val="none"/>
                <w:lang w:val="en-US" w:eastAsia="zh-CN"/>
                <w14:textFill>
                  <w14:solidFill>
                    <w14:schemeClr w14:val="tx1"/>
                  </w14:solidFill>
                </w14:textFill>
              </w:rPr>
              <w:t>，如有技术问题请联系</w:t>
            </w:r>
            <w:r>
              <w:rPr>
                <w:rFonts w:hint="eastAsia" w:ascii="Times New Roman" w:hAnsi="Times New Roman"/>
                <w:smallCaps w:val="0"/>
                <w:color w:val="000000" w:themeColor="text1"/>
                <w:sz w:val="21"/>
                <w:szCs w:val="21"/>
                <w:highlight w:val="none"/>
                <w:u w:val="none"/>
                <w:lang w:val="en-US" w:eastAsia="zh-CN"/>
                <w14:textFill>
                  <w14:solidFill>
                    <w14:schemeClr w14:val="tx1"/>
                  </w14:solidFill>
                </w14:textFill>
              </w:rPr>
              <w:t>：</w:t>
            </w:r>
            <w:r>
              <w:rPr>
                <w:rFonts w:hint="eastAsia" w:ascii="Times New Roman" w:hAnsi="Times New Roman"/>
                <w:smallCaps w:val="0"/>
                <w:color w:val="000000" w:themeColor="text1"/>
                <w:sz w:val="21"/>
                <w:szCs w:val="21"/>
                <w:highlight w:val="none"/>
                <w:u w:val="single"/>
                <w14:textFill>
                  <w14:solidFill>
                    <w14:schemeClr w14:val="tx1"/>
                  </w14:solidFill>
                </w14:textFill>
              </w:rPr>
              <w:t xml:space="preserve"> 0512-58188516</w:t>
            </w:r>
            <w:r>
              <w:rPr>
                <w:rFonts w:hint="eastAsia" w:ascii="Times New Roman" w:hAnsi="Times New Roman"/>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sz w:val="21"/>
                <w:szCs w:val="21"/>
                <w:highlight w:val="none"/>
                <w:lang w:val="en-US" w:eastAsia="zh-CN"/>
                <w14:textFill>
                  <w14:solidFill>
                    <w14:schemeClr w14:val="tx1"/>
                  </w14:solidFill>
                </w14:textFill>
              </w:rPr>
              <w:t>。</w:t>
            </w:r>
          </w:p>
          <w:p w14:paraId="692E3519">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sz w:val="21"/>
                <w:szCs w:val="21"/>
                <w:highlight w:val="none"/>
                <w14:textFill>
                  <w14:solidFill>
                    <w14:schemeClr w14:val="tx1"/>
                  </w14:solidFill>
                </w14:textFill>
              </w:rPr>
            </w:pPr>
            <w:r>
              <w:rPr>
                <w:rFonts w:hint="eastAsia" w:ascii="Times New Roman" w:hAnsi="Times New Roman"/>
                <w:smallCaps w:val="0"/>
                <w:color w:val="000000" w:themeColor="text1"/>
                <w:sz w:val="21"/>
                <w:szCs w:val="21"/>
                <w:highlight w:val="none"/>
                <w14:textFill>
                  <w14:solidFill>
                    <w14:schemeClr w14:val="tx1"/>
                  </w14:solidFill>
                </w14:textFill>
              </w:rPr>
              <w:t>（3）投标人应合理安排投标文件</w:t>
            </w:r>
            <w:r>
              <w:rPr>
                <w:rFonts w:hint="eastAsia" w:ascii="Times New Roman" w:hAnsi="Times New Roman"/>
                <w:smallCaps w:val="0"/>
                <w:color w:val="000000" w:themeColor="text1"/>
                <w:sz w:val="21"/>
                <w:szCs w:val="21"/>
                <w:highlight w:val="none"/>
                <w:lang w:eastAsia="zh-CN"/>
                <w14:textFill>
                  <w14:solidFill>
                    <w14:schemeClr w14:val="tx1"/>
                  </w14:solidFill>
                </w14:textFill>
              </w:rPr>
              <w:t>提交</w:t>
            </w:r>
            <w:r>
              <w:rPr>
                <w:rFonts w:hint="eastAsia" w:ascii="Times New Roman" w:hAnsi="Times New Roman"/>
                <w:smallCaps w:val="0"/>
                <w:color w:val="000000" w:themeColor="text1"/>
                <w:sz w:val="21"/>
                <w:szCs w:val="21"/>
                <w:highlight w:val="none"/>
                <w14:textFill>
                  <w14:solidFill>
                    <w14:schemeClr w14:val="tx1"/>
                  </w14:solidFill>
                </w14:textFill>
              </w:rPr>
              <w:t>时间，特别是网络速度慢的地区防止在系统关闭前网络拥堵无法操作。如果因计算机及网络故障造成无法完成投标文件</w:t>
            </w:r>
            <w:r>
              <w:rPr>
                <w:rFonts w:hint="eastAsia" w:ascii="Times New Roman" w:hAnsi="Times New Roman"/>
                <w:smallCaps w:val="0"/>
                <w:color w:val="000000" w:themeColor="text1"/>
                <w:sz w:val="21"/>
                <w:szCs w:val="21"/>
                <w:highlight w:val="none"/>
                <w:lang w:eastAsia="zh-CN"/>
                <w14:textFill>
                  <w14:solidFill>
                    <w14:schemeClr w14:val="tx1"/>
                  </w14:solidFill>
                </w14:textFill>
              </w:rPr>
              <w:t>提交</w:t>
            </w:r>
            <w:r>
              <w:rPr>
                <w:rFonts w:hint="eastAsia" w:ascii="Times New Roman" w:hAnsi="Times New Roman"/>
                <w:smallCaps w:val="0"/>
                <w:color w:val="000000" w:themeColor="text1"/>
                <w:sz w:val="21"/>
                <w:szCs w:val="21"/>
                <w:highlight w:val="none"/>
                <w14:textFill>
                  <w14:solidFill>
                    <w14:schemeClr w14:val="tx1"/>
                  </w14:solidFill>
                </w14:textFill>
              </w:rPr>
              <w:t>情形，责任自负。</w:t>
            </w:r>
          </w:p>
          <w:p w14:paraId="018E8A1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sz w:val="21"/>
                <w:szCs w:val="21"/>
                <w:highlight w:val="none"/>
                <w14:textFill>
                  <w14:solidFill>
                    <w14:schemeClr w14:val="tx1"/>
                  </w14:solidFill>
                </w14:textFill>
              </w:rPr>
            </w:pPr>
            <w:r>
              <w:rPr>
                <w:rFonts w:hint="eastAsia" w:ascii="Times New Roman" w:hAnsi="Times New Roman"/>
                <w:smallCaps w:val="0"/>
                <w:color w:val="000000" w:themeColor="text1"/>
                <w:sz w:val="21"/>
                <w:szCs w:val="21"/>
                <w:highlight w:val="none"/>
                <w14:textFill>
                  <w14:solidFill>
                    <w14:schemeClr w14:val="tx1"/>
                  </w14:solidFill>
                </w14:textFill>
              </w:rPr>
              <w:t>（4）具体资料以第三章《评标</w:t>
            </w:r>
            <w:r>
              <w:rPr>
                <w:rFonts w:hint="eastAsia" w:ascii="Times New Roman" w:hAnsi="Times New Roman"/>
                <w:smallCaps w:val="0"/>
                <w:color w:val="000000" w:themeColor="text1"/>
                <w:sz w:val="21"/>
                <w:szCs w:val="21"/>
                <w:highlight w:val="none"/>
                <w:lang w:eastAsia="zh-CN"/>
                <w14:textFill>
                  <w14:solidFill>
                    <w14:schemeClr w14:val="tx1"/>
                  </w14:solidFill>
                </w14:textFill>
              </w:rPr>
              <w:t>及定标</w:t>
            </w:r>
            <w:r>
              <w:rPr>
                <w:rFonts w:hint="eastAsia" w:ascii="Times New Roman" w:hAnsi="Times New Roman"/>
                <w:smallCaps w:val="0"/>
                <w:color w:val="000000" w:themeColor="text1"/>
                <w:sz w:val="21"/>
                <w:szCs w:val="21"/>
                <w:highlight w:val="none"/>
                <w14:textFill>
                  <w14:solidFill>
                    <w14:schemeClr w14:val="tx1"/>
                  </w14:solidFill>
                </w14:textFill>
              </w:rPr>
              <w:t>》和第八章《投标文件格式》要求为准。</w:t>
            </w:r>
          </w:p>
          <w:p w14:paraId="231718E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sz w:val="21"/>
                <w:szCs w:val="21"/>
                <w:highlight w:val="none"/>
                <w14:textFill>
                  <w14:solidFill>
                    <w14:schemeClr w14:val="tx1"/>
                  </w14:solidFill>
                </w14:textFill>
              </w:rPr>
              <w:t>（5）投标人应对制作的投标文件质量负责，确保投标文件内容清晰、完整、可用，投标文件内容系统无法识别的，产生的不利后果由投标人自行承担。</w:t>
            </w:r>
          </w:p>
        </w:tc>
      </w:tr>
      <w:tr w14:paraId="1C91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26" w:type="dxa"/>
            <w:noWrap w:val="0"/>
            <w:vAlign w:val="center"/>
          </w:tcPr>
          <w:p w14:paraId="18DBF4FB">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11.11</w:t>
            </w:r>
          </w:p>
        </w:tc>
        <w:tc>
          <w:tcPr>
            <w:tcW w:w="1978" w:type="dxa"/>
            <w:noWrap w:val="0"/>
            <w:vAlign w:val="center"/>
          </w:tcPr>
          <w:p w14:paraId="7A3790F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报价文件编制</w:t>
            </w:r>
          </w:p>
          <w:p w14:paraId="20899B3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要求</w:t>
            </w:r>
          </w:p>
        </w:tc>
        <w:tc>
          <w:tcPr>
            <w:tcW w:w="6053" w:type="dxa"/>
            <w:noWrap w:val="0"/>
            <w:vAlign w:val="center"/>
          </w:tcPr>
          <w:p w14:paraId="496924D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（1）工程量清单采用</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XXXX</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格式，投标人应及时升级造价软件。</w:t>
            </w:r>
          </w:p>
          <w:p w14:paraId="483D3AC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（2）投标人制作投标文件前，必须及时升级电子投标文件制作软件至最新版本。投标人如未及时更新电子投标文件制作软件和造价软件，产生的一切后果由投标人自行承担。</w:t>
            </w:r>
          </w:p>
          <w:p w14:paraId="2828687C">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工程量清单报价书编制人应为投标人或工程造价咨询单位具有造价执业资格的人员。工程量清单报价书编制人可为造价员，评审过程中不对造价员执业专用章的时间有效性或电子执业章的时间有效性进行评审。</w:t>
            </w:r>
          </w:p>
          <w:p w14:paraId="22B9509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14:textFill>
                  <w14:solidFill>
                    <w14:schemeClr w14:val="tx1"/>
                  </w14:solidFill>
                </w14:textFill>
              </w:rPr>
              <w:t>）本标段工程量清单、最高投标限价发出后，投标人应对其数据进行复核，如认为数据有误，可按照本招标文件规定的程序及时限要求提出。</w:t>
            </w:r>
          </w:p>
        </w:tc>
      </w:tr>
      <w:tr w14:paraId="3A12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26" w:type="dxa"/>
            <w:noWrap w:val="0"/>
            <w:vAlign w:val="center"/>
          </w:tcPr>
          <w:p w14:paraId="51D69BB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11.12</w:t>
            </w:r>
          </w:p>
        </w:tc>
        <w:tc>
          <w:tcPr>
            <w:tcW w:w="1978" w:type="dxa"/>
            <w:noWrap w:val="0"/>
            <w:vAlign w:val="center"/>
          </w:tcPr>
          <w:p w14:paraId="4F064EA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政府采购政策</w:t>
            </w:r>
          </w:p>
        </w:tc>
        <w:tc>
          <w:tcPr>
            <w:tcW w:w="6053" w:type="dxa"/>
            <w:noWrap w:val="0"/>
            <w:vAlign w:val="center"/>
          </w:tcPr>
          <w:p w14:paraId="3803A59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不</w:t>
            </w:r>
            <w:r>
              <w:rPr>
                <w:rFonts w:hint="eastAsia" w:ascii="Times New Roman" w:hAnsi="Times New Roman"/>
                <w:smallCaps w:val="0"/>
                <w:color w:val="000000" w:themeColor="text1"/>
                <w:highlight w:val="none"/>
                <w:lang w:eastAsia="zh-CN"/>
                <w14:textFill>
                  <w14:solidFill>
                    <w14:schemeClr w14:val="tx1"/>
                  </w14:solidFill>
                </w14:textFill>
              </w:rPr>
              <w:t>适用</w:t>
            </w:r>
          </w:p>
          <w:p w14:paraId="6A48CC2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□适用</w:t>
            </w:r>
            <w:r>
              <w:rPr>
                <w:rFonts w:hint="eastAsia" w:ascii="Times New Roman" w:hAnsi="Times New Roman"/>
                <w:smallCaps w:val="0"/>
                <w:color w:val="000000" w:themeColor="text1"/>
                <w:highlight w:val="none"/>
                <w14:textFill>
                  <w14:solidFill>
                    <w14:schemeClr w14:val="tx1"/>
                  </w14:solidFill>
                </w14:textFill>
              </w:rPr>
              <w:t>，具体要求如下</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3C86DFA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（1）落实节能产品采购政策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本工程中包含属于《节能产品政府采购品目清单》中政府强制采购的节能产品</w:t>
            </w:r>
            <w:r>
              <w:rPr>
                <w:rStyle w:val="28"/>
                <w:rFonts w:hint="eastAsia" w:ascii="Times New Roman" w:hAnsi="Times New Roman" w:cs="宋体"/>
                <w:smallCaps w:val="0"/>
                <w:color w:val="000000" w:themeColor="text1"/>
                <w:szCs w:val="20"/>
                <w:highlight w:val="none"/>
                <w14:textFill>
                  <w14:solidFill>
                    <w14:schemeClr w14:val="tx1"/>
                  </w14:solidFill>
                </w14:textFill>
              </w:rPr>
              <w:footnoteReference w:id="32"/>
            </w:r>
            <w:r>
              <w:rPr>
                <w:rFonts w:hint="eastAsia" w:ascii="Times New Roman" w:hAnsi="Times New Roman"/>
                <w:smallCaps w:val="0"/>
                <w:color w:val="000000" w:themeColor="text1"/>
                <w:highlight w:val="none"/>
                <w14:textFill>
                  <w14:solidFill>
                    <w14:schemeClr w14:val="tx1"/>
                  </w14:solidFill>
                </w14:textFill>
              </w:rPr>
              <w:t>，投标人施工过程中提供的产品须具有市场监管总局公布的《参与实施政府采购节能产品认证机构目录》中的认证机构出具的、处于有效期内的节能（节水）产品认证证书。</w:t>
            </w:r>
          </w:p>
          <w:p w14:paraId="21A87F5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（2）加大绿色建材产品在政府采购工程中使用。按照《财政部住房和城乡建设部关于政府采购支持绿色建材促进建筑品质提升试点工作的通知》(财库</w:t>
            </w:r>
            <w:r>
              <w:rPr>
                <w:rFonts w:hint="eastAsia" w:ascii="国标仿宋" w:hAnsi="国标仿宋" w:eastAsia="国标仿宋" w:cs="国标仿宋"/>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2020</w:t>
            </w:r>
            <w:r>
              <w:rPr>
                <w:rFonts w:hint="eastAsia" w:ascii="国标仿宋" w:hAnsi="国标仿宋" w:eastAsia="国标仿宋" w:cs="国标仿宋"/>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31号)要求，鼓励工程中优先采购可循环可利用建材、高强度高耐久建材、绿色部品部件、绿色装饰装修材料、节水节能建材等绿色建材产品。</w:t>
            </w:r>
          </w:p>
          <w:p w14:paraId="42AC7A9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落实绿色包装政府采购需求标准。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54FCAAA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（4）《政府采购促进中小企业发展管理办法》政策执行</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①对于经主管预算单位统筹后未预留份额专门面向中小企业采购的采购项目，以及预留份额项目中的非预留部分采购包，工程项目应当对小微企业报价给予【选填3%-5%】的扣除，用扣除后的价格参加评审。适用招标投标法的政府采购工程建设项目，采用综合评估法但未采用低价优先法计算价格分的，评标时应当在采用原报价进行评分的基础上增加其价格得分的 【选填3%-5%】作为其价格分。②接受大中型企业与小微企业组成联合体或者允许大中型企业向一家或者多家小微企业分包的采购项目，对于联合协议或者分包意向协议约定小微企业的合同份额占到合同总金额 30%以上的，工程项目应当对联合体或者大中型企业的报价给予 【选填1%-2%】的扣除，用扣除后的价格参加评审。适用招标投标法的政府采购工程建设项目，采用综合评估法但未采用低价优先法计算价格分的，评标时应当在采用原报价进行评分的基础上增加其价格得分的 【选填1%-2%】作为其价格分。组成联合体或者接受分包的小微企业与联合体内其他企业、分包企业之间存在直接控股、管理关系的，不享受价格扣除优惠政策。</w:t>
            </w:r>
          </w:p>
          <w:p w14:paraId="03FBF71C">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（5）其他要求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tc>
      </w:tr>
      <w:tr w14:paraId="1ADB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5133A60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11.13</w:t>
            </w:r>
          </w:p>
        </w:tc>
        <w:tc>
          <w:tcPr>
            <w:tcW w:w="1978" w:type="dxa"/>
            <w:noWrap w:val="0"/>
            <w:vAlign w:val="center"/>
          </w:tcPr>
          <w:p w14:paraId="2B6595A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招标代理服务费及工程量清单和最高投标限价编制费</w:t>
            </w:r>
          </w:p>
        </w:tc>
        <w:tc>
          <w:tcPr>
            <w:tcW w:w="6053" w:type="dxa"/>
            <w:noWrap w:val="0"/>
            <w:vAlign w:val="center"/>
          </w:tcPr>
          <w:p w14:paraId="7AB31D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1、</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招标代理服务费</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收费标准</w:t>
            </w:r>
            <w:r>
              <w:rPr>
                <w:rStyle w:val="28"/>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footnoteReference w:id="33"/>
            </w:r>
          </w:p>
          <w:p w14:paraId="34D7A86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（1）金额</w:t>
            </w:r>
          </w:p>
          <w:p w14:paraId="3F2CC2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□定额收取：人民币</w:t>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 xml:space="preserve">   XXX  </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元</w:t>
            </w:r>
          </w:p>
          <w:p w14:paraId="53CD74D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□按下列标准收取：</w:t>
            </w:r>
          </w:p>
          <w:p w14:paraId="0147F9F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default"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21"/>
                <w:highlight w:val="none"/>
                <w:lang w:val="en-US" w:eastAsia="zh-CN"/>
                <w14:textFill>
                  <w14:solidFill>
                    <w14:schemeClr w14:val="tx1"/>
                  </w14:solidFill>
                </w14:textFill>
              </w:rPr>
              <w:t>……（费用金额或费用计算方式应当明示）</w:t>
            </w:r>
          </w:p>
          <w:p w14:paraId="00624F3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不单独列项，投标人考虑在投标报价中。</w:t>
            </w:r>
          </w:p>
          <w:p w14:paraId="4BBD7C7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收费标准补充说明：</w:t>
            </w:r>
            <w:r>
              <w:rPr>
                <w:rFonts w:hint="eastAsia" w:ascii="宋体" w:hAnsi="宋体" w:cs="宋体"/>
                <w:bCs/>
                <w:snapToGrid w:val="0"/>
                <w:color w:val="000000" w:themeColor="text1"/>
                <w:kern w:val="0"/>
                <w:sz w:val="21"/>
                <w:szCs w:val="21"/>
                <w:highlight w:val="none"/>
                <w:u w:val="single"/>
                <w:lang w:val="en-US" w:eastAsia="zh-CN"/>
                <w14:textFill>
                  <w14:solidFill>
                    <w14:schemeClr w14:val="tx1"/>
                  </w14:solidFill>
                </w14:textFill>
              </w:rPr>
              <w:t>本项目收费比例为上述收费标准的XX%</w:t>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w:t>
            </w:r>
          </w:p>
          <w:p w14:paraId="0617DBF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（2）支付方式：</w:t>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 xml:space="preserve">  转账、电汇      。</w:t>
            </w:r>
          </w:p>
          <w:p w14:paraId="2634F3C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（3）收取单位：</w:t>
            </w:r>
            <w:r>
              <w:rPr>
                <w:rFonts w:hint="eastAsia" w:ascii="宋体" w:hAnsi="宋体" w:eastAsia="宋体" w:cs="宋体"/>
                <w:bCs/>
                <w:snapToGrid w:val="0"/>
                <w:color w:val="000000" w:themeColor="text1"/>
                <w:kern w:val="0"/>
                <w:sz w:val="21"/>
                <w:szCs w:val="21"/>
                <w:highlight w:val="none"/>
                <w:u w:val="single"/>
                <w:lang w:val="en-US" w:eastAsia="zh-CN"/>
                <w14:textFill>
                  <w14:solidFill>
                    <w14:schemeClr w14:val="tx1"/>
                  </w14:solidFill>
                </w14:textFill>
              </w:rPr>
              <w:t xml:space="preserve">              。</w:t>
            </w:r>
          </w:p>
          <w:p w14:paraId="33B6FF0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2、工程量清单和最高投标限价编制费：根据造价咨询服务合同约定</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收取</w:t>
            </w:r>
            <w:r>
              <w:rPr>
                <w:rFonts w:hint="eastAsia" w:ascii="宋体" w:hAnsi="宋体" w:cs="宋体"/>
                <w:bCs/>
                <w:snapToGrid w:val="0"/>
                <w:color w:val="000000" w:themeColor="text1"/>
                <w:kern w:val="0"/>
                <w:sz w:val="21"/>
                <w:szCs w:val="21"/>
                <w:highlight w:val="none"/>
                <w:lang w:val="en-US" w:eastAsia="zh-CN"/>
                <w14:textFill>
                  <w14:solidFill>
                    <w14:schemeClr w14:val="tx1"/>
                  </w14:solidFill>
                </w14:textFill>
              </w:rPr>
              <w:t>，费用金额或费用计算方式应当明示</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不单独列项，投标人考虑在投标报价中。</w:t>
            </w:r>
          </w:p>
          <w:p w14:paraId="5778FB5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2" w:firstLineChars="200"/>
              <w:jc w:val="left"/>
              <w:textAlignment w:val="auto"/>
              <w:rPr>
                <w:rFonts w:hint="eastAsia" w:ascii="宋体" w:hAnsi="宋体" w:eastAsia="宋体" w:cs="宋体"/>
                <w:smallCaps w:val="0"/>
                <w:color w:val="000000" w:themeColor="text1"/>
                <w:sz w:val="21"/>
                <w:szCs w:val="21"/>
                <w:highlight w:val="none"/>
                <w14:textFill>
                  <w14:solidFill>
                    <w14:schemeClr w14:val="tx1"/>
                  </w14:solidFill>
                </w14:textFill>
              </w:rPr>
            </w:pPr>
            <w:r>
              <w:rPr>
                <w:rFonts w:hint="eastAsia" w:ascii="宋体" w:hAnsi="宋体" w:eastAsia="宋体" w:cs="宋体"/>
                <w:b/>
                <w:bCs w:val="0"/>
                <w:snapToGrid w:val="0"/>
                <w:color w:val="000000" w:themeColor="text1"/>
                <w:kern w:val="0"/>
                <w:sz w:val="21"/>
                <w:szCs w:val="21"/>
                <w:highlight w:val="none"/>
                <w:lang w:val="en-US" w:eastAsia="zh-CN"/>
                <w14:textFill>
                  <w14:solidFill>
                    <w14:schemeClr w14:val="tx1"/>
                  </w14:solidFill>
                </w14:textFill>
              </w:rPr>
              <w:t>3</w:t>
            </w:r>
            <w:r>
              <w:rPr>
                <w:rFonts w:hint="eastAsia" w:ascii="宋体" w:hAnsi="宋体" w:cs="宋体"/>
                <w:b/>
                <w:bCs w:val="0"/>
                <w:snapToGrid w:val="0"/>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b/>
                <w:bCs w:val="0"/>
                <w:snapToGrid w:val="0"/>
                <w:color w:val="000000" w:themeColor="text1"/>
                <w:sz w:val="21"/>
                <w:szCs w:val="21"/>
                <w:highlight w:val="none"/>
                <w:lang w:val="en-US"/>
                <w14:textFill>
                  <w14:solidFill>
                    <w14:schemeClr w14:val="tx1"/>
                  </w14:solidFill>
                </w14:textFill>
              </w:rPr>
              <w:t>收费标准补充说明：</w:t>
            </w:r>
            <w:r>
              <w:rPr>
                <w:rFonts w:hint="eastAsia" w:ascii="宋体" w:hAnsi="宋体" w:eastAsia="宋体" w:cs="宋体"/>
                <w:bCs/>
                <w:snapToGrid w:val="0"/>
                <w:color w:val="000000" w:themeColor="text1"/>
                <w:sz w:val="21"/>
                <w:szCs w:val="21"/>
                <w:highlight w:val="none"/>
                <w:lang w:val="en-US" w:eastAsia="zh-CN"/>
                <w14:textFill>
                  <w14:solidFill>
                    <w14:schemeClr w14:val="tx1"/>
                  </w14:solidFill>
                </w14:textFill>
              </w:rPr>
              <w:t>XXXXXXX</w:t>
            </w:r>
          </w:p>
          <w:p w14:paraId="1C0C4945">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14:textFill>
                  <w14:solidFill>
                    <w14:schemeClr w14:val="tx1"/>
                  </w14:solidFill>
                </w14:textFill>
              </w:rPr>
              <w:t>支付主体</w:t>
            </w:r>
            <w:r>
              <w:rPr>
                <w:rFonts w:hint="eastAsia" w:ascii="Times New Roman" w:hAnsi="Times New Roman"/>
                <w:smallCaps w:val="0"/>
                <w:color w:val="000000" w:themeColor="text1"/>
                <w:highlight w:val="none"/>
                <w:u w:val="none"/>
                <w:lang w:eastAsia="zh-CN"/>
                <w14:textFill>
                  <w14:solidFill>
                    <w14:schemeClr w14:val="tx1"/>
                  </w14:solidFill>
                </w14:textFill>
              </w:rPr>
              <w:t>：中标人在领取中标通知书前，向招标代理机构和造价咨询单位支付招标代理服务费、</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工程量清单和最高投标限价编制费</w:t>
            </w:r>
            <w:r>
              <w:rPr>
                <w:rFonts w:hint="eastAsia" w:ascii="Times New Roman" w:hAnsi="Times New Roman"/>
                <w:smallCaps w:val="0"/>
                <w:color w:val="000000" w:themeColor="text1"/>
                <w:highlight w:val="none"/>
                <w:u w:val="none"/>
                <w:lang w:eastAsia="zh-CN"/>
                <w14:textFill>
                  <w14:solidFill>
                    <w14:schemeClr w14:val="tx1"/>
                  </w14:solidFill>
                </w14:textFill>
              </w:rPr>
              <w:t>。</w:t>
            </w:r>
          </w:p>
        </w:tc>
      </w:tr>
      <w:tr w14:paraId="73A4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11566986">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11.14</w:t>
            </w:r>
          </w:p>
        </w:tc>
        <w:tc>
          <w:tcPr>
            <w:tcW w:w="1978" w:type="dxa"/>
            <w:noWrap w:val="0"/>
            <w:vAlign w:val="center"/>
          </w:tcPr>
          <w:p w14:paraId="3ACA430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bCs/>
                <w:snapToGrid w:val="0"/>
                <w:color w:val="000000" w:themeColor="text1"/>
                <w:kern w:val="0"/>
                <w:szCs w:val="21"/>
                <w:highlight w:val="none"/>
                <w14:textFill>
                  <w14:solidFill>
                    <w14:schemeClr w14:val="tx1"/>
                  </w14:solidFill>
                </w14:textFill>
              </w:rPr>
              <w:t>主要材料要求</w:t>
            </w:r>
          </w:p>
        </w:tc>
        <w:tc>
          <w:tcPr>
            <w:tcW w:w="6053" w:type="dxa"/>
            <w:noWrap w:val="0"/>
            <w:vAlign w:val="center"/>
          </w:tcPr>
          <w:p w14:paraId="036FC89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主要材料甲供，其他材料由中标人自行采购</w:t>
            </w:r>
          </w:p>
          <w:p w14:paraId="01DAAE8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其中甲供材料为：</w:t>
            </w:r>
            <w:r>
              <w:rPr>
                <w:rFonts w:hint="eastAsia" w:ascii="宋体" w:hAnsi="宋体" w:eastAsia="宋体" w:cs="宋体"/>
                <w:color w:val="000000" w:themeColor="text1"/>
                <w:sz w:val="21"/>
                <w:szCs w:val="21"/>
                <w:highlight w:val="none"/>
                <w:lang w:val="en-US" w:eastAsia="zh-CN"/>
                <w14:textFill>
                  <w14:solidFill>
                    <w14:schemeClr w14:val="tx1"/>
                  </w14:solidFill>
                </w14:textFill>
              </w:rPr>
              <w:t>XXXX</w:t>
            </w:r>
          </w:p>
          <w:p w14:paraId="199994B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主要材料由中标人自行采购</w:t>
            </w:r>
          </w:p>
          <w:p w14:paraId="491D2C0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本项目采用商品砼。</w:t>
            </w:r>
          </w:p>
          <w:p w14:paraId="12E48DA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本项目采用预拌砂浆。</w:t>
            </w:r>
          </w:p>
          <w:p w14:paraId="230BDBD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（1）中标人自行采购的材料应满足设计和规范要求的质量等级，并须按有关技术规范要求对材料质量进行检验。中标人选定的材料供应厂家和质量须经招标人和监理单位认可。</w:t>
            </w:r>
          </w:p>
          <w:p w14:paraId="5C14C5F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（2）设备及材料品牌要求</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满足质控材料品牌表要求。</w:t>
            </w:r>
          </w:p>
        </w:tc>
      </w:tr>
      <w:tr w14:paraId="3B96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21BDBC2D">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11.15</w:t>
            </w:r>
          </w:p>
        </w:tc>
        <w:tc>
          <w:tcPr>
            <w:tcW w:w="1978" w:type="dxa"/>
            <w:noWrap w:val="0"/>
            <w:vAlign w:val="center"/>
          </w:tcPr>
          <w:p w14:paraId="29EDB750">
            <w:pPr>
              <w:pStyle w:val="83"/>
              <w:keepNext w:val="0"/>
              <w:keepLines w:val="0"/>
              <w:pageBreakBefore w:val="0"/>
              <w:suppressLineNumbers w:val="0"/>
              <w:kinsoku/>
              <w:wordWrap w:val="0"/>
              <w:overflowPunct/>
              <w:bidi w:val="0"/>
              <w:spacing w:before="0" w:beforeAutospacing="0" w:after="0" w:afterAutospacing="0"/>
              <w:ind w:left="0" w:right="0"/>
              <w:rPr>
                <w:rFonts w:hint="eastAsia" w:ascii="宋体" w:hAnsi="宋体" w:eastAsia="宋体" w:cs="宋体"/>
                <w:bCs/>
                <w:snapToGrid w:val="0"/>
                <w:color w:val="000000" w:themeColor="text1"/>
                <w:kern w:val="0"/>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投标所需资料</w:t>
            </w:r>
          </w:p>
        </w:tc>
        <w:tc>
          <w:tcPr>
            <w:tcW w:w="6053" w:type="dxa"/>
            <w:noWrap w:val="0"/>
            <w:vAlign w:val="center"/>
          </w:tcPr>
          <w:p w14:paraId="4182FCA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（1）投标文件主要包括以下内容</w:t>
            </w:r>
            <w:r>
              <w:rPr>
                <w:rFonts w:hint="eastAsia" w:ascii="宋体" w:hAnsi="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cs="宋体"/>
                <w:bCs/>
                <w:snapToGrid w:val="0"/>
                <w:color w:val="000000" w:themeColor="text1"/>
                <w:kern w:val="0"/>
                <w:sz w:val="21"/>
                <w:szCs w:val="21"/>
                <w:highlight w:val="none"/>
                <w:lang w:val="en-US" w:eastAsia="zh-CN"/>
                <w14:textFill>
                  <w14:solidFill>
                    <w14:schemeClr w14:val="tx1"/>
                  </w14:solidFill>
                </w14:textFill>
              </w:rPr>
              <w:t>以招标文件评审项具体要求为准</w:t>
            </w:r>
            <w:r>
              <w:rPr>
                <w:rFonts w:hint="eastAsia" w:ascii="宋体" w:hAnsi="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w:t>
            </w:r>
          </w:p>
          <w:p w14:paraId="2FD4FEA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①投标人各类证件信息：营业执照、资质证书、安全生产许可证、基本账户开户证明、法定代表人身份证等；</w:t>
            </w:r>
          </w:p>
          <w:p w14:paraId="0F39468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②投标人、项目经理、项目技术负责人材料扫描件；</w:t>
            </w:r>
          </w:p>
          <w:p w14:paraId="786FDC0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③项目经理和项目技术负责人各类证件信息：注册建造师证书、B类安全生产考核合格证书、技术职称证书等；</w:t>
            </w:r>
          </w:p>
          <w:p w14:paraId="6537432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④技术能力、奖项、荣誉等；</w:t>
            </w:r>
          </w:p>
          <w:p w14:paraId="24F824F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w:t>
            </w:r>
          </w:p>
          <w:p w14:paraId="15046B0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2）对于编制投标文件时所需的其他资料，如财务会计报表、项目经理承诺、发包人出具的证明、委托代理人身份证、投标保证金银行保函、信用等级截图、联合体协议书及非联合体牵头人相应需要提供的表格和资料（如采用）等，投标人自行扫描后通过“其他材料”窗口上传。</w:t>
            </w:r>
          </w:p>
          <w:p w14:paraId="456B191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（3）</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投标人应</w:t>
            </w:r>
            <w:r>
              <w:rPr>
                <w:rFonts w:hint="eastAsia" w:ascii="宋体" w:hAnsi="宋体" w:cs="宋体"/>
                <w:bCs/>
                <w:snapToGrid w:val="0"/>
                <w:color w:val="000000" w:themeColor="text1"/>
                <w:kern w:val="0"/>
                <w:sz w:val="21"/>
                <w:szCs w:val="21"/>
                <w:highlight w:val="none"/>
                <w:lang w:val="en-US" w:eastAsia="zh-CN"/>
                <w14:textFill>
                  <w14:solidFill>
                    <w14:schemeClr w14:val="tx1"/>
                  </w14:solidFill>
                </w14:textFill>
              </w:rPr>
              <w:t>检查投标文件中的</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相关资料，如出现投标资料不全、模糊不清、超出有效期等情况，评标委员会将作出对投标人不利的认定，由此产生的一切后果由投标人自行承担。</w:t>
            </w:r>
          </w:p>
          <w:p w14:paraId="535DA91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（4）以上资料具体以第三章“评标办法”和第八章“投标文件格式”要求为准。</w:t>
            </w:r>
          </w:p>
        </w:tc>
      </w:tr>
      <w:tr w14:paraId="1F0D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25E4B4B8">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11.16</w:t>
            </w:r>
          </w:p>
        </w:tc>
        <w:tc>
          <w:tcPr>
            <w:tcW w:w="1978" w:type="dxa"/>
            <w:noWrap w:val="0"/>
            <w:vAlign w:val="center"/>
          </w:tcPr>
          <w:p w14:paraId="034A59FB">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宋体" w:hAnsi="宋体" w:eastAsia="宋体" w:cs="宋体"/>
                <w:bCs/>
                <w:snapToGrid w:val="0"/>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远程解密</w:t>
            </w:r>
          </w:p>
        </w:tc>
        <w:tc>
          <w:tcPr>
            <w:tcW w:w="6053" w:type="dxa"/>
            <w:noWrap w:val="0"/>
            <w:vAlign w:val="center"/>
          </w:tcPr>
          <w:p w14:paraId="0356CFD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120" w:leftChars="50" w:right="120" w:rightChars="5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远程解密须知：</w:t>
            </w:r>
          </w:p>
          <w:p w14:paraId="74C30AA7">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本项目采用“不见面开标”方式。本项目为远程解密、远程在线开标。投标人应在开标时间前提供使用CA数字证书登录“不见面开标系统”，等待开标并按系统提示进行相应的投标人解密等事项。具体操作方法见中心网站，通知公告栏——《淮南不见面开标大厅操作手册》。从“不见面开标”网页大厅中完成解密。</w:t>
            </w:r>
          </w:p>
          <w:p w14:paraId="664581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2、如因系统问题无法远程解密，投标人请咨询淮南市公共资源交易中心信息部0554-6818265-3；0512-58188516</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w:t>
            </w:r>
          </w:p>
          <w:p w14:paraId="18D1FC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3、投标人选择远程解密的，应在开标时间开始后30分钟内完成在线解密，30分钟内未解密视为放弃本次投标；</w:t>
            </w:r>
          </w:p>
          <w:p w14:paraId="5B9E128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4、远程解密的投标人如有询标需在按投标人须知前附表“询标”要求执行。</w:t>
            </w:r>
          </w:p>
          <w:p w14:paraId="5D03979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5、投标人在授权委托书中必须提供授权委托人联系方式。评标过程中的询标与标后通知均以授权委托书中提供的联系人为准。</w:t>
            </w:r>
          </w:p>
          <w:p w14:paraId="17AE146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6、摇号环节中，未到场的投标人视为认可摇号的全部内容。</w:t>
            </w:r>
          </w:p>
          <w:p w14:paraId="0F1EC8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7、如因投标人未提供授权人联系方式导致招标人、代理机构或管理部门不能与投标人取得联系，由此产生的不良后果均由投标人承担。</w:t>
            </w:r>
          </w:p>
        </w:tc>
      </w:tr>
      <w:tr w14:paraId="4FFD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398260EF">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11.17</w:t>
            </w:r>
          </w:p>
        </w:tc>
        <w:tc>
          <w:tcPr>
            <w:tcW w:w="1978" w:type="dxa"/>
            <w:noWrap w:val="0"/>
            <w:vAlign w:val="center"/>
          </w:tcPr>
          <w:p w14:paraId="11D7429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证明材料</w:t>
            </w:r>
          </w:p>
        </w:tc>
        <w:tc>
          <w:tcPr>
            <w:tcW w:w="6053" w:type="dxa"/>
            <w:noWrap w:val="0"/>
            <w:vAlign w:val="center"/>
          </w:tcPr>
          <w:p w14:paraId="4799E70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120" w:leftChars="50" w:right="120" w:rightChars="5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投标人对所提交的投标人或拟委任项目经理业绩、投标人资质等证明资料承担缔约过失责任和法律责任。若投诉人或举报人对前述资料或证明资料存在争议，进行有效投诉或举报，被投诉人、被举报人应当主动配合执法机关调查，并在规定的期限内举证，提供有关证明资料的原件；拒不配合执法机构调查，且未在规定期限内举证、提供证明资料原件的，执法机构（淮南市公共资源交易监督管理局）将依法处理。</w:t>
            </w:r>
          </w:p>
        </w:tc>
      </w:tr>
      <w:tr w14:paraId="36F6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5AED5A93">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11.18</w:t>
            </w:r>
          </w:p>
        </w:tc>
        <w:tc>
          <w:tcPr>
            <w:tcW w:w="1978" w:type="dxa"/>
            <w:noWrap w:val="0"/>
            <w:vAlign w:val="center"/>
          </w:tcPr>
          <w:p w14:paraId="0DDA297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同义词语</w:t>
            </w:r>
          </w:p>
        </w:tc>
        <w:tc>
          <w:tcPr>
            <w:tcW w:w="6053" w:type="dxa"/>
            <w:noWrap w:val="0"/>
            <w:vAlign w:val="center"/>
          </w:tcPr>
          <w:p w14:paraId="5A6694C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构成招标文件组成部分的“通用合同条款”、“专用合同条款”、“技术标准和要求”和“工程量清单”等章节中 “发包人”和“承包人”，等同于招标投标阶段的“招标人”和“投标人/中标人”。</w:t>
            </w:r>
          </w:p>
        </w:tc>
      </w:tr>
      <w:tr w14:paraId="2614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1BF20049">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11.19</w:t>
            </w:r>
          </w:p>
        </w:tc>
        <w:tc>
          <w:tcPr>
            <w:tcW w:w="1978" w:type="dxa"/>
            <w:noWrap w:val="0"/>
            <w:vAlign w:val="center"/>
          </w:tcPr>
          <w:p w14:paraId="328CC55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招标发包方式</w:t>
            </w:r>
          </w:p>
        </w:tc>
        <w:tc>
          <w:tcPr>
            <w:tcW w:w="6053" w:type="dxa"/>
            <w:noWrap w:val="0"/>
            <w:vAlign w:val="center"/>
          </w:tcPr>
          <w:p w14:paraId="1F86D63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施工总承包发包</w:t>
            </w:r>
          </w:p>
          <w:p w14:paraId="7B4FA8A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专业承包发包</w:t>
            </w:r>
          </w:p>
          <w:p w14:paraId="6BC406B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其他</w:t>
            </w:r>
            <w:r>
              <w:rPr>
                <w:rFonts w:hint="eastAsia" w:ascii="宋体" w:hAnsi="宋体" w:cs="宋体"/>
                <w:color w:val="000000" w:themeColor="text1"/>
                <w:sz w:val="21"/>
                <w:szCs w:val="21"/>
                <w:highlight w:val="none"/>
                <w:lang w:val="en-US" w:eastAsia="zh-CN"/>
                <w14:textFill>
                  <w14:solidFill>
                    <w14:schemeClr w14:val="tx1"/>
                  </w14:solidFill>
                </w14:textFill>
              </w:rPr>
              <w:t>发包</w:t>
            </w:r>
            <w:r>
              <w:rPr>
                <w:rFonts w:hint="eastAsia" w:ascii="宋体" w:hAnsi="宋体" w:eastAsia="宋体" w:cs="宋体"/>
                <w:color w:val="000000" w:themeColor="text1"/>
                <w:sz w:val="21"/>
                <w:szCs w:val="21"/>
                <w:highlight w:val="none"/>
                <w:lang w:val="en-US" w:eastAsia="zh-CN"/>
                <w14:textFill>
                  <w14:solidFill>
                    <w14:schemeClr w14:val="tx1"/>
                  </w14:solidFill>
                </w14:textFill>
              </w:rPr>
              <w:t>形式：XXXXX</w:t>
            </w:r>
          </w:p>
        </w:tc>
      </w:tr>
      <w:tr w14:paraId="47B0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17C30CFB">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11.20</w:t>
            </w:r>
          </w:p>
        </w:tc>
        <w:tc>
          <w:tcPr>
            <w:tcW w:w="1978" w:type="dxa"/>
            <w:noWrap w:val="0"/>
            <w:vAlign w:val="center"/>
          </w:tcPr>
          <w:p w14:paraId="035BE14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合同价格形式</w:t>
            </w:r>
          </w:p>
        </w:tc>
        <w:tc>
          <w:tcPr>
            <w:tcW w:w="6053" w:type="dxa"/>
            <w:noWrap w:val="0"/>
            <w:vAlign w:val="center"/>
          </w:tcPr>
          <w:p w14:paraId="5EE55ED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总价合同</w:t>
            </w:r>
          </w:p>
          <w:p w14:paraId="25EEB16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单价合同</w:t>
            </w:r>
          </w:p>
          <w:p w14:paraId="2BCF24E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其他价格形式：XXXXX</w:t>
            </w:r>
          </w:p>
        </w:tc>
      </w:tr>
      <w:tr w14:paraId="49E3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59B3F49F">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11.21</w:t>
            </w:r>
          </w:p>
        </w:tc>
        <w:tc>
          <w:tcPr>
            <w:tcW w:w="1978" w:type="dxa"/>
            <w:noWrap w:val="0"/>
            <w:vAlign w:val="center"/>
          </w:tcPr>
          <w:p w14:paraId="5BAFB6F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合同支付条件</w:t>
            </w:r>
          </w:p>
        </w:tc>
        <w:tc>
          <w:tcPr>
            <w:tcW w:w="6053" w:type="dxa"/>
            <w:noWrap w:val="0"/>
            <w:vAlign w:val="center"/>
          </w:tcPr>
          <w:p w14:paraId="784C658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textAlignment w:val="auto"/>
              <w:rPr>
                <w:rFonts w:hint="eastAsia" w:ascii="宋体" w:hAnsi="宋体" w:eastAsia="宋体" w:cs="宋体"/>
                <w:b/>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val="0"/>
                <w:snapToGrid w:val="0"/>
                <w:color w:val="000000" w:themeColor="text1"/>
                <w:kern w:val="0"/>
                <w:sz w:val="21"/>
                <w:szCs w:val="21"/>
                <w:highlight w:val="none"/>
                <w14:textFill>
                  <w14:solidFill>
                    <w14:schemeClr w14:val="tx1"/>
                  </w14:solidFill>
                </w14:textFill>
              </w:rPr>
              <w:t>工程款支付</w:t>
            </w:r>
            <w:r>
              <w:rPr>
                <w:rFonts w:hint="eastAsia" w:ascii="宋体" w:hAnsi="宋体" w:cs="宋体"/>
                <w:b/>
                <w:bCs w:val="0"/>
                <w:snapToGrid w:val="0"/>
                <w:color w:val="000000" w:themeColor="text1"/>
                <w:kern w:val="0"/>
                <w:sz w:val="21"/>
                <w:szCs w:val="21"/>
                <w:highlight w:val="none"/>
                <w:lang w:val="en-US" w:eastAsia="zh-CN"/>
                <w14:textFill>
                  <w14:solidFill>
                    <w14:schemeClr w14:val="tx1"/>
                  </w14:solidFill>
                </w14:textFill>
              </w:rPr>
              <w:t>周期</w:t>
            </w:r>
            <w:r>
              <w:rPr>
                <w:rFonts w:hint="eastAsia" w:ascii="宋体" w:hAnsi="宋体" w:eastAsia="宋体" w:cs="宋体"/>
                <w:b/>
                <w:bCs w:val="0"/>
                <w:snapToGrid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按进度支付  </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b/>
                <w:bCs w:val="0"/>
                <w:snapToGrid w:val="0"/>
                <w:color w:val="000000" w:themeColor="text1"/>
                <w:kern w:val="0"/>
                <w:sz w:val="21"/>
                <w:szCs w:val="21"/>
                <w:highlight w:val="none"/>
                <w14:textFill>
                  <w14:solidFill>
                    <w14:schemeClr w14:val="tx1"/>
                  </w14:solidFill>
                </w14:textFill>
              </w:rPr>
              <w:t>按月支付。</w:t>
            </w:r>
          </w:p>
          <w:p w14:paraId="663CF7F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工程款支付担保：</w:t>
            </w:r>
          </w:p>
          <w:p w14:paraId="442FA31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 xml:space="preserve">（1）担保金额：发包人向施工总承包企业（含建设单位直接分包的专业承包企业）提供施工合同额 </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8%</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□9%</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□10%</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的工程款支付担保。</w:t>
            </w:r>
          </w:p>
          <w:p w14:paraId="3E9C994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（2）办理时限：在取得施工许可证的3个月内办结工程款支付担保。施工单位在收到工程款支付担保后 3 日内将相关资料上传至淮南市农民工工资支付监管平台，未按时按承诺提交工程款支付担保的工程建设项目，将视作建设资金未落实。</w:t>
            </w:r>
          </w:p>
          <w:p w14:paraId="019A921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担保方式：工程款支付担保可以采用银行保函、担保公司担保、第三方担保等方式，也可以用工程款支付保证保险替代。对政府投资房屋建筑和市政工程建设项目，建设单位可以根据合同约定将有权部门出具的相应资金保障证明作为工程款支付担保凭证。</w:t>
            </w:r>
          </w:p>
          <w:p w14:paraId="0CAF56A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保证期限：工程款支付担保保证期限原则上应与施工合同约定的期限保持一致（采用分阶段担保的，建设单位支付相应的工程款后，当期工程款支付担保解除，进入下一阶段工程款支付担保）。施工工期延期的，建设单位应在保证期限到期前 30天，办理保函、保单延期手续。</w:t>
            </w:r>
          </w:p>
          <w:p w14:paraId="4E03E98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5）支付理赔：工程款支付担保保证有效期内，建设单位未按照规定向农民工工资专用账户拨付工资性工程款或者未按照合同约定支付施工进度款的，施工总承包企业（包括专业承包企业，下同）可以要求保证人履行保证责任，同时将拖欠信息报送工程所在地住房和城乡建设主管部门和人力资源社会保障主管部门。</w:t>
            </w:r>
          </w:p>
          <w:p w14:paraId="155DCA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预付款：</w:t>
            </w:r>
          </w:p>
          <w:p w14:paraId="6131C6E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□不设置预付款。</w:t>
            </w:r>
          </w:p>
          <w:p w14:paraId="7A2CD4B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FE"/>
            </w:r>
            <w:r>
              <w:rPr>
                <w:rFonts w:hint="eastAsia" w:ascii="宋体" w:hAnsi="宋体" w:eastAsia="宋体" w:cs="宋体"/>
                <w:color w:val="000000" w:themeColor="text1"/>
                <w:sz w:val="21"/>
                <w:szCs w:val="21"/>
                <w:highlight w:val="none"/>
                <w:lang w:val="en-US" w:eastAsia="zh-CN"/>
                <w14:textFill>
                  <w14:solidFill>
                    <w14:schemeClr w14:val="tx1"/>
                  </w14:solidFill>
                </w14:textFill>
              </w:rPr>
              <w:t>有预付款。</w:t>
            </w:r>
            <w:r>
              <w:rPr>
                <w:rFonts w:hint="eastAsia" w:ascii="宋体" w:hAnsi="宋体" w:cs="宋体"/>
                <w:color w:val="000000" w:themeColor="text1"/>
                <w:sz w:val="21"/>
                <w:szCs w:val="21"/>
                <w:highlight w:val="none"/>
                <w:lang w:val="en-US" w:eastAsia="zh-CN"/>
                <w14:textFill>
                  <w14:solidFill>
                    <w14:schemeClr w14:val="tx1"/>
                  </w14:solidFill>
                </w14:textFill>
              </w:rPr>
              <w:t>预付款金额及支付时间：</w:t>
            </w:r>
            <w:r>
              <w:rPr>
                <w:rFonts w:hint="eastAsia" w:ascii="宋体" w:hAnsi="宋体" w:eastAsia="宋体" w:cs="宋体"/>
                <w:color w:val="000000" w:themeColor="text1"/>
                <w:spacing w:val="0"/>
                <w:w w:val="100"/>
                <w:sz w:val="21"/>
                <w:szCs w:val="21"/>
                <w:highlight w:val="none"/>
                <w14:textFill>
                  <w14:solidFill>
                    <w14:schemeClr w14:val="tx1"/>
                  </w14:solidFill>
                </w14:textFill>
              </w:rPr>
              <w:t>工程预付款的总金额为签约合同价</w:t>
            </w:r>
            <w:r>
              <w:rPr>
                <w:rFonts w:hint="eastAsia" w:ascii="宋体" w:hAnsi="宋体" w:eastAsia="宋体" w:cs="宋体"/>
                <w:color w:val="000000" w:themeColor="text1"/>
                <w:spacing w:val="0"/>
                <w:w w:val="10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sz w:val="21"/>
                <w:szCs w:val="21"/>
                <w:highlight w:val="none"/>
                <w:lang w:val="en-US" w:eastAsia="zh-CN"/>
                <w14:textFill>
                  <w14:solidFill>
                    <w14:schemeClr w14:val="tx1"/>
                  </w14:solidFill>
                </w14:textFill>
              </w:rPr>
              <w:t>扣除暂列金额</w:t>
            </w:r>
            <w:r>
              <w:rPr>
                <w:rFonts w:hint="eastAsia" w:ascii="宋体" w:hAnsi="宋体" w:eastAsia="宋体" w:cs="宋体"/>
                <w:color w:val="000000" w:themeColor="text1"/>
                <w:spacing w:val="0"/>
                <w:w w:val="10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sz w:val="21"/>
                <w:szCs w:val="21"/>
                <w:highlight w:val="none"/>
                <w14:textFill>
                  <w14:solidFill>
                    <w14:schemeClr w14:val="tx1"/>
                  </w14:solidFill>
                </w14:textFill>
              </w:rPr>
              <w:t>的</w:t>
            </w:r>
            <w:r>
              <w:rPr>
                <w:rFonts w:hint="eastAsia" w:ascii="宋体" w:hAnsi="宋体" w:cs="宋体"/>
                <w:color w:val="000000" w:themeColor="text1"/>
                <w:spacing w:val="0"/>
                <w:w w:val="10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0"/>
                <w:w w:val="100"/>
                <w:sz w:val="21"/>
                <w:szCs w:val="21"/>
                <w:highlight w:val="none"/>
                <w14:textFill>
                  <w14:solidFill>
                    <w14:schemeClr w14:val="tx1"/>
                  </w14:solidFill>
                </w14:textFill>
              </w:rPr>
              <w:t>%</w:t>
            </w:r>
            <w:r>
              <w:rPr>
                <w:rFonts w:hint="eastAsia" w:ascii="宋体" w:hAnsi="宋体" w:eastAsia="宋体" w:cs="宋体"/>
                <w:color w:val="000000" w:themeColor="text1"/>
                <w:spacing w:val="0"/>
                <w:w w:val="10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sz w:val="21"/>
                <w:szCs w:val="21"/>
                <w:highlight w:val="none"/>
                <w:lang w:val="en-US" w:eastAsia="zh-CN"/>
                <w14:textFill>
                  <w14:solidFill>
                    <w14:schemeClr w14:val="tx1"/>
                  </w14:solidFill>
                </w14:textFill>
              </w:rPr>
              <w:t>投标人需要在预付款支付前提供等额的银行、保险公司、担保公司等金融机构出具的预付款保函或其他担保措施，经过监理人、发包人认可。在合同、担保措施生效以及具备实施条件后，</w:t>
            </w:r>
            <w:r>
              <w:rPr>
                <w:rFonts w:hint="eastAsia" w:ascii="宋体" w:hAnsi="宋体" w:eastAsia="宋体" w:cs="宋体"/>
                <w:color w:val="000000" w:themeColor="text1"/>
                <w:spacing w:val="0"/>
                <w:w w:val="100"/>
                <w:sz w:val="21"/>
                <w:szCs w:val="21"/>
                <w:highlight w:val="none"/>
                <w14:textFill>
                  <w14:solidFill>
                    <w14:schemeClr w14:val="tx1"/>
                  </w14:solidFill>
                </w14:textFill>
              </w:rPr>
              <w:t>经监理人出具付款证书报送发包人批准后</w:t>
            </w:r>
            <w:r>
              <w:rPr>
                <w:rFonts w:hint="eastAsia" w:ascii="宋体" w:hAnsi="宋体" w:eastAsia="宋体" w:cs="宋体"/>
                <w:color w:val="000000" w:themeColor="text1"/>
                <w:spacing w:val="0"/>
                <w:w w:val="100"/>
                <w:sz w:val="21"/>
                <w:szCs w:val="21"/>
                <w:highlight w:val="none"/>
                <w:lang w:val="en-US" w:eastAsia="zh-CN"/>
                <w14:textFill>
                  <w14:solidFill>
                    <w14:schemeClr w14:val="tx1"/>
                  </w14:solidFill>
                </w14:textFill>
              </w:rPr>
              <w:t>5个工作日内</w:t>
            </w:r>
            <w:r>
              <w:rPr>
                <w:rFonts w:hint="eastAsia" w:ascii="宋体" w:hAnsi="宋体" w:eastAsia="宋体" w:cs="宋体"/>
                <w:color w:val="000000" w:themeColor="text1"/>
                <w:spacing w:val="0"/>
                <w:w w:val="100"/>
                <w:sz w:val="21"/>
                <w:szCs w:val="21"/>
                <w:highlight w:val="none"/>
                <w14:textFill>
                  <w14:solidFill>
                    <w14:schemeClr w14:val="tx1"/>
                  </w14:solidFill>
                </w14:textFill>
              </w:rPr>
              <w:t>予以支付</w:t>
            </w:r>
            <w:r>
              <w:rPr>
                <w:rFonts w:hint="eastAsia" w:ascii="宋体" w:hAnsi="宋体" w:eastAsia="宋体" w:cs="宋体"/>
                <w:color w:val="000000" w:themeColor="text1"/>
                <w:spacing w:val="0"/>
                <w:w w:val="100"/>
                <w:sz w:val="21"/>
                <w:szCs w:val="21"/>
                <w:highlight w:val="none"/>
                <w:lang w:eastAsia="zh-CN"/>
                <w14:textFill>
                  <w14:solidFill>
                    <w14:schemeClr w14:val="tx1"/>
                  </w14:solidFill>
                </w14:textFill>
              </w:rPr>
              <w:t>。</w:t>
            </w:r>
            <w:r>
              <w:rPr>
                <w:rFonts w:hint="eastAsia" w:ascii="宋体" w:hAnsi="宋体" w:cs="宋体"/>
                <w:snapToGrid w:val="0"/>
                <w:color w:val="000000" w:themeColor="text1"/>
                <w:kern w:val="0"/>
                <w:sz w:val="21"/>
                <w:szCs w:val="21"/>
                <w:highlight w:val="none"/>
                <w:lang w:val="en-US" w:eastAsia="zh-CN"/>
                <w14:textFill>
                  <w14:solidFill>
                    <w14:schemeClr w14:val="tx1"/>
                  </w14:solidFill>
                </w14:textFill>
              </w:rPr>
              <w:t>（在签订合同前，承包人书面明确表示无需预付款或者主动要求降低预付款比例的，发包人可按照承包人的书面申请内容，不采用预付款支付规定。）</w:t>
            </w:r>
          </w:p>
          <w:p w14:paraId="42F955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cs="宋体"/>
                <w:snapToGrid w:val="0"/>
                <w:color w:val="000000" w:themeColor="text1"/>
                <w:kern w:val="0"/>
                <w:sz w:val="21"/>
                <w:szCs w:val="21"/>
                <w:highlight w:val="none"/>
                <w:lang w:val="en-US" w:eastAsia="zh-CN"/>
                <w14:textFill>
                  <w14:solidFill>
                    <w14:schemeClr w14:val="tx1"/>
                  </w14:solidFill>
                </w14:textFill>
              </w:rPr>
              <w:t>发包人拨付给承包人预付款及工程进度款优先保证承包人按月支付人工费，承包人支付建筑工人的人工费用周期不得超过1个月。人工费拨付需要严格遵守国家、安徽省、淮南市有关农民工工资拨付的各项时间节点、比例与政策要求。</w:t>
            </w:r>
          </w:p>
          <w:p w14:paraId="22B50BA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支付方式（</w:t>
            </w:r>
            <w:r>
              <w:rPr>
                <w:rFonts w:hint="eastAsia" w:cs="宋体"/>
                <w:b/>
                <w:color w:val="000000" w:themeColor="text1"/>
                <w:kern w:val="2"/>
                <w:sz w:val="21"/>
                <w:szCs w:val="21"/>
                <w:highlight w:val="none"/>
                <w:lang w:val="en-US" w:eastAsia="zh-CN"/>
                <w14:textFill>
                  <w14:solidFill>
                    <w14:schemeClr w14:val="tx1"/>
                  </w14:solidFill>
                </w14:textFill>
              </w:rPr>
              <w:t>人工费与其他工程款分账管理，工程款按月支付</w:t>
            </w:r>
            <w:r>
              <w:rPr>
                <w:rFonts w:hint="eastAsia" w:ascii="宋体" w:hAnsi="宋体" w:cs="宋体"/>
                <w:b/>
                <w:bCs/>
                <w:color w:val="000000" w:themeColor="text1"/>
                <w:sz w:val="21"/>
                <w:szCs w:val="21"/>
                <w:highlight w:val="none"/>
                <w:lang w:val="en-US" w:eastAsia="zh-CN"/>
                <w14:textFill>
                  <w14:solidFill>
                    <w14:schemeClr w14:val="tx1"/>
                  </w14:solidFill>
                </w14:textFill>
              </w:rPr>
              <w:t>）：</w:t>
            </w:r>
          </w:p>
          <w:p w14:paraId="6CF0848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（1）每期支付的金额采用银行转账形式。以联合体形式承揽项目的承包人，款项支付给联合体中的收款方。</w:t>
            </w:r>
          </w:p>
          <w:p w14:paraId="7803D6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cs="宋体"/>
                <w:bCs/>
                <w:snapToGrid w:val="0"/>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每月支付已完合格工程价款的</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 xml:space="preserve"> </w:t>
            </w:r>
            <w:r>
              <w:rPr>
                <w:rFonts w:hint="eastAsia" w:ascii="宋体" w:hAnsi="宋体" w:cs="宋体"/>
                <w:bCs/>
                <w:snapToGrid w:val="0"/>
                <w:color w:val="000000" w:themeColor="text1"/>
                <w:kern w:val="0"/>
                <w:sz w:val="21"/>
                <w:szCs w:val="21"/>
                <w:highlight w:val="none"/>
                <w:lang w:val="en-US" w:eastAsia="zh-CN"/>
                <w14:textFill>
                  <w14:solidFill>
                    <w14:schemeClr w14:val="tx1"/>
                  </w14:solidFill>
                </w14:textFill>
              </w:rPr>
              <w:t xml:space="preserve">XX </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cs="宋体"/>
                <w:bCs/>
                <w:snapToGrid w:val="0"/>
                <w:color w:val="000000" w:themeColor="text1"/>
                <w:kern w:val="0"/>
                <w:sz w:val="21"/>
                <w:szCs w:val="21"/>
                <w:highlight w:val="none"/>
                <w:lang w:val="en-US" w:eastAsia="zh-CN"/>
                <w14:textFill>
                  <w14:solidFill>
                    <w14:schemeClr w14:val="tx1"/>
                  </w14:solidFill>
                </w14:textFill>
              </w:rPr>
              <w:t>含预付款</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累计支付至合同价款</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XX</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后暂停支付</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；全部工程竣工验收合格后付至已完合格工程价款的</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 xml:space="preserve"> </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 xml:space="preserve">XX </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p>
          <w:p w14:paraId="0BE55723">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default" w:eastAsia="宋体" w:cs="宋体"/>
                <w:b/>
                <w:color w:val="000000" w:themeColor="text1"/>
                <w:kern w:val="2"/>
                <w:sz w:val="21"/>
                <w:szCs w:val="21"/>
                <w:highlight w:val="none"/>
                <w:lang w:val="en-US" w:eastAsia="zh-CN"/>
                <w14:textFill>
                  <w14:solidFill>
                    <w14:schemeClr w14:val="tx1"/>
                  </w14:solidFill>
                </w14:textFill>
              </w:rPr>
            </w:pPr>
            <w:r>
              <w:rPr>
                <w:rFonts w:hint="eastAsia" w:cs="宋体"/>
                <w:b/>
                <w:color w:val="000000" w:themeColor="text1"/>
                <w:kern w:val="2"/>
                <w:sz w:val="21"/>
                <w:szCs w:val="21"/>
                <w:highlight w:val="none"/>
                <w:lang w:val="en-US" w:eastAsia="zh-CN"/>
                <w14:textFill>
                  <w14:solidFill>
                    <w14:schemeClr w14:val="tx1"/>
                  </w14:solidFill>
                </w14:textFill>
              </w:rPr>
              <w:t>人工费：按月支付。发包人</w:t>
            </w:r>
            <w:r>
              <w:rPr>
                <w:rFonts w:hint="eastAsia" w:cs="宋体"/>
                <w:b/>
                <w:color w:val="000000" w:themeColor="text1"/>
                <w:sz w:val="21"/>
                <w:szCs w:val="21"/>
                <w:highlight w:val="none"/>
                <w14:textFill>
                  <w14:solidFill>
                    <w14:schemeClr w14:val="tx1"/>
                  </w14:solidFill>
                </w14:textFill>
              </w:rPr>
              <w:t>每月25日前将工资性工程进度款转入农民工工资专用账户</w:t>
            </w:r>
            <w:r>
              <w:rPr>
                <w:rFonts w:hint="eastAsia" w:cs="宋体"/>
                <w:b/>
                <w:color w:val="000000" w:themeColor="text1"/>
                <w:sz w:val="21"/>
                <w:szCs w:val="21"/>
                <w:highlight w:val="none"/>
                <w:lang w:eastAsia="zh-CN"/>
                <w14:textFill>
                  <w14:solidFill>
                    <w14:schemeClr w14:val="tx1"/>
                  </w14:solidFill>
                </w14:textFill>
              </w:rPr>
              <w:t>，</w:t>
            </w:r>
            <w:r>
              <w:rPr>
                <w:rFonts w:hint="eastAsia" w:cs="宋体"/>
                <w:b/>
                <w:color w:val="000000" w:themeColor="text1"/>
                <w:sz w:val="21"/>
                <w:szCs w:val="21"/>
                <w:highlight w:val="none"/>
                <w:lang w:val="en-US" w:eastAsia="zh-CN"/>
                <w14:textFill>
                  <w14:solidFill>
                    <w14:schemeClr w14:val="tx1"/>
                  </w14:solidFill>
                </w14:textFill>
              </w:rPr>
              <w:t>拨付比例不低于当月工程结算</w:t>
            </w:r>
            <w:r>
              <w:rPr>
                <w:rFonts w:hint="eastAsia" w:cs="宋体"/>
                <w:b/>
                <w:color w:val="000000" w:themeColor="text1"/>
                <w:sz w:val="21"/>
                <w:szCs w:val="21"/>
                <w:highlight w:val="none"/>
                <w:lang w:val="en-US" w:eastAsia="zh-CN"/>
                <w14:textFill>
                  <w14:solidFill>
                    <w14:schemeClr w14:val="tx1"/>
                  </w14:solidFill>
                </w14:textFill>
              </w:rPr>
              <w:t>款的XX%</w:t>
            </w:r>
            <w:r>
              <w:rPr>
                <w:rFonts w:hint="eastAsia" w:cs="宋体"/>
                <w:b/>
                <w:color w:val="000000" w:themeColor="text1"/>
                <w:sz w:val="21"/>
                <w:szCs w:val="21"/>
                <w:highlight w:val="none"/>
                <w:lang w:val="en-US" w:eastAsia="zh-CN"/>
                <w14:textFill>
                  <w14:solidFill>
                    <w14:schemeClr w14:val="tx1"/>
                  </w14:solidFill>
                </w14:textFill>
              </w:rPr>
              <w:t>；按照合同约定当月不具备结算和计量条件的，拨付人工费的原则不低于工程总造价÷计划工期（月）×人工费比例。</w:t>
            </w:r>
          </w:p>
          <w:p w14:paraId="32138C95">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default" w:eastAsia="宋体" w:cs="宋体"/>
                <w:b/>
                <w:color w:val="000000" w:themeColor="text1"/>
                <w:kern w:val="2"/>
                <w:sz w:val="21"/>
                <w:szCs w:val="21"/>
                <w:highlight w:val="none"/>
                <w:lang w:val="en-US" w:eastAsia="zh-CN"/>
                <w14:textFill>
                  <w14:solidFill>
                    <w14:schemeClr w14:val="tx1"/>
                  </w14:solidFill>
                </w14:textFill>
              </w:rPr>
            </w:pPr>
            <w:r>
              <w:rPr>
                <w:rFonts w:hint="eastAsia" w:cs="宋体"/>
                <w:b/>
                <w:color w:val="000000" w:themeColor="text1"/>
                <w:kern w:val="2"/>
                <w:sz w:val="21"/>
                <w:szCs w:val="21"/>
                <w:highlight w:val="none"/>
                <w:lang w:val="en-US" w:eastAsia="zh-CN"/>
                <w14:textFill>
                  <w14:solidFill>
                    <w14:schemeClr w14:val="tx1"/>
                  </w14:solidFill>
                </w14:textFill>
              </w:rPr>
              <w:t>其他工程款：</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cs="宋体"/>
                <w:b/>
                <w:color w:val="000000" w:themeColor="text1"/>
                <w:kern w:val="2"/>
                <w:sz w:val="21"/>
                <w:szCs w:val="21"/>
                <w:highlight w:val="none"/>
                <w:lang w:val="en-US" w:eastAsia="zh-CN"/>
                <w14:textFill>
                  <w14:solidFill>
                    <w14:schemeClr w14:val="tx1"/>
                  </w14:solidFill>
                </w14:textFill>
              </w:rPr>
              <w:t>按进度支付</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cs="宋体"/>
                <w:b/>
                <w:color w:val="000000" w:themeColor="text1"/>
                <w:kern w:val="2"/>
                <w:sz w:val="21"/>
                <w:szCs w:val="21"/>
                <w:highlight w:val="none"/>
                <w:lang w:val="en-US" w:eastAsia="zh-CN"/>
                <w14:textFill>
                  <w14:solidFill>
                    <w14:schemeClr w14:val="tx1"/>
                  </w14:solidFill>
                </w14:textFill>
              </w:rPr>
              <w:t>按月支付</w:t>
            </w:r>
            <w:r>
              <w:rPr>
                <w:rFonts w:hint="eastAsia" w:cs="宋体"/>
                <w:b/>
                <w:color w:val="000000" w:themeColor="text1"/>
                <w:kern w:val="2"/>
                <w:sz w:val="21"/>
                <w:szCs w:val="21"/>
                <w:highlight w:val="none"/>
                <w:lang w:val="en-US" w:eastAsia="zh-CN"/>
                <w14:textFill>
                  <w14:solidFill>
                    <w14:schemeClr w14:val="tx1"/>
                  </w14:solidFill>
                </w14:textFill>
              </w:rPr>
              <w:t>。</w:t>
            </w:r>
          </w:p>
          <w:p w14:paraId="547B4A2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在完成工程竣工结算审核后的一个月内，支付至工程审定价的</w:t>
            </w:r>
            <w:r>
              <w:rPr>
                <w:rFonts w:hint="eastAsia" w:ascii="宋体" w:hAnsi="宋体" w:cs="宋体"/>
                <w:color w:val="000000" w:themeColor="text1"/>
                <w:sz w:val="21"/>
                <w:szCs w:val="21"/>
                <w:highlight w:val="non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合同约定人工费或材料差价予以调整的，则按合同约定在竣工结算时统一调整</w:t>
            </w:r>
            <w:r>
              <w:rPr>
                <w:rFonts w:hint="eastAsia" w:ascii="宋体" w:hAnsi="宋体" w:eastAsia="宋体" w:cs="宋体"/>
                <w:color w:val="000000" w:themeColor="text1"/>
                <w:sz w:val="21"/>
                <w:szCs w:val="21"/>
                <w:highlight w:val="none"/>
                <w14:textFill>
                  <w14:solidFill>
                    <w14:schemeClr w14:val="tx1"/>
                  </w14:solidFill>
                </w14:textFill>
              </w:rPr>
              <w:t>）。剩余结算价的</w:t>
            </w:r>
            <w:r>
              <w:rPr>
                <w:rFonts w:hint="eastAsia" w:ascii="宋体" w:hAnsi="宋体" w:cs="宋体"/>
                <w:color w:val="000000" w:themeColor="text1"/>
                <w:sz w:val="21"/>
                <w:szCs w:val="21"/>
                <w:highlight w:val="none"/>
                <w:lang w:val="en-US" w:eastAsia="zh-CN"/>
                <w14:textFill>
                  <w14:solidFill>
                    <w14:schemeClr w14:val="tx1"/>
                  </w14:solidFill>
                </w14:textFill>
              </w:rPr>
              <w:t>XX</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作为工程质量保修金</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待缺陷责任期满无异议（扣除因承包人原因造成的质量问题而由发包人或委托他人进行维修的费用）后支付余款。</w:t>
            </w:r>
            <w:r>
              <w:rPr>
                <w:rFonts w:hint="eastAsia" w:ascii="宋体" w:hAnsi="宋体" w:cs="宋体"/>
                <w:snapToGrid w:val="0"/>
                <w:color w:val="000000" w:themeColor="text1"/>
                <w:kern w:val="0"/>
                <w:sz w:val="21"/>
                <w:szCs w:val="21"/>
                <w:highlight w:val="none"/>
                <w:lang w:val="en-US" w:eastAsia="zh-CN"/>
                <w14:textFill>
                  <w14:solidFill>
                    <w14:schemeClr w14:val="tx1"/>
                  </w14:solidFill>
                </w14:textFill>
              </w:rPr>
              <w:t>对已按合同约定提供工程履约担保的，与履约担保金额等额的质量保证金部分不再重复提供</w:t>
            </w:r>
            <w:r>
              <w:rPr>
                <w:rFonts w:hint="eastAsia" w:ascii="宋体" w:hAnsi="宋体" w:cs="宋体"/>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有违约事项的，扣除相应违约金</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p>
          <w:p w14:paraId="300E842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eastAsia="zh-CN"/>
                <w14:textFill>
                  <w14:solidFill>
                    <w14:schemeClr w14:val="tx1"/>
                  </w14:solidFill>
                </w14:textFill>
              </w:rPr>
              <w:t>）支持建筑业企业以银行保函、保证保险等方式替代预留工程质量保证金。在工程交工验收合格并经审计结束后7日内，递交等额的质量保证金担保，经发包人审核同意后。发包人支付工程款至经审计造价的100%。有违约事项的，扣除相应违约金，质量保证金担保到期后自动失效。</w:t>
            </w:r>
          </w:p>
          <w:p w14:paraId="391C60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注：</w:t>
            </w:r>
          </w:p>
          <w:p w14:paraId="34E573D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1、该项目施工合同依法在全国公共资源交易平台（安徽省.淮南市）公开或备案后方可付款（包括预付款）。</w:t>
            </w:r>
          </w:p>
          <w:p w14:paraId="433BBA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2、按照规定应办理建筑工程施工许可证的房屋建筑和市政工程建设项目，均应办理工程款支付担保。按照安徽省住建厅《关于加强房屋建筑和市政基础设施工程建设领域工程款支付担保管理工作的通知》（建市〔2022〕54号）执行。</w:t>
            </w:r>
          </w:p>
        </w:tc>
      </w:tr>
      <w:tr w14:paraId="2E79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1DA7C620">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11.22</w:t>
            </w:r>
          </w:p>
        </w:tc>
        <w:tc>
          <w:tcPr>
            <w:tcW w:w="1978" w:type="dxa"/>
            <w:noWrap w:val="0"/>
            <w:vAlign w:val="center"/>
          </w:tcPr>
          <w:p w14:paraId="2B98F391">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安全</w:t>
            </w:r>
            <w:r>
              <w:rPr>
                <w:rFonts w:hint="eastAsia" w:ascii="宋体" w:hAnsi="宋体" w:eastAsia="宋体" w:cs="宋体"/>
                <w:color w:val="000000" w:themeColor="text1"/>
                <w:sz w:val="21"/>
                <w:szCs w:val="21"/>
                <w:highlight w:val="none"/>
                <w:lang w:val="en-US" w:eastAsia="zh-CN"/>
                <w14:textFill>
                  <w14:solidFill>
                    <w14:schemeClr w14:val="tx1"/>
                  </w14:solidFill>
                </w14:textFill>
              </w:rPr>
              <w:t>生产措施费</w:t>
            </w:r>
          </w:p>
          <w:p w14:paraId="02D9F90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支付</w:t>
            </w:r>
          </w:p>
        </w:tc>
        <w:tc>
          <w:tcPr>
            <w:tcW w:w="6053" w:type="dxa"/>
            <w:noWrap w:val="0"/>
            <w:vAlign w:val="center"/>
          </w:tcPr>
          <w:p w14:paraId="067722F9">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本项目投标价中安全生产措施费按以下阶段单独支付：</w:t>
            </w:r>
          </w:p>
          <w:p w14:paraId="3FF07770">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开工后 28 日内</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支付</w:t>
            </w:r>
            <w:r>
              <w:rPr>
                <w:rFonts w:hint="eastAsia" w:ascii="宋体" w:hAnsi="宋体" w:eastAsia="宋体" w:cs="宋体"/>
                <w:color w:val="000000" w:themeColor="text1"/>
                <w:sz w:val="21"/>
                <w:szCs w:val="21"/>
                <w:highlight w:val="none"/>
                <w:lang w:val="en-US" w:eastAsia="zh-CN"/>
                <w14:textFill>
                  <w14:solidFill>
                    <w14:schemeClr w14:val="tx1"/>
                  </w14:solidFill>
                </w14:textFill>
              </w:rPr>
              <w:t>不低于</w:t>
            </w:r>
            <w:r>
              <w:rPr>
                <w:rFonts w:hint="eastAsia" w:ascii="宋体" w:hAnsi="宋体" w:eastAsia="宋体" w:cs="宋体"/>
                <w:color w:val="000000" w:themeColor="text1"/>
                <w:sz w:val="21"/>
                <w:szCs w:val="21"/>
                <w:highlight w:val="none"/>
                <w14:textFill>
                  <w14:solidFill>
                    <w14:schemeClr w14:val="tx1"/>
                  </w14:solidFill>
                </w14:textFill>
              </w:rPr>
              <w:t xml:space="preserve">合同价中安全生产措施费总金额的 </w:t>
            </w:r>
            <w:r>
              <w:rPr>
                <w:rFonts w:hint="eastAsia" w:ascii="宋体" w:hAnsi="宋体" w:cs="宋体"/>
                <w:color w:val="000000" w:themeColor="text1"/>
                <w:sz w:val="21"/>
                <w:szCs w:val="21"/>
                <w:highlight w:val="none"/>
                <w:lang w:val="en-US" w:eastAsia="zh-CN"/>
                <w14:textFill>
                  <w14:solidFill>
                    <w14:schemeClr w14:val="tx1"/>
                  </w14:solidFill>
                </w14:textFill>
              </w:rPr>
              <w:t>XX% 给承包方</w:t>
            </w:r>
            <w:r>
              <w:rPr>
                <w:rFonts w:hint="eastAsia" w:ascii="宋体" w:hAnsi="宋体" w:eastAsia="宋体" w:cs="宋体"/>
                <w:color w:val="000000" w:themeColor="text1"/>
                <w:sz w:val="21"/>
                <w:szCs w:val="21"/>
                <w:highlight w:val="none"/>
                <w14:textFill>
                  <w14:solidFill>
                    <w14:schemeClr w14:val="tx1"/>
                  </w14:solidFill>
                </w14:textFill>
              </w:rPr>
              <w:t>%</w:t>
            </w:r>
            <w:r>
              <w:rPr>
                <w:rStyle w:val="28"/>
                <w:rFonts w:hint="eastAsia" w:ascii="宋体" w:hAnsi="宋体" w:eastAsia="宋体" w:cs="宋体"/>
                <w:color w:val="000000" w:themeColor="text1"/>
                <w:sz w:val="21"/>
                <w:szCs w:val="21"/>
                <w:highlight w:val="none"/>
                <w14:textFill>
                  <w14:solidFill>
                    <w14:schemeClr w14:val="tx1"/>
                  </w14:solidFill>
                </w14:textFill>
              </w:rPr>
              <w:footnoteReference w:id="34"/>
            </w:r>
            <w:r>
              <w:rPr>
                <w:rFonts w:hint="eastAsia" w:ascii="宋体" w:hAnsi="宋体" w:eastAsia="宋体" w:cs="宋体"/>
                <w:color w:val="000000" w:themeColor="text1"/>
                <w:sz w:val="21"/>
                <w:szCs w:val="21"/>
                <w:highlight w:val="none"/>
                <w14:textFill>
                  <w14:solidFill>
                    <w14:schemeClr w14:val="tx1"/>
                  </w14:solidFill>
                </w14:textFill>
              </w:rPr>
              <w:t>；。</w:t>
            </w:r>
          </w:p>
          <w:p w14:paraId="741CB291">
            <w:pPr>
              <w:pStyle w:val="98"/>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color w:val="000000" w:themeColor="text1"/>
                <w:sz w:val="21"/>
                <w:szCs w:val="21"/>
                <w:highlight w:val="none"/>
                <w:u w:val="none"/>
                <w14:textFill>
                  <w14:solidFill>
                    <w14:schemeClr w14:val="tx1"/>
                  </w14:solidFill>
                </w14:textFill>
              </w:rPr>
            </w:pPr>
            <w:r>
              <w:rPr>
                <w:rFonts w:hint="eastAsia"/>
                <w:color w:val="000000" w:themeColor="text1"/>
                <w:sz w:val="21"/>
                <w:szCs w:val="21"/>
                <w:highlight w:val="none"/>
                <w:u w:val="none"/>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其余部分与进度款同期支付</w:t>
            </w:r>
            <w:r>
              <w:rPr>
                <w:rFonts w:hint="eastAsia"/>
                <w:color w:val="000000" w:themeColor="text1"/>
                <w:sz w:val="21"/>
                <w:szCs w:val="21"/>
                <w:highlight w:val="none"/>
                <w:u w:val="none"/>
                <w14:textFill>
                  <w14:solidFill>
                    <w14:schemeClr w14:val="tx1"/>
                  </w14:solidFill>
                </w14:textFill>
              </w:rPr>
              <w:t>；</w:t>
            </w:r>
          </w:p>
          <w:p w14:paraId="14754F69">
            <w:pPr>
              <w:pStyle w:val="98"/>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u w:val="none"/>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安全生产措施费</w:t>
            </w:r>
            <w:r>
              <w:rPr>
                <w:rFonts w:hint="eastAsia" w:cs="宋体"/>
                <w:color w:val="000000" w:themeColor="text1"/>
                <w:sz w:val="21"/>
                <w:szCs w:val="21"/>
                <w:highlight w:val="none"/>
                <w:lang w:val="en-US" w:eastAsia="zh-CN"/>
                <w14:textFill>
                  <w14:solidFill>
                    <w14:schemeClr w14:val="tx1"/>
                  </w14:solidFill>
                </w14:textFill>
              </w:rPr>
              <w:t>支付的其他约定：XXXX</w:t>
            </w:r>
            <w:r>
              <w:rPr>
                <w:rFonts w:hint="eastAsia"/>
                <w:color w:val="000000" w:themeColor="text1"/>
                <w:sz w:val="21"/>
                <w:szCs w:val="21"/>
                <w:highlight w:val="none"/>
                <w:u w:val="none"/>
                <w14:textFill>
                  <w14:solidFill>
                    <w14:schemeClr w14:val="tx1"/>
                  </w14:solidFill>
                </w14:textFill>
              </w:rPr>
              <w:t>。</w:t>
            </w:r>
          </w:p>
        </w:tc>
      </w:tr>
      <w:tr w14:paraId="333C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3A25FE2F">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11.23</w:t>
            </w:r>
          </w:p>
        </w:tc>
        <w:tc>
          <w:tcPr>
            <w:tcW w:w="1978" w:type="dxa"/>
            <w:noWrap w:val="0"/>
            <w:vAlign w:val="center"/>
          </w:tcPr>
          <w:p w14:paraId="5DF9EE8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质量保证金</w:t>
            </w:r>
          </w:p>
        </w:tc>
        <w:tc>
          <w:tcPr>
            <w:tcW w:w="6053" w:type="dxa"/>
            <w:noWrap w:val="0"/>
            <w:vAlign w:val="center"/>
          </w:tcPr>
          <w:p w14:paraId="764938B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1、本项目是否扣留质量保证金：</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□否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FE"/>
            </w:r>
            <w:r>
              <w:rPr>
                <w:rFonts w:hint="eastAsia" w:ascii="宋体" w:hAnsi="宋体" w:eastAsia="宋体" w:cs="宋体"/>
                <w:color w:val="000000" w:themeColor="text1"/>
                <w:sz w:val="21"/>
                <w:szCs w:val="21"/>
                <w:highlight w:val="none"/>
                <w:lang w:val="en-US" w:eastAsia="zh-CN"/>
                <w14:textFill>
                  <w14:solidFill>
                    <w14:schemeClr w14:val="tx1"/>
                  </w14:solidFill>
                </w14:textFill>
              </w:rPr>
              <w:t>是</w:t>
            </w:r>
          </w:p>
          <w:p w14:paraId="48AFE94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在工程项目竣工前，承包人按专用合同条款第3.7条提供履约担保的，发包人不得同时预留工程质量保证金。</w:t>
            </w:r>
          </w:p>
          <w:p w14:paraId="3E432380">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2、承包人提供质量保证金的方式</w:t>
            </w:r>
          </w:p>
          <w:p w14:paraId="2976D3E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质量保证金可由承包人选择采用以下方式其一递交：</w:t>
            </w:r>
          </w:p>
          <w:p w14:paraId="5752733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（1）扣留3%的结算工程款</w:t>
            </w:r>
            <w:r>
              <w:rPr>
                <w:rFonts w:hint="eastAsia" w:ascii="宋体" w:hAnsi="宋体" w:eastAsia="宋体" w:cs="宋体"/>
                <w:color w:val="000000" w:themeColor="text1"/>
                <w:sz w:val="21"/>
                <w:szCs w:val="21"/>
                <w:highlight w:val="none"/>
                <w:lang w:val="en-US" w:eastAsia="zh-CN"/>
                <w14:textFill>
                  <w14:solidFill>
                    <w14:schemeClr w14:val="tx1"/>
                  </w14:solidFill>
                </w14:textFill>
              </w:rPr>
              <w:t>或提供等额的</w:t>
            </w:r>
            <w:r>
              <w:rPr>
                <w:rFonts w:hint="eastAsia" w:ascii="宋体" w:hAnsi="宋体" w:eastAsia="宋体" w:cs="宋体"/>
                <w:color w:val="000000" w:themeColor="text1"/>
                <w:sz w:val="21"/>
                <w:szCs w:val="21"/>
                <w:highlight w:val="none"/>
                <w14:textFill>
                  <w14:solidFill>
                    <w14:schemeClr w14:val="tx1"/>
                  </w14:solidFill>
                </w14:textFill>
              </w:rPr>
              <w:t>质量保证金保函</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已采用银行保函形式递交过履约保证金，且保函截止日期在项目缺陷责任期之后的，扣留1%结算工程款或由承包人补充提交1%结算工程款的质量担保。</w:t>
            </w:r>
          </w:p>
          <w:p w14:paraId="3E92B93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担保</w:t>
            </w:r>
            <w:r>
              <w:rPr>
                <w:rFonts w:hint="eastAsia" w:ascii="宋体" w:hAnsi="宋体" w:eastAsia="宋体" w:cs="宋体"/>
                <w:color w:val="000000" w:themeColor="text1"/>
                <w:sz w:val="21"/>
                <w:szCs w:val="21"/>
                <w:highlight w:val="none"/>
                <w14:textFill>
                  <w14:solidFill>
                    <w14:schemeClr w14:val="tx1"/>
                  </w14:solidFill>
                </w14:textFill>
              </w:rPr>
              <w:t>方式:支持承包人以</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①</w:t>
            </w:r>
            <w:r>
              <w:rPr>
                <w:rFonts w:hint="eastAsia" w:ascii="宋体" w:hAnsi="宋体" w:eastAsia="宋体" w:cs="宋体"/>
                <w:b/>
                <w:bCs/>
                <w:color w:val="000000" w:themeColor="text1"/>
                <w:sz w:val="21"/>
                <w:szCs w:val="21"/>
                <w:highlight w:val="none"/>
                <w14:textFill>
                  <w14:solidFill>
                    <w14:schemeClr w14:val="tx1"/>
                  </w14:solidFill>
                </w14:textFill>
              </w:rPr>
              <w:t>银行转账</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②</w:t>
            </w:r>
            <w:r>
              <w:rPr>
                <w:rFonts w:hint="eastAsia" w:ascii="宋体" w:hAnsi="宋体" w:eastAsia="宋体" w:cs="宋体"/>
                <w:b/>
                <w:bCs/>
                <w:color w:val="000000" w:themeColor="text1"/>
                <w:sz w:val="21"/>
                <w:szCs w:val="21"/>
                <w:highlight w:val="none"/>
                <w14:textFill>
                  <w14:solidFill>
                    <w14:schemeClr w14:val="tx1"/>
                  </w14:solidFill>
                </w14:textFill>
              </w:rPr>
              <w:t>银行电汇</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b/>
                <w:bCs/>
                <w:color w:val="000000" w:themeColor="text1"/>
                <w:sz w:val="21"/>
                <w:szCs w:val="21"/>
                <w:highlight w:val="none"/>
                <w14:textFill>
                  <w14:solidFill>
                    <w14:schemeClr w14:val="tx1"/>
                  </w14:solidFill>
                </w14:textFill>
              </w:rPr>
              <w:t>网银支付</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④</w:t>
            </w:r>
            <w:r>
              <w:rPr>
                <w:rFonts w:hint="eastAsia" w:ascii="宋体" w:hAnsi="宋体" w:eastAsia="宋体" w:cs="宋体"/>
                <w:b/>
                <w:bCs/>
                <w:color w:val="000000" w:themeColor="text1"/>
                <w:sz w:val="21"/>
                <w:szCs w:val="21"/>
                <w:highlight w:val="none"/>
                <w14:textFill>
                  <w14:solidFill>
                    <w14:schemeClr w14:val="tx1"/>
                  </w14:solidFill>
                </w14:textFill>
              </w:rPr>
              <w:t>银行保函</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⑤</w:t>
            </w:r>
            <w:r>
              <w:rPr>
                <w:rFonts w:hint="eastAsia" w:ascii="宋体" w:hAnsi="宋体" w:eastAsia="宋体" w:cs="宋体"/>
                <w:b/>
                <w:bCs/>
                <w:color w:val="000000" w:themeColor="text1"/>
                <w:sz w:val="21"/>
                <w:szCs w:val="21"/>
                <w:highlight w:val="none"/>
                <w14:textFill>
                  <w14:solidFill>
                    <w14:schemeClr w14:val="tx1"/>
                  </w14:solidFill>
                </w14:textFill>
              </w:rPr>
              <w:t>担保机构担保（担保保函）、</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⑥</w:t>
            </w:r>
            <w:r>
              <w:rPr>
                <w:rFonts w:hint="eastAsia" w:ascii="宋体" w:hAnsi="宋体" w:eastAsia="宋体" w:cs="宋体"/>
                <w:b/>
                <w:bCs/>
                <w:color w:val="000000" w:themeColor="text1"/>
                <w:sz w:val="21"/>
                <w:szCs w:val="21"/>
                <w:highlight w:val="none"/>
                <w14:textFill>
                  <w14:solidFill>
                    <w14:schemeClr w14:val="tx1"/>
                  </w14:solidFill>
                </w14:textFill>
              </w:rPr>
              <w:t>保证保险</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以上方式</w:t>
            </w:r>
            <w:r>
              <w:rPr>
                <w:rFonts w:hint="eastAsia" w:ascii="宋体" w:hAnsi="宋体" w:cs="宋体"/>
                <w:b/>
                <w:bCs/>
                <w:color w:val="000000" w:themeColor="text1"/>
                <w:sz w:val="21"/>
                <w:szCs w:val="21"/>
                <w:highlight w:val="none"/>
                <w:lang w:eastAsia="zh-CN"/>
                <w14:textFill>
                  <w14:solidFill>
                    <w14:schemeClr w14:val="tx1"/>
                  </w14:solidFill>
                </w14:textFill>
              </w:rPr>
              <w:t>均可</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color w:val="000000" w:themeColor="text1"/>
                <w:sz w:val="21"/>
                <w:szCs w:val="21"/>
                <w:highlight w:val="none"/>
                <w14:textFill>
                  <w14:solidFill>
                    <w14:schemeClr w14:val="tx1"/>
                  </w14:solidFill>
                </w14:textFill>
              </w:rPr>
              <w:t>方式替代预留工程质量保证金。在工程交工验收合格并经审计结束后7日内，递交等额的质量保证金担保，经发包人审核同意后。发包人支付工程款至100%。有工程维修事项的，扣除相应责任维修金，缺陷责任期满并经验收合格后，退还相应保函或保险。</w:t>
            </w:r>
          </w:p>
          <w:p w14:paraId="00885BD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3、关于质量保证金的补充约定： </w:t>
            </w:r>
          </w:p>
          <w:p w14:paraId="755B1D6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（1）质量保证金退还时不计利息，保修期自竣工验收合格之日起算。保修期满后，返还</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%的质量保证金（扣除相关责任款）。</w:t>
            </w:r>
          </w:p>
          <w:p w14:paraId="007E343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（2）属于保修范围、内容的项目，承包人应当在接到保修通知之日起 </w:t>
            </w:r>
            <w:r>
              <w:rPr>
                <w:rFonts w:hint="eastAsia" w:ascii="宋体" w:hAnsi="宋体" w:cs="宋体"/>
                <w:color w:val="000000" w:themeColor="text1"/>
                <w:sz w:val="21"/>
                <w:szCs w:val="21"/>
                <w:highlight w:val="none"/>
                <w:lang w:val="en-US" w:eastAsia="zh-CN"/>
                <w14:textFill>
                  <w14:solidFill>
                    <w14:schemeClr w14:val="tx1"/>
                  </w14:solidFill>
                </w14:textFill>
              </w:rPr>
              <w:t>24</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小时内派人保修。承包人不在约定期限内派人保修的，发包人可以委托他人修理，费用由发包人从承包人的质量保证金中扣除，承包人不得对保修费用金额提出异议。</w:t>
            </w:r>
          </w:p>
          <w:p w14:paraId="66AA1D8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（3）采用履约保函等有效期至缺陷责任期后的，相同金额部分不用重复递交。</w:t>
            </w:r>
          </w:p>
        </w:tc>
      </w:tr>
      <w:tr w14:paraId="59E6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26527062">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11.24</w:t>
            </w:r>
          </w:p>
        </w:tc>
        <w:tc>
          <w:tcPr>
            <w:tcW w:w="1978" w:type="dxa"/>
            <w:noWrap w:val="0"/>
            <w:vAlign w:val="center"/>
          </w:tcPr>
          <w:p w14:paraId="51D9A340">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农民工工资保证金</w:t>
            </w:r>
          </w:p>
        </w:tc>
        <w:tc>
          <w:tcPr>
            <w:tcW w:w="6053" w:type="dxa"/>
            <w:noWrap w:val="0"/>
            <w:vAlign w:val="center"/>
          </w:tcPr>
          <w:p w14:paraId="7BE49FE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支持承包人以</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14:textFill>
                  <w14:solidFill>
                    <w14:schemeClr w14:val="tx1"/>
                  </w14:solidFill>
                </w14:textFill>
              </w:rPr>
              <w:t xml:space="preserve">转账 </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14:textFill>
                  <w14:solidFill>
                    <w14:schemeClr w14:val="tx1"/>
                  </w14:solidFill>
                </w14:textFill>
              </w:rPr>
              <w:t xml:space="preserve">电汇 </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14:textFill>
                  <w14:solidFill>
                    <w14:schemeClr w14:val="tx1"/>
                  </w14:solidFill>
                </w14:textFill>
              </w:rPr>
              <w:t xml:space="preserve">网银支付 </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保函</w:t>
            </w:r>
            <w:r>
              <w:rPr>
                <w:rFonts w:hint="eastAsia" w:ascii="宋体" w:hAnsi="宋体" w:eastAsia="宋体" w:cs="宋体"/>
                <w:b/>
                <w:bCs/>
                <w:color w:val="000000" w:themeColor="text1"/>
                <w:sz w:val="21"/>
                <w:szCs w:val="21"/>
                <w:highlight w:val="none"/>
                <w14:textFill>
                  <w14:solidFill>
                    <w14:schemeClr w14:val="tx1"/>
                  </w14:solidFill>
                </w14:textFill>
              </w:rPr>
              <w:t xml:space="preserve"> </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保证保险</w:t>
            </w:r>
            <w:r>
              <w:rPr>
                <w:rFonts w:hint="eastAsia"/>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方式缴纳。已用现金缴纳保证金的项目，可以用 </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14:textFill>
                  <w14:solidFill>
                    <w14:schemeClr w14:val="tx1"/>
                  </w14:solidFill>
                </w14:textFill>
              </w:rPr>
              <w:t xml:space="preserve">转账 </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14:textFill>
                  <w14:solidFill>
                    <w14:schemeClr w14:val="tx1"/>
                  </w14:solidFill>
                </w14:textFill>
              </w:rPr>
              <w:t xml:space="preserve">电汇 </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14:textFill>
                  <w14:solidFill>
                    <w14:schemeClr w14:val="tx1"/>
                  </w14:solidFill>
                </w14:textFill>
              </w:rPr>
              <w:t xml:space="preserve">网银支付 </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保函</w:t>
            </w:r>
            <w:r>
              <w:rPr>
                <w:rFonts w:hint="eastAsia" w:ascii="宋体" w:hAnsi="宋体" w:eastAsia="宋体" w:cs="宋体"/>
                <w:b/>
                <w:bCs/>
                <w:color w:val="000000" w:themeColor="text1"/>
                <w:sz w:val="21"/>
                <w:szCs w:val="21"/>
                <w:highlight w:val="none"/>
                <w14:textFill>
                  <w14:solidFill>
                    <w14:schemeClr w14:val="tx1"/>
                  </w14:solidFill>
                </w14:textFill>
              </w:rPr>
              <w:t xml:space="preserve"> </w:t>
            </w:r>
            <w:r>
              <w:rPr>
                <w:rFonts w:hint="eastAsia" w:ascii="宋体" w:hAnsi="宋体" w:eastAsia="宋体" w:cs="宋体"/>
                <w:b/>
                <w:bCs/>
                <w:color w:val="000000" w:themeColor="text1"/>
                <w:sz w:val="21"/>
                <w:szCs w:val="21"/>
                <w:highlight w:val="none"/>
                <w14:textFill>
                  <w14:solidFill>
                    <w14:schemeClr w14:val="tx1"/>
                  </w14:solidFill>
                </w14:textFill>
              </w:rPr>
              <w:sym w:font="Wingdings" w:char="00FE"/>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保证保险 </w:t>
            </w:r>
            <w:r>
              <w:rPr>
                <w:rFonts w:hint="eastAsia"/>
                <w:color w:val="000000" w:themeColor="text1"/>
                <w:sz w:val="21"/>
                <w:szCs w:val="21"/>
                <w:highlight w:val="none"/>
                <w:lang w:val="en-US" w:eastAsia="zh-CN"/>
                <w14:textFill>
                  <w14:solidFill>
                    <w14:schemeClr w14:val="tx1"/>
                  </w14:solidFill>
                </w14:textFill>
              </w:rPr>
              <w:t>进行替代。</w:t>
            </w:r>
          </w:p>
        </w:tc>
      </w:tr>
      <w:tr w14:paraId="0B46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26" w:type="dxa"/>
            <w:noWrap w:val="0"/>
            <w:vAlign w:val="center"/>
          </w:tcPr>
          <w:p w14:paraId="558A8F85">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11.25</w:t>
            </w:r>
          </w:p>
        </w:tc>
        <w:tc>
          <w:tcPr>
            <w:tcW w:w="1978" w:type="dxa"/>
            <w:noWrap w:val="0"/>
            <w:vAlign w:val="center"/>
          </w:tcPr>
          <w:p w14:paraId="6A32847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可调价主要材料范围与价格风险范围</w:t>
            </w:r>
          </w:p>
        </w:tc>
        <w:tc>
          <w:tcPr>
            <w:tcW w:w="6053" w:type="dxa"/>
            <w:noWrap w:val="0"/>
            <w:vAlign w:val="center"/>
          </w:tcPr>
          <w:p w14:paraId="3274385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sym w:font="Wingdings" w:char="00A8"/>
            </w:r>
            <w:r>
              <w:rPr>
                <w:rFonts w:hint="eastAsia" w:cs="宋体"/>
                <w:color w:val="000000" w:themeColor="text1"/>
                <w:sz w:val="21"/>
                <w:szCs w:val="21"/>
                <w:highlight w:val="none"/>
                <w:lang w:val="en-US" w:eastAsia="zh-CN"/>
                <w14:textFill>
                  <w14:solidFill>
                    <w14:schemeClr w14:val="tx1"/>
                  </w14:solidFill>
                </w14:textFill>
              </w:rPr>
              <w:t xml:space="preserve"> 本项目不调材差</w:t>
            </w:r>
          </w:p>
          <w:p w14:paraId="4A0EC25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sym w:font="Wingdings" w:char="00A8"/>
            </w:r>
            <w:r>
              <w:rPr>
                <w:rFonts w:hint="eastAsia" w:cs="宋体"/>
                <w:color w:val="000000" w:themeColor="text1"/>
                <w:sz w:val="21"/>
                <w:szCs w:val="21"/>
                <w:highlight w:val="none"/>
                <w:lang w:val="en-US" w:eastAsia="zh-CN"/>
                <w14:textFill>
                  <w14:solidFill>
                    <w14:schemeClr w14:val="tx1"/>
                  </w14:solidFill>
                </w14:textFill>
              </w:rPr>
              <w:t xml:space="preserve"> 本项目调材差</w:t>
            </w:r>
          </w:p>
          <w:p w14:paraId="5BD9904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1、可调价主材范围：</w:t>
            </w:r>
            <w:r>
              <w:rPr>
                <w:rFonts w:hint="eastAsia" w:ascii="宋体" w:hAnsi="宋体" w:eastAsia="宋体" w:cs="宋体"/>
                <w:color w:val="000000" w:themeColor="text1"/>
                <w:sz w:val="21"/>
                <w:szCs w:val="21"/>
                <w:highlight w:val="none"/>
                <w:lang w:val="en-US" w:eastAsia="zh-CN"/>
                <w14:textFill>
                  <w14:solidFill>
                    <w14:schemeClr w14:val="tx1"/>
                  </w14:solidFill>
                </w14:textFill>
              </w:rPr>
              <w:t>XXXXX、XXX、XXXX</w:t>
            </w:r>
          </w:p>
          <w:p w14:paraId="07A7E03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2、风险范围：主要材料、工程设备价差在±5%以内(含±5%），由承包人承担损失或受益，超过±5%以上部分的价差，由发包人承担损失或受益。</w:t>
            </w:r>
          </w:p>
        </w:tc>
      </w:tr>
      <w:tr w14:paraId="44FB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926" w:type="dxa"/>
            <w:noWrap w:val="0"/>
            <w:vAlign w:val="center"/>
          </w:tcPr>
          <w:p w14:paraId="7E1EDFEC">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11.26</w:t>
            </w:r>
          </w:p>
        </w:tc>
        <w:tc>
          <w:tcPr>
            <w:tcW w:w="1978" w:type="dxa"/>
            <w:noWrap w:val="0"/>
            <w:vAlign w:val="center"/>
          </w:tcPr>
          <w:p w14:paraId="63FA2D65">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多标段投标、多标段中标的规定</w:t>
            </w:r>
          </w:p>
        </w:tc>
        <w:tc>
          <w:tcPr>
            <w:tcW w:w="6053" w:type="dxa"/>
            <w:noWrap w:val="0"/>
            <w:vAlign w:val="center"/>
          </w:tcPr>
          <w:p w14:paraId="360D2ABC">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eastAsia="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sym w:font="Wingdings" w:char="00A8"/>
            </w:r>
            <w:r>
              <w:rPr>
                <w:rFonts w:hint="eastAsia" w:cs="宋体"/>
                <w:color w:val="000000" w:themeColor="text1"/>
                <w:sz w:val="21"/>
                <w:szCs w:val="21"/>
                <w:highlight w:val="none"/>
                <w:lang w:val="en-US" w:eastAsia="zh-CN"/>
                <w14:textFill>
                  <w14:solidFill>
                    <w14:schemeClr w14:val="tx1"/>
                  </w14:solidFill>
                </w14:textFill>
              </w:rPr>
              <w:t xml:space="preserve"> 本项目不适用多标段投标规定。</w:t>
            </w:r>
          </w:p>
          <w:p w14:paraId="65267A16">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sym w:font="Wingdings" w:char="00A8"/>
            </w:r>
            <w:r>
              <w:rPr>
                <w:rFonts w:hint="eastAsia" w:cs="宋体"/>
                <w:color w:val="000000" w:themeColor="text1"/>
                <w:sz w:val="21"/>
                <w:szCs w:val="21"/>
                <w:highlight w:val="none"/>
                <w:lang w:val="en-US" w:eastAsia="zh-CN"/>
                <w14:textFill>
                  <w14:solidFill>
                    <w14:schemeClr w14:val="tx1"/>
                  </w14:solidFill>
                </w14:textFill>
              </w:rPr>
              <w:t xml:space="preserve"> </w:t>
            </w:r>
            <w:r>
              <w:rPr>
                <w:rFonts w:hint="eastAsia" w:cs="宋体"/>
                <w:color w:val="000000" w:themeColor="text1"/>
                <w:sz w:val="21"/>
                <w:szCs w:val="21"/>
                <w:highlight w:val="none"/>
                <w:lang w:bidi="ar"/>
                <w14:textFill>
                  <w14:solidFill>
                    <w14:schemeClr w14:val="tx1"/>
                  </w14:solidFill>
                </w14:textFill>
              </w:rPr>
              <w:t>本项目招标、投标、评标和合同授予均以标段为单位。</w:t>
            </w:r>
            <w:r>
              <w:rPr>
                <w:rFonts w:hint="eastAsia" w:cs="宋体"/>
                <w:color w:val="000000" w:themeColor="text1"/>
                <w:sz w:val="21"/>
                <w:szCs w:val="21"/>
                <w:highlight w:val="none"/>
                <w14:textFill>
                  <w14:solidFill>
                    <w14:schemeClr w14:val="tx1"/>
                  </w14:solidFill>
                </w14:textFill>
              </w:rPr>
              <w:t>投标人可对本项目一个或多个标段进行投标，</w:t>
            </w:r>
            <w:r>
              <w:rPr>
                <w:rFonts w:hint="eastAsia" w:cs="宋体"/>
                <w:color w:val="000000" w:themeColor="text1"/>
                <w:sz w:val="21"/>
                <w:szCs w:val="21"/>
                <w:highlight w:val="none"/>
                <w:lang w:val="en-US" w:eastAsia="zh-CN"/>
                <w14:textFill>
                  <w14:solidFill>
                    <w14:schemeClr w14:val="tx1"/>
                  </w14:solidFill>
                </w14:textFill>
              </w:rPr>
              <w:t>可以中标</w:t>
            </w:r>
            <w:r>
              <w:rPr>
                <w:rFonts w:hint="eastAsia" w:cs="宋体"/>
                <w:color w:val="000000" w:themeColor="text1"/>
                <w:sz w:val="21"/>
                <w:szCs w:val="21"/>
                <w:highlight w:val="none"/>
                <w14:textFill>
                  <w14:solidFill>
                    <w14:schemeClr w14:val="tx1"/>
                  </w14:solidFill>
                </w14:textFill>
              </w:rPr>
              <w:t>多个标段</w:t>
            </w:r>
            <w:r>
              <w:rPr>
                <w:rFonts w:hint="eastAsia"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各标段中标与否不影响其他标段。</w:t>
            </w:r>
          </w:p>
          <w:p w14:paraId="404A38BF">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sym w:font="Wingdings" w:char="00A8"/>
            </w:r>
            <w:r>
              <w:rPr>
                <w:rFonts w:hint="eastAsia" w:cs="宋体"/>
                <w:color w:val="000000" w:themeColor="text1"/>
                <w:sz w:val="21"/>
                <w:szCs w:val="21"/>
                <w:highlight w:val="none"/>
                <w:lang w:val="en-US" w:eastAsia="zh-CN"/>
                <w14:textFill>
                  <w14:solidFill>
                    <w14:schemeClr w14:val="tx1"/>
                  </w14:solidFill>
                </w14:textFill>
              </w:rPr>
              <w:t xml:space="preserve"> </w:t>
            </w:r>
            <w:r>
              <w:rPr>
                <w:rFonts w:hint="eastAsia" w:cs="宋体"/>
                <w:color w:val="000000" w:themeColor="text1"/>
                <w:sz w:val="21"/>
                <w:szCs w:val="21"/>
                <w:highlight w:val="none"/>
                <w:lang w:bidi="ar"/>
                <w14:textFill>
                  <w14:solidFill>
                    <w14:schemeClr w14:val="tx1"/>
                  </w14:solidFill>
                </w14:textFill>
              </w:rPr>
              <w:t>本项目招标、投标、评标和合同授予均以标段为单位。</w:t>
            </w:r>
            <w:r>
              <w:rPr>
                <w:rFonts w:hint="eastAsia" w:cs="宋体"/>
                <w:color w:val="000000" w:themeColor="text1"/>
                <w:sz w:val="21"/>
                <w:szCs w:val="21"/>
                <w:highlight w:val="none"/>
                <w14:textFill>
                  <w14:solidFill>
                    <w14:schemeClr w14:val="tx1"/>
                  </w14:solidFill>
                </w14:textFill>
              </w:rPr>
              <w:t>投标人可对本项目一个或多个标段进行投标，</w:t>
            </w:r>
            <w:r>
              <w:rPr>
                <w:rFonts w:hint="eastAsia" w:cs="宋体"/>
                <w:color w:val="000000" w:themeColor="text1"/>
                <w:sz w:val="21"/>
                <w:szCs w:val="21"/>
                <w:highlight w:val="none"/>
                <w:lang w:val="en-US" w:eastAsia="zh-CN"/>
                <w14:textFill>
                  <w14:solidFill>
                    <w14:schemeClr w14:val="tx1"/>
                  </w14:solidFill>
                </w14:textFill>
              </w:rPr>
              <w:t>可以中标</w:t>
            </w:r>
            <w:r>
              <w:rPr>
                <w:rFonts w:hint="eastAsia" w:cs="宋体"/>
                <w:color w:val="000000" w:themeColor="text1"/>
                <w:sz w:val="21"/>
                <w:szCs w:val="21"/>
                <w:highlight w:val="none"/>
                <w14:textFill>
                  <w14:solidFill>
                    <w14:schemeClr w14:val="tx1"/>
                  </w14:solidFill>
                </w14:textFill>
              </w:rPr>
              <w:t>多个标段</w:t>
            </w:r>
            <w:r>
              <w:rPr>
                <w:rFonts w:hint="eastAsia" w:cs="宋体"/>
                <w:color w:val="000000" w:themeColor="text1"/>
                <w:sz w:val="21"/>
                <w:szCs w:val="21"/>
                <w:highlight w:val="none"/>
                <w:lang w:eastAsia="zh-CN"/>
                <w14:textFill>
                  <w14:solidFill>
                    <w14:schemeClr w14:val="tx1"/>
                  </w14:solidFill>
                </w14:textFill>
              </w:rPr>
              <w:t>，但只能中一个标段。</w:t>
            </w:r>
            <w:r>
              <w:rPr>
                <w:rFonts w:hint="eastAsia" w:cs="宋体"/>
                <w:color w:val="000000" w:themeColor="text1"/>
                <w:sz w:val="21"/>
                <w:szCs w:val="21"/>
                <w:highlight w:val="none"/>
                <w:lang w:eastAsia="zh-CN"/>
                <w14:textFill>
                  <w14:solidFill>
                    <w14:schemeClr w14:val="tx1"/>
                  </w14:solidFill>
                </w14:textFill>
              </w:rPr>
              <w:t>如同一</w:t>
            </w:r>
            <w:r>
              <w:rPr>
                <w:rFonts w:hint="eastAsia" w:cs="宋体"/>
                <w:color w:val="000000" w:themeColor="text1"/>
                <w:sz w:val="21"/>
                <w:szCs w:val="21"/>
                <w:highlight w:val="none"/>
                <w:lang w:val="en-US" w:eastAsia="zh-CN"/>
                <w14:textFill>
                  <w14:solidFill>
                    <w14:schemeClr w14:val="tx1"/>
                  </w14:solidFill>
                </w14:textFill>
              </w:rPr>
              <w:t>中标</w:t>
            </w:r>
            <w:r>
              <w:rPr>
                <w:rFonts w:hint="eastAsia" w:cs="宋体"/>
                <w:color w:val="000000" w:themeColor="text1"/>
                <w:sz w:val="21"/>
                <w:szCs w:val="21"/>
                <w:highlight w:val="none"/>
                <w:lang w:eastAsia="zh-CN"/>
                <w14:textFill>
                  <w14:solidFill>
                    <w14:schemeClr w14:val="tx1"/>
                  </w14:solidFill>
                </w14:textFill>
              </w:rPr>
              <w:t>选人在前一个标段中已经推荐为</w:t>
            </w:r>
            <w:r>
              <w:rPr>
                <w:rFonts w:hint="eastAsia" w:cs="宋体"/>
                <w:color w:val="000000" w:themeColor="text1"/>
                <w:sz w:val="21"/>
                <w:szCs w:val="21"/>
                <w:highlight w:val="none"/>
                <w:lang w:val="en-US" w:eastAsia="zh-CN"/>
                <w14:textFill>
                  <w14:solidFill>
                    <w14:schemeClr w14:val="tx1"/>
                  </w14:solidFill>
                </w14:textFill>
              </w:rPr>
              <w:t>中标</w:t>
            </w:r>
            <w:r>
              <w:rPr>
                <w:rFonts w:hint="eastAsia" w:cs="宋体"/>
                <w:color w:val="000000" w:themeColor="text1"/>
                <w:sz w:val="21"/>
                <w:szCs w:val="21"/>
                <w:highlight w:val="none"/>
                <w:lang w:eastAsia="zh-CN"/>
                <w14:textFill>
                  <w14:solidFill>
                    <w14:schemeClr w14:val="tx1"/>
                  </w14:solidFill>
                </w14:textFill>
              </w:rPr>
              <w:t>候选人，不再参与后面标段的</w:t>
            </w:r>
            <w:r>
              <w:rPr>
                <w:rFonts w:hint="eastAsia" w:cs="宋体"/>
                <w:color w:val="000000" w:themeColor="text1"/>
                <w:sz w:val="21"/>
                <w:szCs w:val="21"/>
                <w:highlight w:val="none"/>
                <w:lang w:val="en-US" w:eastAsia="zh-CN"/>
                <w14:textFill>
                  <w14:solidFill>
                    <w14:schemeClr w14:val="tx1"/>
                  </w14:solidFill>
                </w14:textFill>
              </w:rPr>
              <w:t>中标候选人推荐（或不再参加后面标段的定标评审）。</w:t>
            </w:r>
          </w:p>
          <w:p w14:paraId="4609F468">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sym w:font="Wingdings" w:char="00A8"/>
            </w:r>
            <w:r>
              <w:rPr>
                <w:rFonts w:hint="eastAsia" w:cs="宋体"/>
                <w:color w:val="000000" w:themeColor="text1"/>
                <w:sz w:val="21"/>
                <w:szCs w:val="21"/>
                <w:highlight w:val="none"/>
                <w:lang w:val="en-US" w:eastAsia="zh-CN"/>
                <w14:textFill>
                  <w14:solidFill>
                    <w14:schemeClr w14:val="tx1"/>
                  </w14:solidFill>
                </w14:textFill>
              </w:rPr>
              <w:t xml:space="preserve"> </w:t>
            </w:r>
            <w:r>
              <w:rPr>
                <w:rFonts w:hint="eastAsia" w:cs="宋体"/>
                <w:color w:val="000000" w:themeColor="text1"/>
                <w:sz w:val="21"/>
                <w:szCs w:val="21"/>
                <w:highlight w:val="none"/>
                <w:lang w:eastAsia="zh-CN"/>
                <w14:textFill>
                  <w14:solidFill>
                    <w14:schemeClr w14:val="tx1"/>
                  </w14:solidFill>
                </w14:textFill>
              </w:rPr>
              <w:t>……</w:t>
            </w:r>
          </w:p>
        </w:tc>
      </w:tr>
      <w:tr w14:paraId="3B7E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3CB50B92">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11.27</w:t>
            </w:r>
          </w:p>
        </w:tc>
        <w:tc>
          <w:tcPr>
            <w:tcW w:w="1978" w:type="dxa"/>
            <w:noWrap w:val="0"/>
            <w:vAlign w:val="center"/>
          </w:tcPr>
          <w:p w14:paraId="59706A81">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工程量清单错误的修正</w:t>
            </w:r>
          </w:p>
        </w:tc>
        <w:tc>
          <w:tcPr>
            <w:tcW w:w="6053" w:type="dxa"/>
            <w:noWrap w:val="0"/>
            <w:vAlign w:val="center"/>
          </w:tcPr>
          <w:p w14:paraId="18FB869C">
            <w:pPr>
              <w:keepNext w:val="0"/>
              <w:keepLines w:val="0"/>
              <w:pageBreakBefore w:val="0"/>
              <w:widowControl w:val="0"/>
              <w:suppressLineNumbers w:val="0"/>
              <w:kinsoku/>
              <w:wordWrap w:val="0"/>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eastAsia="宋体" w:cs="宋体"/>
                <w:color w:val="000000" w:themeColor="text1"/>
                <w:sz w:val="21"/>
                <w:szCs w:val="21"/>
                <w:highlight w:val="none"/>
                <w:lang w:val="en-US" w:eastAsia="zh-CN" w:bidi="ar"/>
                <w14:textFill>
                  <w14:solidFill>
                    <w14:schemeClr w14:val="tx1"/>
                  </w14:solidFill>
                </w14:textFill>
              </w:rPr>
            </w:pPr>
            <w:r>
              <w:rPr>
                <w:rFonts w:hint="eastAsia" w:cs="宋体"/>
                <w:color w:val="000000" w:themeColor="text1"/>
                <w:sz w:val="21"/>
                <w:szCs w:val="21"/>
                <w:highlight w:val="none"/>
                <w:lang w:val="en-US" w:eastAsia="zh-CN" w:bidi="ar"/>
                <w14:textFill>
                  <w14:solidFill>
                    <w14:schemeClr w14:val="tx1"/>
                  </w14:solidFill>
                </w14:textFill>
              </w:rPr>
              <w:t>（1）</w:t>
            </w:r>
            <w:r>
              <w:rPr>
                <w:rFonts w:hint="eastAsia" w:eastAsia="宋体" w:cs="宋体"/>
                <w:color w:val="000000" w:themeColor="text1"/>
                <w:sz w:val="21"/>
                <w:szCs w:val="21"/>
                <w:highlight w:val="none"/>
                <w:lang w:val="en-US" w:eastAsia="zh-CN" w:bidi="ar"/>
                <w14:textFill>
                  <w14:solidFill>
                    <w14:schemeClr w14:val="tx1"/>
                  </w14:solidFill>
                </w14:textFill>
              </w:rPr>
              <w:t>采用单价合同的招标工程，投标人应在接收招标文件后，在规定时间内对招标工程量清单的分部分项工程项目清单进行复核。如投标人对分部分项工程项目清单有疑问或异议的，应按招标文件的规定以书面形式提请招标人澄清，招标人核实后作出修正的，投标人应按修正后的分部分项工程项目清单进行投标报价。</w:t>
            </w:r>
          </w:p>
          <w:p w14:paraId="16D5A9FB">
            <w:pPr>
              <w:keepNext w:val="0"/>
              <w:keepLines w:val="0"/>
              <w:pageBreakBefore w:val="0"/>
              <w:widowControl w:val="0"/>
              <w:suppressLineNumbers w:val="0"/>
              <w:kinsoku/>
              <w:wordWrap w:val="0"/>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eastAsia="宋体" w:cs="宋体"/>
                <w:color w:val="000000" w:themeColor="text1"/>
                <w:sz w:val="21"/>
                <w:szCs w:val="21"/>
                <w:highlight w:val="none"/>
                <w:lang w:val="en-US" w:eastAsia="zh-CN" w:bidi="ar"/>
                <w14:textFill>
                  <w14:solidFill>
                    <w14:schemeClr w14:val="tx1"/>
                  </w14:solidFill>
                </w14:textFill>
              </w:rPr>
            </w:pPr>
            <w:r>
              <w:rPr>
                <w:rFonts w:hint="eastAsia" w:cs="宋体"/>
                <w:color w:val="000000" w:themeColor="text1"/>
                <w:sz w:val="21"/>
                <w:szCs w:val="21"/>
                <w:highlight w:val="none"/>
                <w:lang w:val="en-US" w:eastAsia="zh-CN" w:bidi="ar"/>
                <w14:textFill>
                  <w14:solidFill>
                    <w14:schemeClr w14:val="tx1"/>
                  </w14:solidFill>
                </w14:textFill>
              </w:rPr>
              <w:t>（2）采用总价合同的招标工程，投标人应在接收招标文件后，在规定时间内对招标工程量清单进行复核。如投标人对工程项目清单有疑问或异议的，应按招标文件的规定以书面形式提请招标人澄清，招标人核实后作出修正的，投标人应按修正后的工程量清单进行报价。如投标人经复核认为招标工程量清单及其修正后（如有）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或对分部分项工程项目清单做出补充完善及报价，除招标工程量清单说明为暂定数量的单价计价分部分项工程项目清单外，合同价格不应因存在工程量清单缺陷而调整。</w:t>
            </w:r>
          </w:p>
          <w:p w14:paraId="3C704638">
            <w:pPr>
              <w:keepNext w:val="0"/>
              <w:keepLines w:val="0"/>
              <w:pageBreakBefore w:val="0"/>
              <w:widowControl w:val="0"/>
              <w:suppressLineNumbers w:val="0"/>
              <w:kinsoku/>
              <w:wordWrap w:val="0"/>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cs="宋体"/>
                <w:color w:val="000000" w:themeColor="text1"/>
                <w:sz w:val="21"/>
                <w:szCs w:val="21"/>
                <w:highlight w:val="none"/>
                <w:lang w:val="en-US" w:eastAsia="zh-CN" w:bidi="ar"/>
                <w14:textFill>
                  <w14:solidFill>
                    <w14:schemeClr w14:val="tx1"/>
                  </w14:solidFill>
                </w14:textFill>
              </w:rPr>
            </w:pPr>
            <w:r>
              <w:rPr>
                <w:rFonts w:hint="eastAsia" w:cs="宋体"/>
                <w:color w:val="000000" w:themeColor="text1"/>
                <w:sz w:val="21"/>
                <w:szCs w:val="21"/>
                <w:highlight w:val="none"/>
                <w:lang w:val="en-US" w:eastAsia="zh-CN" w:bidi="ar"/>
                <w14:textFill>
                  <w14:solidFill>
                    <w14:schemeClr w14:val="tx1"/>
                  </w14:solidFill>
                </w14:textFill>
              </w:rPr>
              <w:t>（3）</w:t>
            </w:r>
            <w:r>
              <w:rPr>
                <w:rFonts w:hint="eastAsia" w:eastAsia="宋体" w:cs="宋体"/>
                <w:color w:val="000000" w:themeColor="text1"/>
                <w:sz w:val="21"/>
                <w:szCs w:val="21"/>
                <w:highlight w:val="none"/>
                <w:lang w:val="en-US" w:eastAsia="zh-CN" w:bidi="ar"/>
                <w14:textFill>
                  <w14:solidFill>
                    <w14:schemeClr w14:val="tx1"/>
                  </w14:solidFill>
                </w14:textFill>
              </w:rPr>
              <w:t>招标工程量清单</w:t>
            </w:r>
            <w:r>
              <w:rPr>
                <w:rFonts w:hint="eastAsia" w:cs="宋体"/>
                <w:color w:val="000000" w:themeColor="text1"/>
                <w:sz w:val="21"/>
                <w:szCs w:val="21"/>
                <w:highlight w:val="none"/>
                <w:lang w:val="en-US" w:eastAsia="zh-CN" w:bidi="ar"/>
                <w14:textFill>
                  <w14:solidFill>
                    <w14:schemeClr w14:val="tx1"/>
                  </w14:solidFill>
                </w14:textFill>
              </w:rPr>
              <w:t>复核异议提出时间：</w:t>
            </w:r>
            <w:r>
              <w:rPr>
                <w:rFonts w:hint="eastAsia" w:eastAsia="宋体" w:cs="宋体"/>
                <w:color w:val="000000" w:themeColor="text1"/>
                <w:sz w:val="21"/>
                <w:szCs w:val="21"/>
                <w:highlight w:val="none"/>
                <w:lang w:val="en-US" w:eastAsia="zh-CN" w:bidi="ar"/>
                <w14:textFill>
                  <w14:solidFill>
                    <w14:schemeClr w14:val="tx1"/>
                  </w14:solidFill>
                </w14:textFill>
              </w:rPr>
              <w:t>投标截止时间 10 日前</w:t>
            </w:r>
            <w:r>
              <w:rPr>
                <w:rFonts w:hint="eastAsia" w:cs="宋体"/>
                <w:color w:val="000000" w:themeColor="text1"/>
                <w:sz w:val="21"/>
                <w:szCs w:val="21"/>
                <w:highlight w:val="none"/>
                <w:lang w:val="en-US" w:eastAsia="zh-CN" w:bidi="ar"/>
                <w14:textFill>
                  <w14:solidFill>
                    <w14:schemeClr w14:val="tx1"/>
                  </w14:solidFill>
                </w14:textFill>
              </w:rPr>
              <w:t>。</w:t>
            </w:r>
          </w:p>
          <w:p w14:paraId="3F88D346">
            <w:pPr>
              <w:keepNext w:val="0"/>
              <w:keepLines w:val="0"/>
              <w:pageBreakBefore w:val="0"/>
              <w:widowControl w:val="0"/>
              <w:suppressLineNumbers w:val="0"/>
              <w:kinsoku/>
              <w:wordWrap w:val="0"/>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eastAsia="宋体" w:cs="宋体"/>
                <w:color w:val="000000" w:themeColor="text1"/>
                <w:sz w:val="21"/>
                <w:szCs w:val="21"/>
                <w:highlight w:val="none"/>
                <w:lang w:val="en-US" w:eastAsia="zh-CN" w:bidi="ar"/>
                <w14:textFill>
                  <w14:solidFill>
                    <w14:schemeClr w14:val="tx1"/>
                  </w14:solidFill>
                </w14:textFill>
              </w:rPr>
            </w:pPr>
            <w:r>
              <w:rPr>
                <w:rFonts w:hint="eastAsia" w:cs="宋体"/>
                <w:color w:val="000000" w:themeColor="text1"/>
                <w:sz w:val="21"/>
                <w:szCs w:val="21"/>
                <w:highlight w:val="none"/>
                <w:lang w:val="en-US" w:eastAsia="zh-CN" w:bidi="ar"/>
                <w14:textFill>
                  <w14:solidFill>
                    <w14:schemeClr w14:val="tx1"/>
                  </w14:solidFill>
                </w14:textFill>
              </w:rPr>
              <w:t>（4）</w:t>
            </w:r>
            <w:r>
              <w:rPr>
                <w:rFonts w:hint="eastAsia" w:eastAsia="宋体" w:cs="宋体"/>
                <w:color w:val="000000" w:themeColor="text1"/>
                <w:sz w:val="21"/>
                <w:szCs w:val="21"/>
                <w:highlight w:val="none"/>
                <w:lang w:val="en-US" w:eastAsia="zh-CN" w:bidi="ar"/>
                <w14:textFill>
                  <w14:solidFill>
                    <w14:schemeClr w14:val="tx1"/>
                  </w14:solidFill>
                </w14:textFill>
              </w:rPr>
              <w:t>招标工程量清单</w:t>
            </w:r>
            <w:r>
              <w:rPr>
                <w:rFonts w:hint="eastAsia" w:cs="宋体"/>
                <w:color w:val="000000" w:themeColor="text1"/>
                <w:sz w:val="21"/>
                <w:szCs w:val="21"/>
                <w:highlight w:val="none"/>
                <w:lang w:val="en-US" w:eastAsia="zh-CN" w:bidi="ar"/>
                <w14:textFill>
                  <w14:solidFill>
                    <w14:schemeClr w14:val="tx1"/>
                  </w14:solidFill>
                </w14:textFill>
              </w:rPr>
              <w:t>复核异议提出资料要求：</w:t>
            </w:r>
            <w:r>
              <w:rPr>
                <w:rFonts w:hint="eastAsia" w:eastAsia="宋体" w:cs="宋体"/>
                <w:color w:val="000000" w:themeColor="text1"/>
                <w:sz w:val="21"/>
                <w:szCs w:val="21"/>
                <w:highlight w:val="none"/>
                <w:lang w:val="en-US" w:eastAsia="zh-CN" w:bidi="ar"/>
                <w14:textFill>
                  <w14:solidFill>
                    <w14:schemeClr w14:val="tx1"/>
                  </w14:solidFill>
                </w14:textFill>
              </w:rPr>
              <w:t>提供书面计算书或清单特征描述不符等</w:t>
            </w:r>
            <w:r>
              <w:rPr>
                <w:rFonts w:hint="eastAsia" w:cs="宋体"/>
                <w:color w:val="000000" w:themeColor="text1"/>
                <w:sz w:val="21"/>
                <w:szCs w:val="21"/>
                <w:highlight w:val="none"/>
                <w:lang w:val="en-US" w:eastAsia="zh-CN" w:bidi="ar"/>
                <w14:textFill>
                  <w14:solidFill>
                    <w14:schemeClr w14:val="tx1"/>
                  </w14:solidFill>
                </w14:textFill>
              </w:rPr>
              <w:t>异议</w:t>
            </w:r>
            <w:r>
              <w:rPr>
                <w:rFonts w:hint="eastAsia" w:eastAsia="宋体" w:cs="宋体"/>
                <w:color w:val="000000" w:themeColor="text1"/>
                <w:sz w:val="21"/>
                <w:szCs w:val="21"/>
                <w:highlight w:val="none"/>
                <w:lang w:val="en-US" w:eastAsia="zh-CN" w:bidi="ar"/>
                <w14:textFill>
                  <w14:solidFill>
                    <w14:schemeClr w14:val="tx1"/>
                  </w14:solidFill>
                </w14:textFill>
              </w:rPr>
              <w:t>的详细依据和资料，否则不予受理</w:t>
            </w:r>
            <w:r>
              <w:rPr>
                <w:rFonts w:hint="eastAsia" w:cs="宋体"/>
                <w:color w:val="000000" w:themeColor="text1"/>
                <w:sz w:val="21"/>
                <w:szCs w:val="21"/>
                <w:highlight w:val="none"/>
                <w:lang w:val="en-US" w:eastAsia="zh-CN" w:bidi="ar"/>
                <w14:textFill>
                  <w14:solidFill>
                    <w14:schemeClr w14:val="tx1"/>
                  </w14:solidFill>
                </w14:textFill>
              </w:rPr>
              <w:t>。</w:t>
            </w:r>
          </w:p>
          <w:p w14:paraId="5DA40B3C">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bidi="ar"/>
                <w14:textFill>
                  <w14:solidFill>
                    <w14:schemeClr w14:val="tx1"/>
                  </w14:solidFill>
                </w14:textFill>
              </w:rPr>
              <w:t>（5）……</w:t>
            </w:r>
          </w:p>
        </w:tc>
      </w:tr>
      <w:tr w14:paraId="74B6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0A183805">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11.28</w:t>
            </w:r>
          </w:p>
        </w:tc>
        <w:tc>
          <w:tcPr>
            <w:tcW w:w="1978" w:type="dxa"/>
            <w:noWrap w:val="0"/>
            <w:vAlign w:val="center"/>
          </w:tcPr>
          <w:p w14:paraId="044FFD80">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联合惩戒</w:t>
            </w:r>
          </w:p>
        </w:tc>
        <w:tc>
          <w:tcPr>
            <w:tcW w:w="6053" w:type="dxa"/>
            <w:noWrap w:val="0"/>
            <w:vAlign w:val="center"/>
          </w:tcPr>
          <w:p w14:paraId="0FDA8071">
            <w:pPr>
              <w:keepNext w:val="0"/>
              <w:keepLines w:val="0"/>
              <w:pageBreakBefore w:val="0"/>
              <w:widowControl/>
              <w:suppressLineNumbers w:val="0"/>
              <w:kinsoku/>
              <w:wordWrap w:val="0"/>
              <w:overflowPunct/>
              <w:bidi w:val="0"/>
              <w:spacing w:before="0" w:beforeAutospacing="0" w:after="0" w:afterAutospacing="0"/>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中标人</w:t>
            </w:r>
            <w:r>
              <w:rPr>
                <w:rFonts w:hint="eastAsia" w:ascii="宋体" w:hAnsi="宋体" w:eastAsia="宋体" w:cs="宋体"/>
                <w:color w:val="000000" w:themeColor="text1"/>
                <w:sz w:val="21"/>
                <w:szCs w:val="21"/>
                <w:highlight w:val="none"/>
                <w:lang w:val="en-US" w:eastAsia="zh-CN"/>
                <w14:textFill>
                  <w14:solidFill>
                    <w14:schemeClr w14:val="tx1"/>
                  </w14:solidFill>
                </w14:textFill>
              </w:rPr>
              <w:t>在投标截止时间前，</w:t>
            </w:r>
            <w:r>
              <w:rPr>
                <w:rFonts w:hint="eastAsia" w:ascii="宋体" w:hAnsi="宋体" w:eastAsia="宋体" w:cs="宋体"/>
                <w:color w:val="000000" w:themeColor="text1"/>
                <w:sz w:val="21"/>
                <w:szCs w:val="21"/>
                <w:highlight w:val="none"/>
                <w14:textFill>
                  <w14:solidFill>
                    <w14:schemeClr w14:val="tx1"/>
                  </w14:solidFill>
                </w14:textFill>
              </w:rPr>
              <w:t>不得存在以下几种情形</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联合体投标的，联合体的各成员均不得存在以下几种情形</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，否则中标后将取消中标资格：</w:t>
            </w:r>
          </w:p>
          <w:p w14:paraId="3D243646">
            <w:pPr>
              <w:keepNext w:val="0"/>
              <w:keepLines w:val="0"/>
              <w:pageBreakBefore w:val="0"/>
              <w:widowControl/>
              <w:suppressLineNumbers w:val="0"/>
              <w:kinsoku/>
              <w:wordWrap w:val="0"/>
              <w:overflowPunct/>
              <w:bidi w:val="0"/>
              <w:spacing w:before="0" w:beforeAutospacing="0" w:after="0" w:afterAutospacing="0"/>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被最高人民法院在“中国执行信息公开网”网站（http://zxgk.court.gov.cn）列</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为</w:t>
            </w:r>
            <w:r>
              <w:rPr>
                <w:rFonts w:hint="eastAsia" w:ascii="宋体" w:hAnsi="宋体" w:eastAsia="宋体" w:cs="宋体"/>
                <w:color w:val="000000" w:themeColor="text1"/>
                <w:kern w:val="0"/>
                <w:sz w:val="21"/>
                <w:szCs w:val="21"/>
                <w:highlight w:val="none"/>
                <w14:textFill>
                  <w14:solidFill>
                    <w14:schemeClr w14:val="tx1"/>
                  </w14:solidFill>
                </w14:textFill>
              </w:rPr>
              <w:t>失信被执行人（</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kern w:val="0"/>
                <w:sz w:val="21"/>
                <w:szCs w:val="21"/>
                <w:highlight w:val="none"/>
                <w14:textFill>
                  <w14:solidFill>
                    <w14:schemeClr w14:val="tx1"/>
                  </w14:solidFill>
                </w14:textFill>
              </w:rPr>
              <w:t>中国执行信息公开网</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查询截图为准</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p>
          <w:p w14:paraId="119194CE">
            <w:pPr>
              <w:keepNext w:val="0"/>
              <w:keepLines w:val="0"/>
              <w:pageBreakBefore w:val="0"/>
              <w:widowControl/>
              <w:suppressLineNumbers w:val="0"/>
              <w:kinsoku/>
              <w:wordWrap w:val="0"/>
              <w:overflowPunct/>
              <w:bidi w:val="0"/>
              <w:spacing w:before="0" w:beforeAutospacing="0" w:after="0" w:afterAutospacing="0"/>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、被国家市场监督管理部门在国家企业信用信息公示系统（www.gsxt.gov.cn）中列入严重违法失信企业名单；（以国家企业信用信息公示系统网页查询截图为准）。</w:t>
            </w:r>
          </w:p>
          <w:p w14:paraId="445AB17A">
            <w:pPr>
              <w:keepNext w:val="0"/>
              <w:keepLines w:val="0"/>
              <w:pageBreakBefore w:val="0"/>
              <w:widowControl/>
              <w:suppressLineNumbers w:val="0"/>
              <w:kinsoku/>
              <w:wordWrap w:val="0"/>
              <w:overflowPunct/>
              <w:bidi w:val="0"/>
              <w:spacing w:before="0" w:beforeAutospacing="0" w:after="0" w:afterAutospacing="0" w:line="360" w:lineRule="auto"/>
              <w:ind w:left="0" w:right="0"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、被全国建筑市场监管公共服务平台（jzsc.mohurd.gov.cn）列入“黑名单记录”（以全国建筑市场监管公共服务平台“黑名单记录”里的企业查询网页截图为准）。</w:t>
            </w:r>
          </w:p>
          <w:p w14:paraId="72301AE3">
            <w:pPr>
              <w:keepNext w:val="0"/>
              <w:keepLines w:val="0"/>
              <w:pageBreakBefore w:val="0"/>
              <w:widowControl/>
              <w:suppressLineNumbers w:val="0"/>
              <w:kinsoku/>
              <w:wordWrap w:val="0"/>
              <w:overflowPunct/>
              <w:bidi w:val="0"/>
              <w:spacing w:before="0" w:beforeAutospacing="0" w:after="0" w:afterAutospacing="0" w:line="360" w:lineRule="auto"/>
              <w:ind w:left="0" w:right="0" w:firstLine="420" w:firstLineChars="200"/>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4、被</w:t>
            </w:r>
            <w:r>
              <w:rPr>
                <w:rFonts w:hint="eastAsia" w:ascii="宋体" w:hAnsi="宋体" w:eastAsia="宋体" w:cs="宋体"/>
                <w:color w:val="000000" w:themeColor="text1"/>
                <w:sz w:val="21"/>
                <w:szCs w:val="21"/>
                <w:highlight w:val="none"/>
                <w14:textFill>
                  <w14:solidFill>
                    <w14:schemeClr w14:val="tx1"/>
                  </w14:solidFill>
                </w14:textFill>
              </w:rPr>
              <w:t>全国建筑市场监管公共服务平台（jzsc.mohurd.gov.cn）</w:t>
            </w:r>
            <w:r>
              <w:rPr>
                <w:rFonts w:hint="eastAsia" w:ascii="宋体" w:hAnsi="宋体" w:cs="宋体"/>
                <w:color w:val="000000" w:themeColor="text1"/>
                <w:sz w:val="21"/>
                <w:szCs w:val="21"/>
                <w:highlight w:val="none"/>
                <w:lang w:val="en-US" w:eastAsia="zh-CN"/>
                <w14:textFill>
                  <w14:solidFill>
                    <w14:schemeClr w14:val="tx1"/>
                  </w14:solidFill>
                </w14:textFill>
              </w:rPr>
              <w:t>标记为“资质异常”企业（</w:t>
            </w:r>
            <w:r>
              <w:rPr>
                <w:rFonts w:hint="eastAsia" w:ascii="宋体" w:hAnsi="宋体" w:eastAsia="宋体" w:cs="宋体"/>
                <w:color w:val="000000" w:themeColor="text1"/>
                <w:sz w:val="21"/>
                <w:szCs w:val="21"/>
                <w:highlight w:val="none"/>
                <w14:textFill>
                  <w14:solidFill>
                    <w14:schemeClr w14:val="tx1"/>
                  </w14:solidFill>
                </w14:textFill>
              </w:rPr>
              <w:t>以全国建筑市场监管公共服务平台“</w:t>
            </w:r>
            <w:r>
              <w:rPr>
                <w:rFonts w:hint="eastAsia" w:ascii="宋体" w:hAnsi="宋体" w:cs="宋体"/>
                <w:color w:val="000000" w:themeColor="text1"/>
                <w:sz w:val="21"/>
                <w:szCs w:val="21"/>
                <w:highlight w:val="none"/>
                <w:lang w:val="en-US" w:eastAsia="zh-CN"/>
                <w14:textFill>
                  <w14:solidFill>
                    <w14:schemeClr w14:val="tx1"/>
                  </w14:solidFill>
                </w14:textFill>
              </w:rPr>
              <w:t>动态核查</w:t>
            </w:r>
            <w:r>
              <w:rPr>
                <w:rFonts w:hint="eastAsia" w:ascii="宋体" w:hAnsi="宋体" w:eastAsia="宋体" w:cs="宋体"/>
                <w:color w:val="000000" w:themeColor="text1"/>
                <w:sz w:val="21"/>
                <w:szCs w:val="21"/>
                <w:highlight w:val="none"/>
                <w14:textFill>
                  <w14:solidFill>
                    <w14:schemeClr w14:val="tx1"/>
                  </w14:solidFill>
                </w14:textFill>
              </w:rPr>
              <w:t>”里的企业查询网页截图为准</w:t>
            </w:r>
            <w:r>
              <w:rPr>
                <w:rFonts w:hint="eastAsia" w:ascii="宋体" w:hAnsi="宋体" w:cs="宋体"/>
                <w:color w:val="000000" w:themeColor="text1"/>
                <w:sz w:val="21"/>
                <w:szCs w:val="21"/>
                <w:highlight w:val="none"/>
                <w:lang w:val="en-US" w:eastAsia="zh-CN"/>
                <w14:textFill>
                  <w14:solidFill>
                    <w14:schemeClr w14:val="tx1"/>
                  </w14:solidFill>
                </w14:textFill>
              </w:rPr>
              <w:t>）。</w:t>
            </w:r>
          </w:p>
          <w:p w14:paraId="01BB31FF">
            <w:pPr>
              <w:keepNext w:val="0"/>
              <w:keepLines w:val="0"/>
              <w:pageBreakBefore w:val="0"/>
              <w:widowControl/>
              <w:suppressLineNumbers w:val="0"/>
              <w:kinsoku/>
              <w:wordWrap w:val="0"/>
              <w:overflowPunct/>
              <w:bidi w:val="0"/>
              <w:spacing w:before="0" w:beforeAutospacing="0" w:after="0" w:afterAutospacing="0" w:line="360" w:lineRule="auto"/>
              <w:ind w:left="0" w:right="0" w:firstLine="420" w:firstLineChars="200"/>
              <w:jc w:val="left"/>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18"/>
                <w:highlight w:val="none"/>
                <w:lang w:val="en-US" w:eastAsia="zh-CN"/>
                <w14:textFill>
                  <w14:solidFill>
                    <w14:schemeClr w14:val="tx1"/>
                  </w14:solidFill>
                </w14:textFill>
              </w:rPr>
              <w:t>投标人在开标日前（含当日）24个月内被淮南市及其所辖县、区（园区）行业主管部门以串通投标、弄虚作假、出借资质、转包、违法分包等违法违规行为进行行政处罚（以行政处罚决定书下达日期为准）；投标人拟派的项目经理被淮南市建设管理部门记不良行为记录且在公示期内（以公布日期为准）。</w:t>
            </w:r>
          </w:p>
        </w:tc>
      </w:tr>
      <w:tr w14:paraId="1746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00B405B3">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11.29</w:t>
            </w:r>
          </w:p>
        </w:tc>
        <w:tc>
          <w:tcPr>
            <w:tcW w:w="1978" w:type="dxa"/>
            <w:noWrap w:val="0"/>
            <w:vAlign w:val="center"/>
          </w:tcPr>
          <w:p w14:paraId="2DE60D7C">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无行贿犯罪记录承诺及无拖欠农民工工资承诺</w:t>
            </w:r>
          </w:p>
        </w:tc>
        <w:tc>
          <w:tcPr>
            <w:tcW w:w="6053" w:type="dxa"/>
            <w:noWrap w:val="0"/>
            <w:vAlign w:val="center"/>
          </w:tcPr>
          <w:p w14:paraId="1FCFF54C">
            <w:pPr>
              <w:keepNext w:val="0"/>
              <w:keepLines w:val="0"/>
              <w:pageBreakBefore w:val="0"/>
              <w:widowControl/>
              <w:suppressLineNumbers w:val="0"/>
              <w:kinsoku/>
              <w:wordWrap w:val="0"/>
              <w:overflowPunct/>
              <w:bidi w:val="0"/>
              <w:spacing w:before="0" w:beforeAutospacing="0" w:after="0" w:afterAutospacing="0" w:line="360" w:lineRule="auto"/>
              <w:ind w:left="0" w:right="0" w:firstLine="420" w:firstLineChars="200"/>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无行贿犯罪记录承诺及无拖欠农民工工资承诺由中标人在中标后签订合同前将公司出具的盖章承诺书递交至招标人，或者在编制投标文件时同时提供。</w:t>
            </w:r>
          </w:p>
          <w:p w14:paraId="365EADCB">
            <w:pPr>
              <w:keepNext w:val="0"/>
              <w:keepLines w:val="0"/>
              <w:pageBreakBefore w:val="0"/>
              <w:widowControl/>
              <w:suppressLineNumbers w:val="0"/>
              <w:kinsoku/>
              <w:wordWrap w:val="0"/>
              <w:overflowPunct/>
              <w:bidi w:val="0"/>
              <w:spacing w:before="0" w:beforeAutospacing="0" w:after="0" w:afterAutospacing="0" w:line="360" w:lineRule="auto"/>
              <w:ind w:left="0" w:right="0" w:firstLine="420" w:firstLineChars="200"/>
              <w:rPr>
                <w:rFonts w:hint="eastAsia" w:ascii="宋体" w:hAnsi="宋体" w:cs="宋体"/>
                <w:color w:val="000000" w:themeColor="text1"/>
                <w:sz w:val="21"/>
                <w:szCs w:val="21"/>
                <w:highlight w:val="none"/>
                <w:lang w:val="en-US" w:eastAsia="zh-CN"/>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以上两项承诺评标时不作为评审条件，如中标后发现投标人在本项目所</w:t>
            </w:r>
            <w:r>
              <w:rPr>
                <w:rFonts w:hint="default" w:ascii="宋体" w:hAnsi="宋体" w:eastAsia="宋体" w:cs="宋体"/>
                <w:b w:val="0"/>
                <w:bCs w:val="0"/>
                <w:color w:val="000000" w:themeColor="text1"/>
                <w:sz w:val="21"/>
                <w:szCs w:val="21"/>
                <w:highlight w:val="none"/>
                <w14:textFill>
                  <w14:solidFill>
                    <w14:schemeClr w14:val="tx1"/>
                  </w14:solidFill>
                </w14:textFill>
              </w:rPr>
              <w:t>在地</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市</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default" w:ascii="宋体" w:hAnsi="宋体" w:eastAsia="宋体" w:cs="宋体"/>
                <w:b/>
                <w:color w:val="000000" w:themeColor="text1"/>
                <w:sz w:val="21"/>
                <w:szCs w:val="21"/>
                <w:highlight w:val="none"/>
                <w14:textFill>
                  <w14:solidFill>
                    <w14:schemeClr w14:val="tx1"/>
                  </w14:solidFill>
                </w14:textFill>
              </w:rPr>
              <w:fldChar w:fldCharType="begin"/>
            </w:r>
            <w:r>
              <w:rPr>
                <w:rFonts w:hint="default" w:ascii="宋体" w:hAnsi="宋体" w:eastAsia="宋体" w:cs="宋体"/>
                <w:b/>
                <w:color w:val="000000" w:themeColor="text1"/>
                <w:sz w:val="21"/>
                <w:szCs w:val="21"/>
                <w:highlight w:val="none"/>
                <w14:textFill>
                  <w14:solidFill>
                    <w14:schemeClr w14:val="tx1"/>
                  </w14:solidFill>
                </w14:textFill>
              </w:rPr>
              <w:instrText xml:space="preserve"> = 1 \* GB3 </w:instrText>
            </w:r>
            <w:r>
              <w:rPr>
                <w:rFonts w:hint="default" w:ascii="宋体" w:hAnsi="宋体" w:eastAsia="宋体" w:cs="宋体"/>
                <w:b/>
                <w:color w:val="000000" w:themeColor="text1"/>
                <w:sz w:val="21"/>
                <w:szCs w:val="21"/>
                <w:highlight w:val="none"/>
                <w14:textFill>
                  <w14:solidFill>
                    <w14:schemeClr w14:val="tx1"/>
                  </w14:solidFill>
                </w14:textFill>
              </w:rPr>
              <w:fldChar w:fldCharType="separate"/>
            </w:r>
            <w:r>
              <w:rPr>
                <w:rFonts w:hint="default" w:ascii="宋体" w:hAnsi="宋体" w:eastAsia="宋体" w:cs="宋体"/>
                <w:b/>
                <w:color w:val="000000" w:themeColor="text1"/>
                <w:sz w:val="21"/>
                <w:szCs w:val="21"/>
                <w:highlight w:val="none"/>
                <w14:textFill>
                  <w14:solidFill>
                    <w14:schemeClr w14:val="tx1"/>
                  </w14:solidFill>
                </w14:textFill>
              </w:rPr>
              <w:t>①</w:t>
            </w:r>
            <w:r>
              <w:rPr>
                <w:rFonts w:hint="default" w:ascii="宋体" w:hAnsi="宋体" w:eastAsia="宋体" w:cs="宋体"/>
                <w:b/>
                <w:color w:val="000000" w:themeColor="text1"/>
                <w:sz w:val="21"/>
                <w:szCs w:val="21"/>
                <w:highlight w:val="none"/>
                <w14:textFill>
                  <w14:solidFill>
                    <w14:schemeClr w14:val="tx1"/>
                  </w14:solidFill>
                </w14:textFill>
              </w:rPr>
              <w:fldChar w:fldCharType="end"/>
            </w:r>
            <w:r>
              <w:rPr>
                <w:rFonts w:hint="default" w:ascii="宋体" w:hAnsi="宋体" w:eastAsia="宋体" w:cs="宋体"/>
                <w:b/>
                <w:color w:val="000000" w:themeColor="text1"/>
                <w:sz w:val="21"/>
                <w:szCs w:val="21"/>
                <w:highlight w:val="none"/>
                <w14:textFill>
                  <w14:solidFill>
                    <w14:schemeClr w14:val="tx1"/>
                  </w14:solidFill>
                </w14:textFill>
              </w:rPr>
              <w:t xml:space="preserve">存在行贿犯罪记录且在处罚期内 </w:t>
            </w:r>
            <w:r>
              <w:rPr>
                <w:rFonts w:hint="default" w:ascii="宋体" w:hAnsi="宋体" w:eastAsia="宋体" w:cs="宋体"/>
                <w:color w:val="000000" w:themeColor="text1"/>
                <w:sz w:val="21"/>
                <w:szCs w:val="21"/>
                <w:highlight w:val="none"/>
                <w14:textFill>
                  <w14:solidFill>
                    <w14:schemeClr w14:val="tx1"/>
                  </w14:solidFill>
                </w14:textFill>
              </w:rPr>
              <w:t xml:space="preserve">或者 </w:t>
            </w:r>
            <w:r>
              <w:rPr>
                <w:rFonts w:hint="default" w:ascii="宋体" w:hAnsi="宋体" w:eastAsia="宋体" w:cs="宋体"/>
                <w:b/>
                <w:color w:val="000000" w:themeColor="text1"/>
                <w:sz w:val="21"/>
                <w:szCs w:val="21"/>
                <w:highlight w:val="none"/>
                <w14:textFill>
                  <w14:solidFill>
                    <w14:schemeClr w14:val="tx1"/>
                  </w14:solidFill>
                </w14:textFill>
              </w:rPr>
              <w:fldChar w:fldCharType="begin"/>
            </w:r>
            <w:r>
              <w:rPr>
                <w:rFonts w:hint="default" w:ascii="宋体" w:hAnsi="宋体" w:eastAsia="宋体" w:cs="宋体"/>
                <w:b/>
                <w:color w:val="000000" w:themeColor="text1"/>
                <w:sz w:val="21"/>
                <w:szCs w:val="21"/>
                <w:highlight w:val="none"/>
                <w14:textFill>
                  <w14:solidFill>
                    <w14:schemeClr w14:val="tx1"/>
                  </w14:solidFill>
                </w14:textFill>
              </w:rPr>
              <w:instrText xml:space="preserve"> = 2 \* GB3 </w:instrText>
            </w:r>
            <w:r>
              <w:rPr>
                <w:rFonts w:hint="default" w:ascii="宋体" w:hAnsi="宋体" w:eastAsia="宋体" w:cs="宋体"/>
                <w:b/>
                <w:color w:val="000000" w:themeColor="text1"/>
                <w:sz w:val="21"/>
                <w:szCs w:val="21"/>
                <w:highlight w:val="none"/>
                <w14:textFill>
                  <w14:solidFill>
                    <w14:schemeClr w14:val="tx1"/>
                  </w14:solidFill>
                </w14:textFill>
              </w:rPr>
              <w:fldChar w:fldCharType="separate"/>
            </w:r>
            <w:r>
              <w:rPr>
                <w:rFonts w:hint="default" w:ascii="宋体" w:hAnsi="宋体" w:eastAsia="宋体" w:cs="宋体"/>
                <w:b/>
                <w:color w:val="000000" w:themeColor="text1"/>
                <w:sz w:val="21"/>
                <w:szCs w:val="21"/>
                <w:highlight w:val="none"/>
                <w14:textFill>
                  <w14:solidFill>
                    <w14:schemeClr w14:val="tx1"/>
                  </w14:solidFill>
                </w14:textFill>
              </w:rPr>
              <w:t>②</w:t>
            </w:r>
            <w:r>
              <w:rPr>
                <w:rFonts w:hint="default" w:ascii="宋体" w:hAnsi="宋体" w:eastAsia="宋体" w:cs="宋体"/>
                <w:b/>
                <w:color w:val="000000" w:themeColor="text1"/>
                <w:sz w:val="21"/>
                <w:szCs w:val="21"/>
                <w:highlight w:val="none"/>
                <w14:textFill>
                  <w14:solidFill>
                    <w14:schemeClr w14:val="tx1"/>
                  </w14:solidFill>
                </w14:textFill>
              </w:rPr>
              <w:fldChar w:fldCharType="end"/>
            </w:r>
            <w:r>
              <w:rPr>
                <w:rFonts w:hint="default" w:ascii="宋体" w:hAnsi="宋体" w:eastAsia="宋体" w:cs="宋体"/>
                <w:b/>
                <w:color w:val="000000" w:themeColor="text1"/>
                <w:sz w:val="21"/>
                <w:szCs w:val="21"/>
                <w:highlight w:val="none"/>
                <w14:textFill>
                  <w14:solidFill>
                    <w14:schemeClr w14:val="tx1"/>
                  </w14:solidFill>
                </w14:textFill>
              </w:rPr>
              <w:t>存在拖欠农民工工资行为且未处理完结</w:t>
            </w:r>
            <w:r>
              <w:rPr>
                <w:rFonts w:hint="default" w:ascii="宋体" w:hAnsi="宋体" w:eastAsia="宋体" w:cs="宋体"/>
                <w:color w:val="000000" w:themeColor="text1"/>
                <w:sz w:val="21"/>
                <w:szCs w:val="21"/>
                <w:highlight w:val="none"/>
                <w14:textFill>
                  <w14:solidFill>
                    <w14:schemeClr w14:val="tx1"/>
                  </w14:solidFill>
                </w14:textFill>
              </w:rPr>
              <w:t>，招标人有权依据主管部门的认定资料无条件取消中标人资格，同时由此造成的一切损失由中标人承担。</w:t>
            </w:r>
          </w:p>
        </w:tc>
      </w:tr>
      <w:tr w14:paraId="0A46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40E4BF55">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11.30</w:t>
            </w:r>
          </w:p>
        </w:tc>
        <w:tc>
          <w:tcPr>
            <w:tcW w:w="1978" w:type="dxa"/>
            <w:noWrap w:val="0"/>
            <w:vAlign w:val="center"/>
          </w:tcPr>
          <w:p w14:paraId="2386F42C">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项目经理</w:t>
            </w:r>
          </w:p>
        </w:tc>
        <w:tc>
          <w:tcPr>
            <w:tcW w:w="6053" w:type="dxa"/>
            <w:noWrap w:val="0"/>
            <w:vAlign w:val="center"/>
          </w:tcPr>
          <w:p w14:paraId="2BDA7020">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 xml:space="preserve">依据《注册建造师管理规定》中华人民共和国建设部令第153号文件规定以及《注册建造师执业管理办法》（建市﹝2008﹞48号）文件规定，注册建造师不得同时在两个及两个以上的建设工程项目上担任施工单位项目负责人。发生下列情形之一的除外： </w:t>
            </w:r>
          </w:p>
          <w:p w14:paraId="3D47E850">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（一）同一工程相邻分段发包或分期施工的；</w:t>
            </w:r>
          </w:p>
          <w:p w14:paraId="237EAF04">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 xml:space="preserve">（二）合同约定的工程验收合格的； </w:t>
            </w:r>
          </w:p>
          <w:p w14:paraId="74032BEE">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（三）因非承包方原因致使工程项目停工超过120天（含），经建设单位同意的。</w:t>
            </w:r>
          </w:p>
          <w:p w14:paraId="1493E18C">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（四）</w:t>
            </w:r>
            <w:r>
              <w:rPr>
                <w:rFonts w:hint="default" w:ascii="宋体" w:hAnsi="宋体" w:eastAsia="宋体" w:cs="宋体"/>
                <w:bCs/>
                <w:snapToGrid w:val="0"/>
                <w:color w:val="000000" w:themeColor="text1"/>
                <w:kern w:val="0"/>
                <w:sz w:val="21"/>
                <w:szCs w:val="21"/>
                <w:highlight w:val="none"/>
                <w14:textFill>
                  <w14:solidFill>
                    <w14:schemeClr w14:val="tx1"/>
                  </w14:solidFill>
                </w14:textFill>
              </w:rPr>
              <w:t>虽在其他项目上担任项目经理岗位，但承诺在本项目中标后合同签订前能够从其他项目变更至本项目并全面履约。</w:t>
            </w:r>
          </w:p>
          <w:p w14:paraId="3BDE0820">
            <w:pPr>
              <w:keepNext w:val="0"/>
              <w:keepLines w:val="0"/>
              <w:pageBreakBefore w:val="0"/>
              <w:suppressLineNumbers w:val="0"/>
              <w:kinsoku/>
              <w:wordWrap w:val="0"/>
              <w:overflowPunct/>
              <w:bidi w:val="0"/>
              <w:spacing w:before="0" w:beforeAutospacing="0" w:after="0" w:afterAutospacing="0"/>
              <w:ind w:left="0" w:right="0"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投标人拟派</w:t>
            </w:r>
            <w:r>
              <w:rPr>
                <w:rFonts w:hint="eastAsia" w:ascii="宋体" w:hAnsi="宋体" w:cs="宋体"/>
                <w:color w:val="000000" w:themeColor="text1"/>
                <w:sz w:val="21"/>
                <w:szCs w:val="21"/>
                <w:highlight w:val="none"/>
                <w:lang w:val="en-US" w:eastAsia="zh-CN"/>
                <w14:textFill>
                  <w14:solidFill>
                    <w14:schemeClr w14:val="tx1"/>
                  </w14:solidFill>
                </w14:textFill>
              </w:rPr>
              <w:t>工程总承包</w:t>
            </w:r>
            <w:r>
              <w:rPr>
                <w:rFonts w:hint="eastAsia" w:ascii="宋体" w:hAnsi="宋体" w:eastAsia="宋体" w:cs="宋体"/>
                <w:color w:val="000000" w:themeColor="text1"/>
                <w:sz w:val="21"/>
                <w:szCs w:val="21"/>
                <w:highlight w:val="none"/>
                <w14:textFill>
                  <w14:solidFill>
                    <w14:schemeClr w14:val="tx1"/>
                  </w14:solidFill>
                </w14:textFill>
              </w:rPr>
              <w:t>项目经理</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在中标后具备到岗履约条件，如有其他在建项目（包含中标待建项目）的，必须在中标通知书发放后7日内完成</w:t>
            </w:r>
            <w:r>
              <w:rPr>
                <w:rFonts w:hint="eastAsia" w:ascii="宋体" w:hAnsi="宋体" w:eastAsia="宋体" w:cs="宋体"/>
                <w:color w:val="000000" w:themeColor="text1"/>
                <w:sz w:val="21"/>
                <w:szCs w:val="21"/>
                <w:highlight w:val="none"/>
                <w:lang w:val="en-US" w:eastAsia="zh-CN"/>
                <w14:textFill>
                  <w14:solidFill>
                    <w14:schemeClr w14:val="tx1"/>
                  </w14:solidFill>
                </w14:textFill>
              </w:rPr>
              <w:t>变更</w:t>
            </w:r>
            <w:r>
              <w:rPr>
                <w:rFonts w:hint="eastAsia" w:ascii="宋体" w:hAnsi="宋体" w:cs="宋体"/>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项目经理</w:t>
            </w:r>
            <w:r>
              <w:rPr>
                <w:rFonts w:hint="eastAsia" w:ascii="宋体" w:hAnsi="宋体" w:eastAsia="宋体" w:cs="宋体"/>
                <w:bCs/>
                <w:color w:val="000000" w:themeColor="text1"/>
                <w:sz w:val="21"/>
                <w:szCs w:val="21"/>
                <w:highlight w:val="none"/>
                <w14:textFill>
                  <w14:solidFill>
                    <w14:schemeClr w14:val="tx1"/>
                  </w14:solidFill>
                </w14:textFill>
              </w:rPr>
              <w:t>从原项目退出，经各级部门批准后调整至本项目担任</w:t>
            </w:r>
            <w:r>
              <w:rPr>
                <w:rFonts w:hint="eastAsia" w:ascii="宋体" w:hAnsi="宋体" w:cs="宋体"/>
                <w:color w:val="000000" w:themeColor="text1"/>
                <w:sz w:val="21"/>
                <w:szCs w:val="21"/>
                <w:highlight w:val="none"/>
                <w:lang w:val="en-US" w:eastAsia="zh-CN"/>
                <w14:textFill>
                  <w14:solidFill>
                    <w14:schemeClr w14:val="tx1"/>
                  </w14:solidFill>
                </w14:textFill>
              </w:rPr>
              <w:t>工程总承包</w:t>
            </w:r>
            <w:r>
              <w:rPr>
                <w:rFonts w:hint="eastAsia" w:ascii="宋体" w:hAnsi="宋体" w:eastAsia="宋体" w:cs="宋体"/>
                <w:bCs/>
                <w:color w:val="000000" w:themeColor="text1"/>
                <w:sz w:val="21"/>
                <w:szCs w:val="21"/>
                <w:highlight w:val="none"/>
                <w14:textFill>
                  <w14:solidFill>
                    <w14:schemeClr w14:val="tx1"/>
                  </w14:solidFill>
                </w14:textFill>
              </w:rPr>
              <w:t>项目经理</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。如中标后无法在规定时间内完成变更，招标人有权取消其中标资格，履约保证金（如有）不予退还(或按保函予以追偿)。</w:t>
            </w:r>
          </w:p>
          <w:p w14:paraId="64539685">
            <w:pPr>
              <w:keepNext w:val="0"/>
              <w:keepLines w:val="0"/>
              <w:pageBreakBefore w:val="0"/>
              <w:suppressLineNumbers w:val="0"/>
              <w:kinsoku/>
              <w:wordWrap w:val="0"/>
              <w:overflowPunct/>
              <w:bidi w:val="0"/>
              <w:spacing w:before="0" w:beforeAutospacing="0" w:after="0" w:afterAutospacing="0"/>
              <w:ind w:left="0" w:right="0"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如因此给招标人造成损失，一切责任由中标人承担，同时招标人具有向中标人继续追偿的权利。</w:t>
            </w:r>
          </w:p>
          <w:p w14:paraId="033CA2FE">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default" w:ascii="宋体" w:hAnsi="宋体" w:eastAsia="宋体" w:cs="宋体"/>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注：本招标文件中约定的中标通知书发出之日，</w:t>
            </w:r>
            <w:r>
              <w:rPr>
                <w:rFonts w:hint="eastAsia"/>
                <w:b/>
                <w:bCs/>
                <w:color w:val="000000" w:themeColor="text1"/>
                <w:sz w:val="21"/>
                <w:szCs w:val="21"/>
                <w:highlight w:val="none"/>
                <w14:textFill>
                  <w14:solidFill>
                    <w14:schemeClr w14:val="tx1"/>
                  </w14:solidFill>
                </w14:textFill>
              </w:rPr>
              <w:t>为淮南</w:t>
            </w:r>
            <w:r>
              <w:rPr>
                <w:rFonts w:hint="eastAsia"/>
                <w:b/>
                <w:bCs/>
                <w:color w:val="000000" w:themeColor="text1"/>
                <w:sz w:val="21"/>
                <w:szCs w:val="21"/>
                <w:highlight w:val="none"/>
                <w:lang w:val="en-US" w:eastAsia="zh-CN"/>
                <w14:textFill>
                  <w14:solidFill>
                    <w14:schemeClr w14:val="tx1"/>
                  </w14:solidFill>
                </w14:textFill>
              </w:rPr>
              <w:t>市</w:t>
            </w:r>
            <w:r>
              <w:rPr>
                <w:rFonts w:hint="eastAsia"/>
                <w:b/>
                <w:bCs/>
                <w:color w:val="000000" w:themeColor="text1"/>
                <w:sz w:val="21"/>
                <w:szCs w:val="21"/>
                <w:highlight w:val="none"/>
                <w14:textFill>
                  <w14:solidFill>
                    <w14:schemeClr w14:val="tx1"/>
                  </w14:solidFill>
                </w14:textFill>
              </w:rPr>
              <w:t>公共资源交易监督管理局在电子中标通知书上签章次日</w:t>
            </w:r>
            <w:r>
              <w:rPr>
                <w:rFonts w:hint="eastAsia"/>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项目启动日以建设单位书面通知为准。</w:t>
            </w:r>
          </w:p>
        </w:tc>
      </w:tr>
      <w:tr w14:paraId="4515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6B06FDB6">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11.31</w:t>
            </w:r>
          </w:p>
        </w:tc>
        <w:tc>
          <w:tcPr>
            <w:tcW w:w="1978" w:type="dxa"/>
            <w:noWrap w:val="0"/>
            <w:vAlign w:val="center"/>
          </w:tcPr>
          <w:p w14:paraId="44884E8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中标人候选人（或中标人）异常情况处理方式</w:t>
            </w:r>
          </w:p>
        </w:tc>
        <w:tc>
          <w:tcPr>
            <w:tcW w:w="6053" w:type="dxa"/>
            <w:noWrap w:val="0"/>
            <w:vAlign w:val="center"/>
          </w:tcPr>
          <w:p w14:paraId="5CDE5442">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1、发现中标企业注册人员数量不满足招标文件规定的建筑业企业资质标准或其不符合安全生产许可证规定人员条件，处理方式如下：</w:t>
            </w:r>
          </w:p>
          <w:p w14:paraId="44720C10">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如在中标候选人公示期，招标人认为可能影响其履约能力的，应当在发出中标通知书前由原评标委员会按照招标文件规定的标准和方法审查确认。如已发出中标通知书，且不能采取补救措施予以纠正的，依据《中华人民共和国招标投标法实施条例》第八十一条规定，该企业中标无效。</w:t>
            </w:r>
          </w:p>
          <w:p w14:paraId="44E19A7C">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2、发现投标人的安全生产许可证在评标期间或中标候选人公示期间被有关部门暂扣，处理方式如下：</w:t>
            </w:r>
          </w:p>
          <w:p w14:paraId="6158E349">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投标人安全生产许可证被扣，已丧失承包工程项目的能力，不具备基本的投标和履约资格。评标委员会应当将该投标文件作否决处理。</w:t>
            </w:r>
          </w:p>
          <w:p w14:paraId="7198F1E5">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中标候选人公示期间被暂扣安全生产许可证，其经营状况发生了较大变化，应当依据《中华人民共和国招标投标法实施条例》第五十七条“中标候选人的经营、财务状况发生较大变化或者存在违法行为，招标人认为可能影响其履约能力的，应当在发出中标通知书前由原评标委员会按照招标文件规定的标准和方法审查确认”的规定处理。</w:t>
            </w:r>
          </w:p>
          <w:p w14:paraId="75267D8D">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3、中标通知书发出后，施工单位被暂扣安全生产许可证的处理方式：</w:t>
            </w:r>
          </w:p>
          <w:p w14:paraId="5FA106BF">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中标通知书发出后被暂扣安全生产许可证，</w:t>
            </w:r>
            <w:r>
              <w:rPr>
                <w:rFonts w:hint="eastAsia"/>
                <w:b w:val="0"/>
                <w:bCs w:val="0"/>
                <w:color w:val="000000" w:themeColor="text1"/>
                <w:sz w:val="21"/>
                <w:szCs w:val="21"/>
                <w:highlight w:val="none"/>
                <w:lang w:val="en-US" w:eastAsia="zh-CN"/>
                <w14:textFill>
                  <w14:solidFill>
                    <w14:schemeClr w14:val="tx1"/>
                  </w14:solidFill>
                </w14:textFill>
              </w:rPr>
              <w:t>因施工方原因</w:t>
            </w:r>
            <w:r>
              <w:rPr>
                <w:rFonts w:hint="default"/>
                <w:b w:val="0"/>
                <w:bCs w:val="0"/>
                <w:color w:val="000000" w:themeColor="text1"/>
                <w:sz w:val="21"/>
                <w:szCs w:val="21"/>
                <w:highlight w:val="none"/>
                <w:lang w:val="en-US" w:eastAsia="zh-CN"/>
                <w14:textFill>
                  <w14:solidFill>
                    <w14:schemeClr w14:val="tx1"/>
                  </w14:solidFill>
                </w14:textFill>
              </w:rPr>
              <w:t>不具备履约资格</w:t>
            </w:r>
            <w:r>
              <w:rPr>
                <w:rFonts w:hint="eastAsia"/>
                <w:b w:val="0"/>
                <w:bCs w:val="0"/>
                <w:color w:val="000000" w:themeColor="text1"/>
                <w:sz w:val="21"/>
                <w:szCs w:val="21"/>
                <w:highlight w:val="none"/>
                <w:lang w:val="en-US" w:eastAsia="zh-CN"/>
                <w14:textFill>
                  <w14:solidFill>
                    <w14:schemeClr w14:val="tx1"/>
                  </w14:solidFill>
                </w14:textFill>
              </w:rPr>
              <w:t>，</w:t>
            </w:r>
            <w:r>
              <w:rPr>
                <w:rFonts w:hint="default"/>
                <w:b w:val="0"/>
                <w:bCs w:val="0"/>
                <w:color w:val="000000" w:themeColor="text1"/>
                <w:sz w:val="21"/>
                <w:szCs w:val="21"/>
                <w:highlight w:val="none"/>
                <w:lang w:val="en-US" w:eastAsia="zh-CN"/>
                <w14:textFill>
                  <w14:solidFill>
                    <w14:schemeClr w14:val="tx1"/>
                  </w14:solidFill>
                </w14:textFill>
              </w:rPr>
              <w:t>影响合同签订</w:t>
            </w:r>
            <w:r>
              <w:rPr>
                <w:rFonts w:hint="eastAsia"/>
                <w:b w:val="0"/>
                <w:bCs w:val="0"/>
                <w:color w:val="000000" w:themeColor="text1"/>
                <w:sz w:val="21"/>
                <w:szCs w:val="21"/>
                <w:highlight w:val="none"/>
                <w:lang w:val="en-US" w:eastAsia="zh-CN"/>
                <w14:textFill>
                  <w14:solidFill>
                    <w14:schemeClr w14:val="tx1"/>
                  </w14:solidFill>
                </w14:textFill>
              </w:rPr>
              <w:t>、</w:t>
            </w:r>
            <w:r>
              <w:rPr>
                <w:rFonts w:hint="default"/>
                <w:b w:val="0"/>
                <w:bCs w:val="0"/>
                <w:color w:val="000000" w:themeColor="text1"/>
                <w:sz w:val="21"/>
                <w:szCs w:val="21"/>
                <w:highlight w:val="none"/>
                <w:lang w:val="en-US" w:eastAsia="zh-CN"/>
                <w14:textFill>
                  <w14:solidFill>
                    <w14:schemeClr w14:val="tx1"/>
                  </w14:solidFill>
                </w14:textFill>
              </w:rPr>
              <w:t>施工许可证办理</w:t>
            </w:r>
            <w:r>
              <w:rPr>
                <w:rFonts w:hint="eastAsia"/>
                <w:b w:val="0"/>
                <w:bCs w:val="0"/>
                <w:color w:val="000000" w:themeColor="text1"/>
                <w:sz w:val="21"/>
                <w:szCs w:val="21"/>
                <w:highlight w:val="none"/>
                <w:lang w:val="en-US" w:eastAsia="zh-CN"/>
                <w14:textFill>
                  <w14:solidFill>
                    <w14:schemeClr w14:val="tx1"/>
                  </w14:solidFill>
                </w14:textFill>
              </w:rPr>
              <w:t>的</w:t>
            </w:r>
            <w:r>
              <w:rPr>
                <w:rFonts w:hint="default"/>
                <w:b w:val="0"/>
                <w:bCs w:val="0"/>
                <w:color w:val="000000" w:themeColor="text1"/>
                <w:sz w:val="21"/>
                <w:szCs w:val="21"/>
                <w:highlight w:val="none"/>
                <w:lang w:val="en-US" w:eastAsia="zh-CN"/>
                <w14:textFill>
                  <w14:solidFill>
                    <w14:schemeClr w14:val="tx1"/>
                  </w14:solidFill>
                </w14:textFill>
              </w:rPr>
              <w:t>，可以取消</w:t>
            </w:r>
            <w:r>
              <w:rPr>
                <w:rFonts w:hint="eastAsia"/>
                <w:b w:val="0"/>
                <w:bCs w:val="0"/>
                <w:color w:val="000000" w:themeColor="text1"/>
                <w:sz w:val="21"/>
                <w:szCs w:val="21"/>
                <w:highlight w:val="none"/>
                <w:lang w:val="en-US" w:eastAsia="zh-CN"/>
                <w14:textFill>
                  <w14:solidFill>
                    <w14:schemeClr w14:val="tx1"/>
                  </w14:solidFill>
                </w14:textFill>
              </w:rPr>
              <w:t>其</w:t>
            </w:r>
            <w:r>
              <w:rPr>
                <w:rFonts w:hint="default"/>
                <w:b w:val="0"/>
                <w:bCs w:val="0"/>
                <w:color w:val="000000" w:themeColor="text1"/>
                <w:sz w:val="21"/>
                <w:szCs w:val="21"/>
                <w:highlight w:val="none"/>
                <w:lang w:val="en-US" w:eastAsia="zh-CN"/>
                <w14:textFill>
                  <w14:solidFill>
                    <w14:schemeClr w14:val="tx1"/>
                  </w14:solidFill>
                </w14:textFill>
              </w:rPr>
              <w:t>中标资格。</w:t>
            </w:r>
          </w:p>
        </w:tc>
      </w:tr>
      <w:tr w14:paraId="7A86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1622A5EC">
            <w:pPr>
              <w:pStyle w:val="8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11.32</w:t>
            </w:r>
          </w:p>
        </w:tc>
        <w:tc>
          <w:tcPr>
            <w:tcW w:w="1978" w:type="dxa"/>
            <w:noWrap w:val="0"/>
            <w:vAlign w:val="center"/>
          </w:tcPr>
          <w:p w14:paraId="7F6C99D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招标人补充的其他内容</w:t>
            </w:r>
          </w:p>
        </w:tc>
        <w:tc>
          <w:tcPr>
            <w:tcW w:w="6053" w:type="dxa"/>
            <w:noWrap w:val="0"/>
            <w:vAlign w:val="center"/>
          </w:tcPr>
          <w:p w14:paraId="01944EA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Cs/>
                <w:snapToGrid w:val="0"/>
                <w:color w:val="000000" w:themeColor="text1"/>
                <w:kern w:val="0"/>
                <w:sz w:val="21"/>
                <w:szCs w:val="21"/>
                <w:highlight w:val="none"/>
                <w:lang w:eastAsia="zh-CN"/>
                <w14:textFill>
                  <w14:solidFill>
                    <w14:schemeClr w14:val="tx1"/>
                  </w14:solidFill>
                </w14:textFill>
              </w:rPr>
              <w:t>……</w:t>
            </w:r>
          </w:p>
        </w:tc>
      </w:tr>
      <w:tr w14:paraId="5F9D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dxa"/>
            <w:noWrap w:val="0"/>
            <w:vAlign w:val="center"/>
          </w:tcPr>
          <w:p w14:paraId="515DE2D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Times New Roman" w:hAnsi="Times New Roman"/>
                <w:smallCaps w:val="0"/>
                <w:color w:val="000000" w:themeColor="text1"/>
                <w:sz w:val="21"/>
                <w:szCs w:val="21"/>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21"/>
                <w:highlight w:val="none"/>
                <w:lang w:eastAsia="zh-CN"/>
                <w14:textFill>
                  <w14:solidFill>
                    <w14:schemeClr w14:val="tx1"/>
                  </w14:solidFill>
                </w14:textFill>
              </w:rPr>
              <w:t>……</w:t>
            </w:r>
          </w:p>
        </w:tc>
        <w:tc>
          <w:tcPr>
            <w:tcW w:w="1978" w:type="dxa"/>
            <w:noWrap w:val="0"/>
            <w:vAlign w:val="center"/>
          </w:tcPr>
          <w:p w14:paraId="5FB49B5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cs="宋体"/>
                <w:bCs/>
                <w:snapToGrid w:val="0"/>
                <w:color w:val="000000" w:themeColor="text1"/>
                <w:kern w:val="0"/>
                <w:sz w:val="21"/>
                <w:szCs w:val="21"/>
                <w:highlight w:val="none"/>
                <w:lang w:eastAsia="zh-CN"/>
                <w14:textFill>
                  <w14:solidFill>
                    <w14:schemeClr w14:val="tx1"/>
                  </w14:solidFill>
                </w14:textFill>
              </w:rPr>
              <w:t>……</w:t>
            </w:r>
          </w:p>
        </w:tc>
        <w:tc>
          <w:tcPr>
            <w:tcW w:w="6053" w:type="dxa"/>
            <w:noWrap w:val="0"/>
            <w:vAlign w:val="center"/>
          </w:tcPr>
          <w:p w14:paraId="36AEA54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Cs/>
                <w:snapToGrid w:val="0"/>
                <w:color w:val="000000" w:themeColor="text1"/>
                <w:kern w:val="0"/>
                <w:sz w:val="21"/>
                <w:szCs w:val="21"/>
                <w:highlight w:val="none"/>
                <w:lang w:eastAsia="zh-CN"/>
                <w14:textFill>
                  <w14:solidFill>
                    <w14:schemeClr w14:val="tx1"/>
                  </w14:solidFill>
                </w14:textFill>
              </w:rPr>
              <w:t>……</w:t>
            </w:r>
          </w:p>
        </w:tc>
      </w:tr>
    </w:tbl>
    <w:p w14:paraId="6601ECB7">
      <w:pPr>
        <w:pStyle w:val="77"/>
        <w:pageBreakBefore w:val="0"/>
        <w:kinsoku/>
        <w:wordWrap w:val="0"/>
        <w:overflowPunct/>
        <w:bidi w:val="0"/>
        <w:outlineLvl w:val="9"/>
        <w:rPr>
          <w:rStyle w:val="73"/>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04" w:name="_Toc18525"/>
      <w:bookmarkStart w:id="105" w:name="_Toc460660062"/>
      <w:bookmarkStart w:id="106" w:name="_Toc460226720"/>
      <w:bookmarkStart w:id="107" w:name="_Toc3882"/>
      <w:bookmarkStart w:id="108" w:name="_Toc283798416"/>
      <w:bookmarkStart w:id="109" w:name="_Toc38879316"/>
      <w:bookmarkStart w:id="110" w:name="_Toc13517"/>
      <w:bookmarkStart w:id="111" w:name="_Toc15153"/>
      <w:bookmarkStart w:id="112" w:name="_Toc11078137"/>
      <w:bookmarkStart w:id="113" w:name="_Toc421916975"/>
      <w:bookmarkStart w:id="114" w:name="_Toc29727"/>
      <w:bookmarkStart w:id="115" w:name="_Toc14947"/>
      <w:bookmarkStart w:id="116" w:name="_Toc6367"/>
      <w:bookmarkStart w:id="117" w:name="_Toc460226989"/>
      <w:bookmarkStart w:id="118" w:name="_Toc6383"/>
      <w:bookmarkStart w:id="119" w:name="_Toc184635071"/>
      <w:r>
        <w:rPr>
          <w:rStyle w:val="78"/>
          <w:rFonts w:hint="eastAsia" w:ascii="Times New Roman" w:hAnsi="Times New Roman"/>
          <w:smallCaps w:val="0"/>
          <w:color w:val="000000" w:themeColor="text1"/>
          <w:highlight w:val="none"/>
          <w:lang w:val="en-US" w:eastAsia="zh-CN"/>
          <w14:textFill>
            <w14:solidFill>
              <w14:schemeClr w14:val="tx1"/>
            </w14:solidFill>
          </w14:textFill>
        </w:rPr>
        <w:t>附录1  资格审查条件（资质最低条件）</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tbl>
      <w:tblPr>
        <w:tblStyle w:val="22"/>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6"/>
      </w:tblGrid>
      <w:tr w14:paraId="3263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0FCC1C3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资质证书及其他要求</w:t>
            </w:r>
          </w:p>
        </w:tc>
      </w:tr>
      <w:tr w14:paraId="4CE6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38"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14:paraId="758F903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具备有效的营业执照。</w:t>
            </w:r>
          </w:p>
          <w:p w14:paraId="1599263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具备有效的资质证书（见招标公告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要求）、具备有效的安全生产许可证。</w:t>
            </w:r>
          </w:p>
          <w:p w14:paraId="33BB5EF7">
            <w:pPr>
              <w:pStyle w:val="4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eastAsia="宋体" w:cs="宋体"/>
                <w:bCs/>
                <w:smallCaps w:val="0"/>
                <w:snapToGrid w:val="0"/>
                <w:color w:val="000000" w:themeColor="text1"/>
                <w:kern w:val="0"/>
                <w:szCs w:val="2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tc>
      </w:tr>
    </w:tbl>
    <w:p w14:paraId="54EAC46A">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投标人应提供营业执照、资质证书、安全生产许可证</w:t>
      </w:r>
      <w:bookmarkStart w:id="120" w:name="_Toc421916976"/>
      <w:bookmarkStart w:id="121" w:name="_Toc460226990"/>
      <w:bookmarkStart w:id="122" w:name="_Toc460226721"/>
      <w:bookmarkStart w:id="123" w:name="_Toc460660063"/>
      <w:bookmarkStart w:id="124" w:name="_Toc283798417"/>
      <w:r>
        <w:rPr>
          <w:rFonts w:hint="eastAsia" w:ascii="Times New Roman" w:hAnsi="Times New Roman"/>
          <w:smallCaps w:val="0"/>
          <w:color w:val="000000" w:themeColor="text1"/>
          <w:highlight w:val="none"/>
          <w14:textFill>
            <w14:solidFill>
              <w14:schemeClr w14:val="tx1"/>
            </w14:solidFill>
          </w14:textFill>
        </w:rPr>
        <w:t>。</w:t>
      </w:r>
    </w:p>
    <w:p w14:paraId="59FB4022">
      <w:pPr>
        <w:pStyle w:val="77"/>
        <w:pageBreakBefore w:val="0"/>
        <w:kinsoku/>
        <w:wordWrap w:val="0"/>
        <w:overflowPunct/>
        <w:bidi w:val="0"/>
        <w:outlineLvl w:val="9"/>
        <w:rPr>
          <w:rStyle w:val="78"/>
          <w:rFonts w:hint="eastAsia" w:ascii="Times New Roman" w:hAnsi="Times New Roman"/>
          <w:smallCaps w:val="0"/>
          <w:color w:val="000000" w:themeColor="text1"/>
          <w:highlight w:val="none"/>
          <w:lang w:val="en-US" w:eastAsia="zh-CN"/>
          <w14:textFill>
            <w14:solidFill>
              <w14:schemeClr w14:val="tx1"/>
            </w14:solidFill>
          </w14:textFill>
        </w:rPr>
      </w:pPr>
      <w:r>
        <w:rPr>
          <w:rStyle w:val="73"/>
          <w:rFonts w:hint="eastAsia" w:ascii="Times New Roman" w:hAnsi="Times New Roman" w:cs="Times New Roman"/>
          <w:b w:val="0"/>
          <w:bCs w:val="0"/>
          <w:smallCaps w:val="0"/>
          <w:color w:val="000000" w:themeColor="text1"/>
          <w:kern w:val="2"/>
          <w:highlight w:val="none"/>
          <w:lang w:val="en-US" w:eastAsia="zh-CN" w:bidi="ar-SA"/>
          <w14:textFill>
            <w14:solidFill>
              <w14:schemeClr w14:val="tx1"/>
            </w14:solidFill>
          </w14:textFill>
        </w:rPr>
        <w:br w:type="page"/>
      </w:r>
      <w:bookmarkStart w:id="125" w:name="_Toc30244"/>
      <w:bookmarkStart w:id="126" w:name="_Toc31659"/>
      <w:bookmarkStart w:id="127" w:name="_Toc32384"/>
      <w:bookmarkStart w:id="128" w:name="_Toc11078138"/>
      <w:bookmarkStart w:id="129" w:name="_Toc4940"/>
      <w:bookmarkStart w:id="130" w:name="_Toc19432"/>
      <w:bookmarkStart w:id="131" w:name="_Toc117"/>
      <w:bookmarkStart w:id="132" w:name="_Toc38879317"/>
      <w:bookmarkStart w:id="133" w:name="_Toc5157"/>
      <w:bookmarkStart w:id="134" w:name="_Toc16457"/>
      <w:r>
        <w:rPr>
          <w:rStyle w:val="78"/>
          <w:rFonts w:hint="eastAsia" w:ascii="Times New Roman" w:hAnsi="Times New Roman"/>
          <w:smallCaps w:val="0"/>
          <w:color w:val="000000" w:themeColor="text1"/>
          <w:highlight w:val="none"/>
          <w:lang w:val="en-US" w:eastAsia="zh-CN"/>
          <w14:textFill>
            <w14:solidFill>
              <w14:schemeClr w14:val="tx1"/>
            </w14:solidFill>
          </w14:textFill>
        </w:rPr>
        <w:t>附录2  资格审查条件（财务最低要求）</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bookmarkEnd w:id="134"/>
    <w:tbl>
      <w:tblPr>
        <w:tblStyle w:val="22"/>
        <w:tblW w:w="45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9"/>
      </w:tblGrid>
      <w:tr w14:paraId="4536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138D3A7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
                <w:bCs/>
                <w:smallCaps w:val="0"/>
                <w:color w:val="000000" w:themeColor="text1"/>
                <w:szCs w:val="2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财务要求</w:t>
            </w:r>
          </w:p>
        </w:tc>
      </w:tr>
      <w:tr w14:paraId="22C9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6"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14:paraId="4EB3B9A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sym w:font="Wingdings 2" w:char="00A3"/>
            </w:r>
            <w:r>
              <w:rPr>
                <w:rFonts w:hint="eastAsia" w:ascii="Times New Roman" w:hAnsi="Times New Roman"/>
                <w:smallCaps w:val="0"/>
                <w:color w:val="000000" w:themeColor="text1"/>
                <w:highlight w:val="none"/>
                <w14:textFill>
                  <w14:solidFill>
                    <w14:schemeClr w14:val="tx1"/>
                  </w14:solidFill>
                </w14:textFill>
              </w:rPr>
              <w:t>无需提供。</w:t>
            </w:r>
          </w:p>
          <w:p w14:paraId="45DF67D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需提供以下材料</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24EC36E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cs="宋体"/>
                <w:bCs/>
                <w:smallCaps w:val="0"/>
                <w:color w:val="000000" w:themeColor="text1"/>
                <w:szCs w:val="2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经会计师事务所或审计机构审计的财务会计报表，包括资产负债表、现金流量表、利润表、财务情况说明书</w:t>
            </w:r>
            <w:r>
              <w:rPr>
                <w:rFonts w:hint="eastAsia" w:ascii="Times New Roman" w:hAnsi="Times New Roman"/>
                <w:smallCaps w:val="0"/>
                <w:color w:val="000000" w:themeColor="text1"/>
                <w:highlight w:val="none"/>
                <w:lang w:eastAsia="zh-CN"/>
                <w14:textFill>
                  <w14:solidFill>
                    <w14:schemeClr w14:val="tx1"/>
                  </w14:solidFill>
                </w14:textFill>
              </w:rPr>
              <w:t>。</w:t>
            </w:r>
          </w:p>
        </w:tc>
      </w:tr>
    </w:tbl>
    <w:p w14:paraId="07BF8B2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证明材料应完整或能充分证明满足评审需要。</w:t>
      </w:r>
    </w:p>
    <w:p w14:paraId="7538F491">
      <w:pPr>
        <w:pStyle w:val="72"/>
        <w:pageBreakBefore w:val="0"/>
        <w:kinsoku/>
        <w:wordWrap w:val="0"/>
        <w:overflowPunct/>
        <w:bidi w:val="0"/>
        <w:jc w:val="both"/>
        <w:rPr>
          <w:rStyle w:val="78"/>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Cs w:val="0"/>
          <w:smallCaps w:val="0"/>
          <w:color w:val="000000" w:themeColor="text1"/>
          <w:kern w:val="0"/>
          <w:szCs w:val="21"/>
          <w:highlight w:val="none"/>
          <w14:textFill>
            <w14:solidFill>
              <w14:schemeClr w14:val="tx1"/>
            </w14:solidFill>
          </w14:textFill>
        </w:rPr>
        <w:br w:type="page"/>
      </w:r>
      <w:bookmarkStart w:id="135" w:name="_Toc421916977"/>
      <w:bookmarkStart w:id="136" w:name="_Toc460226991"/>
      <w:bookmarkStart w:id="137" w:name="_Toc460660064"/>
      <w:bookmarkStart w:id="138" w:name="_Toc460226722"/>
      <w:bookmarkStart w:id="139" w:name="_Toc11078139"/>
      <w:bookmarkStart w:id="140" w:name="_Toc283798418"/>
      <w:bookmarkStart w:id="141" w:name="_Toc30036"/>
      <w:bookmarkStart w:id="142" w:name="_Toc1751"/>
      <w:bookmarkStart w:id="143" w:name="_Toc7635"/>
      <w:bookmarkStart w:id="144" w:name="_Toc11293"/>
      <w:bookmarkStart w:id="145" w:name="_Toc18749"/>
      <w:bookmarkStart w:id="146" w:name="_Toc27226"/>
      <w:bookmarkStart w:id="147" w:name="_Toc38879318"/>
      <w:bookmarkStart w:id="148" w:name="_Toc496"/>
      <w:bookmarkStart w:id="149" w:name="_Toc25337"/>
      <w:r>
        <w:rPr>
          <w:rStyle w:val="78"/>
          <w:rFonts w:hint="eastAsia" w:ascii="Times New Roman" w:hAnsi="Times New Roman"/>
          <w:smallCaps w:val="0"/>
          <w:color w:val="000000" w:themeColor="text1"/>
          <w:highlight w:val="none"/>
          <w14:textFill>
            <w14:solidFill>
              <w14:schemeClr w14:val="tx1"/>
            </w14:solidFill>
          </w14:textFill>
        </w:rPr>
        <w:t>附录3  资格审查条件</w:t>
      </w:r>
      <w:r>
        <w:rPr>
          <w:rStyle w:val="78"/>
          <w:rFonts w:hint="eastAsia" w:ascii="Times New Roman" w:hAnsi="Times New Roman"/>
          <w:smallCaps w:val="0"/>
          <w:color w:val="000000" w:themeColor="text1"/>
          <w:highlight w:val="none"/>
          <w:lang w:eastAsia="zh-CN"/>
          <w14:textFill>
            <w14:solidFill>
              <w14:schemeClr w14:val="tx1"/>
            </w14:solidFill>
          </w14:textFill>
        </w:rPr>
        <w:t>（</w:t>
      </w:r>
      <w:r>
        <w:rPr>
          <w:rStyle w:val="78"/>
          <w:rFonts w:hint="eastAsia" w:ascii="Times New Roman" w:hAnsi="Times New Roman"/>
          <w:smallCaps w:val="0"/>
          <w:color w:val="000000" w:themeColor="text1"/>
          <w:highlight w:val="none"/>
          <w14:textFill>
            <w14:solidFill>
              <w14:schemeClr w14:val="tx1"/>
            </w14:solidFill>
          </w14:textFill>
        </w:rPr>
        <w:t>业绩最低要求</w:t>
      </w:r>
      <w:r>
        <w:rPr>
          <w:rStyle w:val="78"/>
          <w:rFonts w:hint="eastAsia" w:ascii="Times New Roman" w:hAnsi="Times New Roman"/>
          <w:smallCaps w:val="0"/>
          <w:color w:val="000000" w:themeColor="text1"/>
          <w:highlight w:val="none"/>
          <w:lang w:eastAsia="zh-CN"/>
          <w14:textFill>
            <w14:solidFill>
              <w14:schemeClr w14:val="tx1"/>
            </w14:solidFill>
          </w14:textFill>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bookmarkEnd w:id="149"/>
    <w:tbl>
      <w:tblPr>
        <w:tblStyle w:val="22"/>
        <w:tblW w:w="44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2"/>
      </w:tblGrid>
      <w:tr w14:paraId="0A35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71A941A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投标人业绩要求</w:t>
            </w:r>
          </w:p>
        </w:tc>
      </w:tr>
      <w:tr w14:paraId="4FEA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306352B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要求。</w:t>
            </w:r>
          </w:p>
        </w:tc>
      </w:tr>
    </w:tbl>
    <w:p w14:paraId="60207198">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8AA8890">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1.投标人应提供下列勾选的任一类别的业绩证明材料</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3DBF01DD">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第一类</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399BE88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住房和城乡建设部全国建筑市场监管公共服务平台“数据等级”C级及以上项目业绩网页截图。</w:t>
      </w:r>
    </w:p>
    <w:p w14:paraId="0BD2B07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需在商务文件中“资格审查资料”栏“投标人业绩情况表（资格审查）”中注明并提供相关证明材料。如投标人提供的上述业绩证明材料未能完整或充分反映评审因素的，应提供第二类任意证明材料或另附合同甲方证明材料（须加盖合同甲方单位章）予以明确说明，否则评标委员会不予认可。</w:t>
      </w:r>
    </w:p>
    <w:p w14:paraId="1BFA11FD">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第二类</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B429A6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（1）合同协议书。</w:t>
      </w:r>
    </w:p>
    <w:p w14:paraId="5097F1C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（2）中标查询网址及查询截图，或住房和城乡建设主管部门网站公布的施工许可证办理查询截图。无法提供以上截图的，应当提供住房和城乡建设主管部门证明材料。</w:t>
      </w:r>
    </w:p>
    <w:p w14:paraId="0E85040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（3）竣工验收证明文件。时间以</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为准</w:t>
      </w:r>
      <w:r>
        <w:rPr>
          <w:rStyle w:val="28"/>
          <w:rFonts w:hint="eastAsia" w:ascii="Times New Roman" w:hAnsi="Times New Roman" w:eastAsia="宋体" w:cs="宋体"/>
          <w:b w:val="0"/>
          <w:bCs w:val="0"/>
          <w:smallCaps w:val="0"/>
          <w:color w:val="000000" w:themeColor="text1"/>
          <w:szCs w:val="21"/>
          <w:highlight w:val="none"/>
          <w14:textFill>
            <w14:solidFill>
              <w14:schemeClr w14:val="tx1"/>
            </w14:solidFill>
          </w14:textFill>
        </w:rPr>
        <w:footnoteReference w:id="35"/>
      </w:r>
      <w:r>
        <w:rPr>
          <w:rFonts w:hint="eastAsia" w:ascii="Times New Roman" w:hAnsi="Times New Roman"/>
          <w:smallCaps w:val="0"/>
          <w:color w:val="000000" w:themeColor="text1"/>
          <w:highlight w:val="none"/>
          <w14:textFill>
            <w14:solidFill>
              <w14:schemeClr w14:val="tx1"/>
            </w14:solidFill>
          </w14:textFill>
        </w:rPr>
        <w:t>。</w:t>
      </w:r>
    </w:p>
    <w:p w14:paraId="18BE8FD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（4）其他材料</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p>
    <w:p w14:paraId="742C473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需在商务文件中“资格审查资料”栏“投标人业绩情况表（资格审查）”中注明并提供相关证明材料。如投标人提供的上述业绩证明材料未能完整或充分反映评审因素的，应另附合同甲方证明材料（须加盖合同甲方单位章）予以明确说明，否则评标委员会不予认可。</w:t>
      </w:r>
    </w:p>
    <w:p w14:paraId="06C0D8D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w:t>
      </w:r>
      <w:r>
        <w:rPr>
          <w:rFonts w:hint="eastAsia" w:ascii="Times New Roman" w:hAnsi="Times New Roman"/>
          <w:smallCaps w:val="0"/>
          <w:color w:val="000000" w:themeColor="text1"/>
          <w:highlight w:val="none"/>
          <w:lang w:val="en-US" w:eastAsia="zh-CN"/>
          <w14:textFill>
            <w14:solidFill>
              <w14:schemeClr w14:val="tx1"/>
            </w14:solidFill>
          </w14:textFill>
        </w:rPr>
        <w:t>三</w:t>
      </w:r>
      <w:r>
        <w:rPr>
          <w:rFonts w:hint="eastAsia" w:ascii="Times New Roman" w:hAnsi="Times New Roman"/>
          <w:smallCaps w:val="0"/>
          <w:color w:val="000000" w:themeColor="text1"/>
          <w:highlight w:val="none"/>
          <w14:textFill>
            <w14:solidFill>
              <w14:schemeClr w14:val="tx1"/>
            </w14:solidFill>
          </w14:textFill>
        </w:rPr>
        <w:t>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p w14:paraId="3708340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2.本招标项目投标人业绩（资格审查）数量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个。</w:t>
      </w:r>
    </w:p>
    <w:p w14:paraId="2248429A">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ab/>
      </w:r>
    </w:p>
    <w:p w14:paraId="01063837">
      <w:pPr>
        <w:pStyle w:val="77"/>
        <w:pageBreakBefore w:val="0"/>
        <w:kinsoku/>
        <w:wordWrap w:val="0"/>
        <w:overflowPunct/>
        <w:bidi w:val="0"/>
        <w:outlineLvl w:val="9"/>
        <w:rPr>
          <w:rStyle w:val="78"/>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 w:val="0"/>
          <w:smallCaps w:val="0"/>
          <w:snapToGrid w:val="0"/>
          <w:color w:val="000000" w:themeColor="text1"/>
          <w:kern w:val="0"/>
          <w:sz w:val="21"/>
          <w:szCs w:val="21"/>
          <w:highlight w:val="none"/>
          <w14:textFill>
            <w14:solidFill>
              <w14:schemeClr w14:val="tx1"/>
            </w14:solidFill>
          </w14:textFill>
        </w:rPr>
        <w:br w:type="page"/>
      </w:r>
      <w:bookmarkStart w:id="150" w:name="_Toc5080"/>
      <w:bookmarkStart w:id="151" w:name="_Toc11078140"/>
      <w:bookmarkStart w:id="152" w:name="_Toc29507"/>
      <w:bookmarkStart w:id="153" w:name="_Toc10334"/>
      <w:bookmarkStart w:id="154" w:name="_Toc3216"/>
      <w:bookmarkStart w:id="155" w:name="_Toc27926"/>
      <w:bookmarkStart w:id="156" w:name="_Toc38879319"/>
      <w:bookmarkStart w:id="157" w:name="_Toc4860"/>
      <w:bookmarkStart w:id="158" w:name="_Toc8302"/>
      <w:bookmarkStart w:id="159" w:name="_Toc17061"/>
      <w:bookmarkStart w:id="160" w:name="_Toc421916978"/>
      <w:bookmarkStart w:id="161" w:name="_Toc460226992"/>
      <w:bookmarkStart w:id="162" w:name="_Toc460226723"/>
      <w:r>
        <w:rPr>
          <w:rStyle w:val="78"/>
          <w:rFonts w:hint="eastAsia" w:ascii="Times New Roman" w:hAnsi="Times New Roman"/>
          <w:smallCaps w:val="0"/>
          <w:color w:val="000000" w:themeColor="text1"/>
          <w:highlight w:val="none"/>
          <w14:textFill>
            <w14:solidFill>
              <w14:schemeClr w14:val="tx1"/>
            </w14:solidFill>
          </w14:textFill>
        </w:rPr>
        <w:t>附录4  资格审查条件(信誉最低要求)</w:t>
      </w:r>
      <w:bookmarkEnd w:id="150"/>
      <w:bookmarkEnd w:id="151"/>
      <w:bookmarkEnd w:id="152"/>
      <w:bookmarkEnd w:id="153"/>
      <w:bookmarkEnd w:id="154"/>
      <w:bookmarkEnd w:id="155"/>
      <w:bookmarkEnd w:id="156"/>
      <w:bookmarkEnd w:id="157"/>
      <w:bookmarkEnd w:id="158"/>
    </w:p>
    <w:bookmarkEnd w:id="159"/>
    <w:tbl>
      <w:tblPr>
        <w:tblStyle w:val="22"/>
        <w:tblW w:w="44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2"/>
      </w:tblGrid>
      <w:tr w14:paraId="0DF7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53ADE40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
                <w:bCs/>
                <w:smallCaps w:val="0"/>
                <w:color w:val="000000" w:themeColor="text1"/>
                <w:szCs w:val="2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信誉要求</w:t>
            </w:r>
          </w:p>
        </w:tc>
      </w:tr>
      <w:tr w14:paraId="7BA9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0"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2B0DD97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Cs/>
                <w:smallCaps w:val="0"/>
                <w:color w:val="000000" w:themeColor="text1"/>
                <w:szCs w:val="21"/>
                <w:highlight w:val="none"/>
                <w:u w:val="singl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见招标公告（投标邀请书）</w:t>
            </w:r>
          </w:p>
        </w:tc>
      </w:tr>
    </w:tbl>
    <w:p w14:paraId="1590668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投标人在投标函中承诺，不需要提供相关证明材料。如投标人承诺与实际不符，</w:t>
      </w:r>
    </w:p>
    <w:p w14:paraId="55883D47">
      <w:pPr>
        <w:pStyle w:val="79"/>
        <w:pageBreakBefore w:val="0"/>
        <w:kinsoku/>
        <w:wordWrap w:val="0"/>
        <w:overflowPunct/>
        <w:bidi w:val="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招标人有权取消其中标（或中标候选）资格，</w:t>
      </w:r>
      <w:r>
        <w:rPr>
          <w:rFonts w:hint="eastAsia" w:ascii="Times New Roman" w:hAnsi="Times New Roman"/>
          <w:b/>
          <w:bCs w:val="0"/>
          <w:smallCaps w:val="0"/>
          <w:color w:val="000000" w:themeColor="text1"/>
          <w:highlight w:val="none"/>
          <w14:textFill>
            <w14:solidFill>
              <w14:schemeClr w14:val="tx1"/>
            </w14:solidFill>
          </w14:textFill>
        </w:rPr>
        <w:t>若已经签订合同，则招标人有权解除合同，</w:t>
      </w:r>
      <w:r>
        <w:rPr>
          <w:rFonts w:hint="eastAsia" w:ascii="Times New Roman" w:hAnsi="Times New Roman"/>
          <w:smallCaps w:val="0"/>
          <w:color w:val="000000" w:themeColor="text1"/>
          <w:highlight w:val="none"/>
          <w14:textFill>
            <w14:solidFill>
              <w14:schemeClr w14:val="tx1"/>
            </w14:solidFill>
          </w14:textFill>
        </w:rPr>
        <w:t>并将报</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处理。</w:t>
      </w:r>
      <w:bookmarkStart w:id="163" w:name="_Toc460660065"/>
      <w:bookmarkStart w:id="164" w:name="_Toc11078141"/>
      <w:bookmarkStart w:id="165" w:name="_Toc38879320"/>
    </w:p>
    <w:p w14:paraId="79B6578B">
      <w:pPr>
        <w:pageBreakBefore w:val="0"/>
        <w:kinsoku/>
        <w:wordWrap w:val="0"/>
        <w:overflowPunct/>
        <w:bidi w:val="0"/>
        <w:jc w:val="left"/>
        <w:outlineLvl w:val="9"/>
        <w:rPr>
          <w:rStyle w:val="78"/>
          <w:rFonts w:hint="eastAsia" w:ascii="Times New Roman" w:hAnsi="Times New Roman"/>
          <w:b w:val="0"/>
          <w:bCs w:val="0"/>
          <w:smallCaps w:val="0"/>
          <w:color w:val="000000" w:themeColor="text1"/>
          <w:kern w:val="2"/>
          <w:highlight w:val="none"/>
          <w:lang w:val="en-US" w:eastAsia="zh-CN" w:bidi="ar-SA"/>
          <w14:textFill>
            <w14:solidFill>
              <w14:schemeClr w14:val="tx1"/>
            </w14:solidFill>
          </w14:textFill>
        </w:rPr>
      </w:pPr>
      <w:bookmarkStart w:id="166" w:name="_Toc30605"/>
      <w:r>
        <w:rPr>
          <w:rFonts w:hint="eastAsia" w:ascii="Times New Roman" w:hAnsi="Times New Roman" w:cs="宋体"/>
          <w:b w:val="0"/>
          <w:smallCaps w:val="0"/>
          <w:color w:val="000000" w:themeColor="text1"/>
          <w:highlight w:val="none"/>
          <w14:textFill>
            <w14:solidFill>
              <w14:schemeClr w14:val="tx1"/>
            </w14:solidFill>
          </w14:textFill>
        </w:rPr>
        <w:br w:type="page"/>
      </w:r>
      <w:bookmarkStart w:id="167" w:name="_Toc6475"/>
      <w:bookmarkStart w:id="168" w:name="_Toc24859"/>
      <w:bookmarkStart w:id="169" w:name="_Toc18025"/>
      <w:bookmarkStart w:id="170" w:name="_Toc24651"/>
      <w:bookmarkStart w:id="171" w:name="_Toc31873"/>
      <w:bookmarkStart w:id="172" w:name="_Toc180"/>
      <w:bookmarkStart w:id="173" w:name="_Toc22171"/>
      <w:r>
        <w:rPr>
          <w:rStyle w:val="78"/>
          <w:rFonts w:hint="eastAsia" w:ascii="Times New Roman" w:hAnsi="Times New Roman"/>
          <w:b w:val="0"/>
          <w:bCs w:val="0"/>
          <w:smallCaps w:val="0"/>
          <w:color w:val="000000" w:themeColor="text1"/>
          <w:kern w:val="2"/>
          <w:highlight w:val="none"/>
          <w:lang w:val="en-US" w:eastAsia="zh-CN" w:bidi="ar-SA"/>
          <w14:textFill>
            <w14:solidFill>
              <w14:schemeClr w14:val="tx1"/>
            </w14:solidFill>
          </w14:textFill>
        </w:rPr>
        <w:t>附录5  资格审查条件（项目经理最低要求）</w:t>
      </w:r>
      <w:bookmarkEnd w:id="160"/>
      <w:bookmarkEnd w:id="161"/>
      <w:bookmarkEnd w:id="162"/>
      <w:bookmarkEnd w:id="163"/>
      <w:bookmarkEnd w:id="164"/>
      <w:bookmarkEnd w:id="165"/>
      <w:bookmarkEnd w:id="166"/>
      <w:bookmarkEnd w:id="167"/>
      <w:bookmarkEnd w:id="168"/>
      <w:bookmarkEnd w:id="169"/>
      <w:bookmarkEnd w:id="170"/>
      <w:bookmarkEnd w:id="171"/>
      <w:bookmarkEnd w:id="172"/>
    </w:p>
    <w:bookmarkEnd w:id="173"/>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6400"/>
      </w:tblGrid>
      <w:tr w14:paraId="6D5D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6C131EC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  员</w:t>
            </w:r>
          </w:p>
        </w:tc>
        <w:tc>
          <w:tcPr>
            <w:tcW w:w="3670"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19D7505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资格要求</w:t>
            </w:r>
          </w:p>
        </w:tc>
      </w:tr>
      <w:tr w14:paraId="7600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2" w:hRule="atLeast"/>
          <w:jc w:val="center"/>
        </w:trPr>
        <w:tc>
          <w:tcPr>
            <w:tcW w:w="1330" w:type="pct"/>
            <w:tcBorders>
              <w:top w:val="single" w:color="auto" w:sz="4" w:space="0"/>
              <w:left w:val="single" w:color="auto" w:sz="4" w:space="0"/>
              <w:bottom w:val="single" w:color="auto" w:sz="4" w:space="0"/>
              <w:right w:val="single" w:color="auto" w:sz="4" w:space="0"/>
            </w:tcBorders>
            <w:noWrap w:val="0"/>
            <w:vAlign w:val="center"/>
          </w:tcPr>
          <w:p w14:paraId="130489D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tc>
        <w:tc>
          <w:tcPr>
            <w:tcW w:w="3670" w:type="pct"/>
            <w:tcBorders>
              <w:top w:val="single" w:color="auto" w:sz="4" w:space="0"/>
              <w:left w:val="single" w:color="auto" w:sz="4" w:space="0"/>
              <w:bottom w:val="single" w:color="auto" w:sz="4" w:space="0"/>
              <w:right w:val="single" w:color="auto" w:sz="4" w:space="0"/>
            </w:tcBorders>
            <w:noWrap w:val="0"/>
            <w:vAlign w:val="center"/>
          </w:tcPr>
          <w:p w14:paraId="43A849B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1.项目经理资格条件见招标公告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，且必须是本单位人员（招标公告中要求的注册证书注册单位应当与投标人名称一致）。</w:t>
            </w:r>
          </w:p>
          <w:p w14:paraId="1FC73D3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2.项目经理业绩具体要求见招标公告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p>
          <w:p w14:paraId="6751529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3.项目经理不得同时担任两个及以上建设工程施工项目经理，以下情形除外</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D84D2A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（1）法定情形；</w:t>
            </w:r>
          </w:p>
          <w:p w14:paraId="64CC410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（2）虽在其他项目上担任项目经理岗位，但承诺在本项目中标后合同签订前能够从其他项目变更至本项目并全面履约。</w:t>
            </w:r>
          </w:p>
          <w:p w14:paraId="11DB66B5">
            <w:pPr>
              <w:pStyle w:val="41"/>
              <w:keepNext w:val="0"/>
              <w:keepLines w:val="0"/>
              <w:pageBreakBefore w:val="0"/>
              <w:suppressLineNumbers w:val="0"/>
              <w:kinsoku/>
              <w:wordWrap w:val="0"/>
              <w:overflowPunct/>
              <w:bidi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☐社保要求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none"/>
                <w:lang w:val="en-US" w:eastAsia="zh-CN"/>
                <w14:textFill>
                  <w14:solidFill>
                    <w14:schemeClr w14:val="tx1"/>
                  </w14:solidFill>
                </w14:textFill>
              </w:rPr>
              <w:t>详见</w:t>
            </w:r>
            <w:r>
              <w:rPr>
                <w:rFonts w:hint="eastAsia" w:ascii="Times New Roman" w:hAnsi="Times New Roman"/>
                <w:smallCaps w:val="0"/>
                <w:color w:val="000000" w:themeColor="text1"/>
                <w:highlight w:val="none"/>
                <w14:textFill>
                  <w14:solidFill>
                    <w14:schemeClr w14:val="tx1"/>
                  </w14:solidFill>
                </w14:textFill>
              </w:rPr>
              <w:t>招标公告</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投标邀请书</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项目经理的社保缴纳单位应当是投标人或者投标人不具备独立法人资格的分支机构。（社保缴费证明或社保的有效证明材料至少含养老保险）</w:t>
            </w:r>
            <w:r>
              <w:rPr>
                <w:rFonts w:hint="eastAsia" w:ascii="Times New Roman" w:hAnsi="Times New Roman"/>
                <w:smallCaps w:val="0"/>
                <w:color w:val="000000" w:themeColor="text1"/>
                <w:highlight w:val="none"/>
                <w:lang w:eastAsia="zh-CN"/>
                <w14:textFill>
                  <w14:solidFill>
                    <w14:schemeClr w14:val="tx1"/>
                  </w14:solidFill>
                </w14:textFill>
              </w:rPr>
              <w:t>。如是分公司缴纳的社会保险，予以认可；如是具有独立法人资格的上级公司、子公司等其他单位缴纳或个人缴纳社会保险，不予认可。</w:t>
            </w:r>
          </w:p>
        </w:tc>
      </w:tr>
    </w:tbl>
    <w:p w14:paraId="54A0ACCF">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15A58C1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1.投标人应提供项目经理的注册建造师注册证书、安全生产考核合格证书、参加社保的有效证明材料（如要求）。</w:t>
      </w:r>
    </w:p>
    <w:p w14:paraId="1BD62A7B">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打印的注册建造师纸质电子证书应符合“双签名”制度。</w:t>
      </w:r>
    </w:p>
    <w:p w14:paraId="416B8B71">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如拟派项目经理为退休人员（包括提前退休人员，年龄在国家规定证书使用年限之前，执业年限应能覆盖项⽬⼯期），无法提供社保证明的，应提供</w:t>
      </w:r>
      <w:r>
        <w:rPr>
          <w:rFonts w:hint="eastAsia" w:ascii="Times New Roman" w:hAnsi="Times New Roman"/>
          <w:smallCaps w:val="0"/>
          <w:color w:val="000000" w:themeColor="text1"/>
          <w:highlight w:val="none"/>
          <w:lang w:val="en-US" w:eastAsia="zh-CN"/>
          <w14:textFill>
            <w14:solidFill>
              <w14:schemeClr w14:val="tx1"/>
            </w14:solidFill>
          </w14:textFill>
        </w:rPr>
        <w:t>人社部门出具的退休证明材料及</w:t>
      </w:r>
      <w:r>
        <w:rPr>
          <w:rFonts w:hint="eastAsia" w:ascii="Times New Roman" w:hAnsi="Times New Roman"/>
          <w:smallCaps w:val="0"/>
          <w:color w:val="000000" w:themeColor="text1"/>
          <w:highlight w:val="none"/>
          <w:lang w:eastAsia="zh-CN"/>
          <w14:textFill>
            <w14:solidFill>
              <w14:schemeClr w14:val="tx1"/>
            </w14:solidFill>
          </w14:textFill>
        </w:rPr>
        <w:t>投标人企业聘用合同</w:t>
      </w:r>
      <w:r>
        <w:rPr>
          <w:rFonts w:hint="eastAsia" w:ascii="Times New Roman" w:hAnsi="Times New Roman"/>
          <w:smallCaps w:val="0"/>
          <w:color w:val="000000" w:themeColor="text1"/>
          <w:highlight w:val="none"/>
          <w:lang w:eastAsia="zh-CN"/>
          <w14:textFill>
            <w14:solidFill>
              <w14:schemeClr w14:val="tx1"/>
            </w14:solidFill>
          </w14:textFill>
        </w:rPr>
        <w:t>。提交的注册执业证书中聘用企业名称必须与投标人企业名称一致。</w:t>
      </w:r>
    </w:p>
    <w:p w14:paraId="7D5C703D">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2.投标人应提供下列勾选的任一类别的业绩证明材料</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BDB9B6F">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第一类</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68C0C0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住房和城乡建设部全国建筑市场监管公共服务平台“数据等级”C级及以上项目业绩网页截图。</w:t>
      </w:r>
    </w:p>
    <w:p w14:paraId="50F0948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需在商务文件中“资格审查资料”栏“项目经理业绩情况表（资格审查）”中注明并提供相关证明材料。如投标人提供的上述业绩证明材料未能完整或充分反映评审因素的，应提供第二类任意证明材料或另附合同甲方证明材料（须加盖合同甲方单位章）予以明确说明，否则评标委员会不予认可。</w:t>
      </w:r>
    </w:p>
    <w:p w14:paraId="6D896F64">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第二类</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04632B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（1）合同协议书。</w:t>
      </w:r>
    </w:p>
    <w:p w14:paraId="4D36DD9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（2）中标查询网址及查询截图，或住房和城乡建设主管部门网站公布的施工许可证办理查询截图。无法提供以上截图的，应当提供住房和城乡建设主管部门证明材料。</w:t>
      </w:r>
    </w:p>
    <w:p w14:paraId="31FD3D4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（3）竣工验收证明文件</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时间以竣工验收证明文件中的竣工日期为准。</w:t>
      </w:r>
    </w:p>
    <w:p w14:paraId="6BDF0A0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（4）其他材料</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118C9F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需在商务文件中“资格审查资料”栏“项目经理业绩情况表（资格审查）”中注明并提供相关证明材料。如投标人提供的上述业绩证明材料未能完整或充分反映评审因素的，应另附合同甲方证明材料（须加盖合同甲方单位章）予以明确说明，否则评标委员会不予认可。</w:t>
      </w:r>
    </w:p>
    <w:p w14:paraId="1164694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w:t>
      </w:r>
      <w:r>
        <w:rPr>
          <w:rFonts w:hint="eastAsia" w:ascii="Times New Roman" w:hAnsi="Times New Roman"/>
          <w:smallCaps w:val="0"/>
          <w:color w:val="000000" w:themeColor="text1"/>
          <w:highlight w:val="none"/>
          <w:lang w:val="en-US" w:eastAsia="zh-CN"/>
          <w14:textFill>
            <w14:solidFill>
              <w14:schemeClr w14:val="tx1"/>
            </w14:solidFill>
          </w14:textFill>
        </w:rPr>
        <w:t>三</w:t>
      </w:r>
      <w:r>
        <w:rPr>
          <w:rFonts w:hint="eastAsia" w:ascii="Times New Roman" w:hAnsi="Times New Roman"/>
          <w:smallCaps w:val="0"/>
          <w:color w:val="000000" w:themeColor="text1"/>
          <w:highlight w:val="none"/>
          <w14:textFill>
            <w14:solidFill>
              <w14:schemeClr w14:val="tx1"/>
            </w14:solidFill>
          </w14:textFill>
        </w:rPr>
        <w:t>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p w14:paraId="10F77AD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3.投标人提供的项目经理业绩证明材料应反映出本招标项目的项目经理在此业绩中担任过项目经理的岗位。</w:t>
      </w:r>
    </w:p>
    <w:p w14:paraId="53F11C2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4.本招标项目项目经理不得同时兼任本招标项目技术负责人岗位。</w:t>
      </w:r>
    </w:p>
    <w:p w14:paraId="77A1957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5.本招标项目项目经理业绩（资格审查）</w:t>
      </w:r>
      <w:r>
        <w:rPr>
          <w:rFonts w:hint="eastAsia" w:ascii="Times New Roman" w:hAnsi="Times New Roman"/>
          <w:smallCaps w:val="0"/>
          <w:color w:val="000000" w:themeColor="text1"/>
          <w:highlight w:val="none"/>
          <w:lang w:eastAsia="zh-CN"/>
          <w14:textFill>
            <w14:solidFill>
              <w14:schemeClr w14:val="tx1"/>
            </w14:solidFill>
          </w14:textFill>
        </w:rPr>
        <w:t>规定</w:t>
      </w:r>
      <w:r>
        <w:rPr>
          <w:rFonts w:hint="eastAsia" w:ascii="Times New Roman" w:hAnsi="Times New Roman"/>
          <w:smallCaps w:val="0"/>
          <w:color w:val="000000" w:themeColor="text1"/>
          <w:highlight w:val="none"/>
          <w14:textFill>
            <w14:solidFill>
              <w14:schemeClr w14:val="tx1"/>
            </w14:solidFill>
          </w14:textFill>
        </w:rPr>
        <w:t>数量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个。</w:t>
      </w:r>
    </w:p>
    <w:p w14:paraId="4CEB3A05">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投标人拟派本次投标项目的项目经理在其他项目担任项目经理、总监理工程师的，变更以项目建设单位和项目所在地建设行政主管部门书面同意为准；投标人拟派本次投标项目的项目经理在其他项目担任除项目经理、总监理工程师外其他关键岗位人员的，以在建项目建设单位书面同意为准。</w:t>
      </w:r>
    </w:p>
    <w:p w14:paraId="374F4421">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投标人拟派本次投标项目的项目经理如在中标通知书发出后，施工合同签订前仍未完成上述变更程序的，视为投标人放弃本项目中标人资格，并放弃投标保证金。</w:t>
      </w:r>
      <w:r>
        <w:rPr>
          <w:rFonts w:hint="eastAsia" w:ascii="Times New Roman" w:hAnsi="Times New Roman" w:eastAsia="宋体" w:cs="Times New Roman"/>
          <w:color w:val="000000" w:themeColor="text1"/>
          <w:kern w:val="2"/>
          <w:sz w:val="21"/>
          <w:szCs w:val="24"/>
          <w:highlight w:val="none"/>
          <w:lang w:val="en-US" w:eastAsia="zh-CN" w:bidi="ar"/>
          <w14:textFill>
            <w14:solidFill>
              <w14:schemeClr w14:val="tx1"/>
            </w14:solidFill>
          </w14:textFill>
        </w:rPr>
        <w:t>招标投标行政监督部门</w:t>
      </w:r>
      <w:r>
        <w:rPr>
          <w:rFonts w:hint="eastAsia" w:ascii="Times New Roman" w:hAnsi="Times New Roman"/>
          <w:smallCaps w:val="0"/>
          <w:color w:val="000000" w:themeColor="text1"/>
          <w:highlight w:val="none"/>
          <w:lang w:val="en-US" w:eastAsia="zh-CN"/>
          <w14:textFill>
            <w14:solidFill>
              <w14:schemeClr w14:val="tx1"/>
            </w14:solidFill>
          </w14:textFill>
        </w:rPr>
        <w:t>将以虚假投标依法作出处理。招标人可以按照本次招标项目评标委员会提出的中标候选人名单排序依次确定其他中标候选人为中标人，也可以重新招标。</w:t>
      </w:r>
    </w:p>
    <w:p w14:paraId="0B92F354">
      <w:pPr>
        <w:pStyle w:val="79"/>
        <w:pageBreakBefore w:val="0"/>
        <w:kinsoku/>
        <w:wordWrap w:val="0"/>
        <w:overflowPunct/>
        <w:bidi w:val="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中标候选人公示期间，投标人拟派本次投标项目的项目经理已在其他项目被确定为中标人或第一中标候选人的，如投标人在中标候选人公示期截止日前未完成更换或更换的项目经理经评标委员会审查不通过的则中标无效。</w:t>
      </w:r>
    </w:p>
    <w:p w14:paraId="199AB8FC">
      <w:pPr>
        <w:pStyle w:val="79"/>
        <w:pageBreakBefore w:val="0"/>
        <w:kinsoku/>
        <w:wordWrap w:val="0"/>
        <w:overflowPunct/>
        <w:bidi w:val="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p>
    <w:p w14:paraId="28B174E9">
      <w:pPr>
        <w:pStyle w:val="77"/>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smallCaps w:val="0"/>
          <w:color w:val="000000" w:themeColor="text1"/>
          <w:szCs w:val="21"/>
          <w:highlight w:val="none"/>
          <w14:textFill>
            <w14:solidFill>
              <w14:schemeClr w14:val="tx1"/>
            </w14:solidFill>
          </w14:textFill>
        </w:rPr>
        <w:br w:type="page"/>
      </w:r>
      <w:bookmarkStart w:id="174" w:name="_Toc421916979"/>
      <w:bookmarkStart w:id="175" w:name="_Toc460226993"/>
      <w:bookmarkStart w:id="176" w:name="_Toc460660066"/>
      <w:bookmarkStart w:id="177" w:name="_Toc460226724"/>
      <w:bookmarkStart w:id="178" w:name="_Toc38879321"/>
      <w:bookmarkStart w:id="179" w:name="_Toc27231"/>
      <w:bookmarkStart w:id="180" w:name="_Toc7493"/>
      <w:bookmarkStart w:id="181" w:name="_Toc7454"/>
      <w:bookmarkStart w:id="182" w:name="_Toc22872"/>
      <w:bookmarkStart w:id="183" w:name="_Toc31663"/>
      <w:bookmarkStart w:id="184" w:name="_Toc29927"/>
      <w:bookmarkStart w:id="185" w:name="_Toc11078142"/>
      <w:bookmarkStart w:id="186" w:name="_Toc23763"/>
      <w:r>
        <w:rPr>
          <w:rFonts w:hint="eastAsia" w:ascii="Times New Roman" w:hAnsi="Times New Roman"/>
          <w:smallCaps w:val="0"/>
          <w:color w:val="000000" w:themeColor="text1"/>
          <w:highlight w:val="none"/>
          <w14:textFill>
            <w14:solidFill>
              <w14:schemeClr w14:val="tx1"/>
            </w14:solidFill>
          </w14:textFill>
        </w:rPr>
        <w:t xml:space="preserve">附录6  </w:t>
      </w:r>
      <w:bookmarkEnd w:id="174"/>
      <w:bookmarkEnd w:id="175"/>
      <w:bookmarkEnd w:id="176"/>
      <w:bookmarkEnd w:id="177"/>
      <w:r>
        <w:rPr>
          <w:rFonts w:hint="eastAsia" w:ascii="Times New Roman" w:hAnsi="Times New Roman"/>
          <w:smallCaps w:val="0"/>
          <w:color w:val="000000" w:themeColor="text1"/>
          <w:highlight w:val="none"/>
          <w14:textFill>
            <w14:solidFill>
              <w14:schemeClr w14:val="tx1"/>
            </w14:solidFill>
          </w14:textFill>
        </w:rPr>
        <w:t>资格审查条件（其他管理人员和技术人员最低要求）</w:t>
      </w:r>
      <w:bookmarkEnd w:id="178"/>
      <w:bookmarkEnd w:id="179"/>
      <w:bookmarkEnd w:id="180"/>
      <w:bookmarkEnd w:id="181"/>
      <w:bookmarkEnd w:id="182"/>
      <w:bookmarkEnd w:id="183"/>
      <w:bookmarkEnd w:id="184"/>
      <w:bookmarkEnd w:id="185"/>
      <w:bookmarkEnd w:id="186"/>
    </w:p>
    <w:p w14:paraId="080C212B">
      <w:pPr>
        <w:pStyle w:val="77"/>
        <w:pageBreakBefore w:val="0"/>
        <w:kinsoku/>
        <w:wordWrap w:val="0"/>
        <w:overflowPunct/>
        <w:bidi w:val="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附表1资格审查评审条件(主要管理人员最低要求)</w:t>
      </w:r>
    </w:p>
    <w:tbl>
      <w:tblPr>
        <w:tblStyle w:val="22"/>
        <w:tblW w:w="47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778"/>
        <w:gridCol w:w="5882"/>
      </w:tblGrid>
      <w:tr w14:paraId="2FD4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016"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5B0CDA8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bookmarkStart w:id="187" w:name="_Toc460226994"/>
            <w:bookmarkStart w:id="188" w:name="_Toc460660067"/>
            <w:bookmarkStart w:id="189" w:name="_Toc460226725"/>
            <w:r>
              <w:rPr>
                <w:rFonts w:hint="eastAsia" w:ascii="Times New Roman" w:hAnsi="Times New Roman"/>
                <w:smallCaps w:val="0"/>
                <w:color w:val="000000" w:themeColor="text1"/>
                <w:highlight w:val="none"/>
                <w14:textFill>
                  <w14:solidFill>
                    <w14:schemeClr w14:val="tx1"/>
                  </w14:solidFill>
                </w14:textFill>
              </w:rPr>
              <w:t>人员岗位</w:t>
            </w:r>
          </w:p>
        </w:tc>
        <w:tc>
          <w:tcPr>
            <w:tcW w:w="465"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1A65B38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3517"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0744185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资历要求</w:t>
            </w:r>
          </w:p>
        </w:tc>
      </w:tr>
      <w:tr w14:paraId="528F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6" w:hRule="atLeast"/>
          <w:jc w:val="center"/>
        </w:trPr>
        <w:tc>
          <w:tcPr>
            <w:tcW w:w="1016" w:type="pct"/>
            <w:tcBorders>
              <w:top w:val="single" w:color="auto" w:sz="4" w:space="0"/>
              <w:left w:val="single" w:color="auto" w:sz="4" w:space="0"/>
              <w:bottom w:val="single" w:color="auto" w:sz="4" w:space="0"/>
              <w:right w:val="single" w:color="auto" w:sz="4" w:space="0"/>
            </w:tcBorders>
            <w:noWrap w:val="0"/>
            <w:vAlign w:val="center"/>
          </w:tcPr>
          <w:p w14:paraId="4114BC9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项目技术负责人</w:t>
            </w:r>
          </w:p>
        </w:tc>
        <w:tc>
          <w:tcPr>
            <w:tcW w:w="465" w:type="pct"/>
            <w:tcBorders>
              <w:top w:val="single" w:color="auto" w:sz="4" w:space="0"/>
              <w:left w:val="single" w:color="auto" w:sz="4" w:space="0"/>
              <w:bottom w:val="single" w:color="auto" w:sz="4" w:space="0"/>
              <w:right w:val="single" w:color="auto" w:sz="4" w:space="0"/>
            </w:tcBorders>
            <w:noWrap w:val="0"/>
            <w:vAlign w:val="center"/>
          </w:tcPr>
          <w:p w14:paraId="2ADF1436">
            <w:pPr>
              <w:pStyle w:val="83"/>
              <w:keepNext w:val="0"/>
              <w:keepLines w:val="0"/>
              <w:pageBreakBefore w:val="0"/>
              <w:suppressLineNumbers w:val="0"/>
              <w:kinsoku/>
              <w:wordWrap w:val="0"/>
              <w:overflowPunct/>
              <w:bidi w:val="0"/>
              <w:spacing w:before="0" w:beforeAutospacing="0" w:after="0" w:afterAutospacing="0"/>
              <w:ind w:left="0" w:right="0"/>
              <w:jc w:val="both"/>
              <w:rPr>
                <w:rFonts w:hint="eastAsia" w:ascii="Times New Roman" w:hAnsi="Times New Roman"/>
                <w:smallCaps w:val="0"/>
                <w:color w:val="000000" w:themeColor="text1"/>
                <w:highlight w:val="none"/>
                <w:u w:val="singl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p>
        </w:tc>
        <w:tc>
          <w:tcPr>
            <w:tcW w:w="3517" w:type="pct"/>
            <w:tcBorders>
              <w:top w:val="single" w:color="auto" w:sz="4" w:space="0"/>
              <w:left w:val="single" w:color="auto" w:sz="4" w:space="0"/>
              <w:bottom w:val="single" w:color="auto" w:sz="4" w:space="0"/>
              <w:right w:val="single" w:color="auto" w:sz="4" w:space="0"/>
            </w:tcBorders>
            <w:noWrap w:val="0"/>
            <w:vAlign w:val="center"/>
          </w:tcPr>
          <w:p w14:paraId="2590947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具备</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专业</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级别</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注册建造师，具备</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行政主管部门颁发的安全生产考核合格证书（B证），且必须是本单位人员（该注册建造师注册证书注册单位应当与投标人名称一致）。</w:t>
            </w:r>
          </w:p>
          <w:p w14:paraId="281047F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技术职称为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专业</w:t>
            </w:r>
            <w:r>
              <w:rPr>
                <w:rFonts w:hint="eastAsia" w:ascii="Times New Roman" w:hAnsi="Times New Roman"/>
                <w:smallCaps w:val="0"/>
                <w:color w:val="000000" w:themeColor="text1"/>
                <w:highlight w:val="none"/>
                <w:lang w:val="en-US"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级别</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及以上。</w:t>
            </w:r>
          </w:p>
          <w:p w14:paraId="30613E5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社保要求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提供投标人所属社保机构出具的项目技术负责人</w:t>
            </w:r>
            <w:r>
              <w:rPr>
                <w:rFonts w:hint="eastAsia" w:ascii="Times New Roman" w:hAnsi="Times New Roman"/>
                <w:smallCaps w:val="0"/>
                <w:color w:val="000000" w:themeColor="text1"/>
                <w:highlight w:val="none"/>
                <w:lang w:eastAsia="zh-CN"/>
                <w14:textFill>
                  <w14:solidFill>
                    <w14:schemeClr w14:val="tx1"/>
                  </w14:solidFill>
                </w14:textFill>
              </w:rPr>
              <w:t>（社保时间要求：</w:t>
            </w:r>
            <w:r>
              <w:rPr>
                <w:rFonts w:hint="eastAsia" w:ascii="Times New Roman" w:hAnsi="Times New Roman"/>
                <w:smallCaps w:val="0"/>
                <w:color w:val="000000" w:themeColor="text1"/>
                <w:highlight w:val="none"/>
                <w:lang w:val="en-US" w:eastAsia="zh-CN"/>
                <w14:textFill>
                  <w14:solidFill>
                    <w14:schemeClr w14:val="tx1"/>
                  </w14:solidFill>
                </w14:textFill>
              </w:rPr>
              <w:t>XXXX</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社保缴费证明（或其他能够证明项目技术负责人参加社保的有效证明）材料，项目技术负责人的社保缴纳单位应当是投标人或者投标人不具备独立法人资格的分支机构（社保缴费证明或社保的有效证明材料至少含养老保险）。</w:t>
            </w:r>
          </w:p>
          <w:p w14:paraId="1B9172D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如是分公司缴纳的社会保险，予以认可；如是具有独立法人资格的上级公司、子公司等其他单位缴纳或个人缴纳社会保险，不予认可。</w:t>
            </w:r>
          </w:p>
        </w:tc>
      </w:tr>
    </w:tbl>
    <w:p w14:paraId="27ED059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投标人应提供项目技术负责人的注册建造师证书（如要求）、安全生产考核合格证书（如要求）、职称证书（如要求）、参加社保的有效证明材料（如要求）。</w:t>
      </w:r>
    </w:p>
    <w:p w14:paraId="1B5316FB">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2C0AD9B9">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7094A0FE">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552DD3D9">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3215C517">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658271AD">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2516607B">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29AA2724">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3CA8C083">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41AB6007">
      <w:pPr>
        <w:pStyle w:val="89"/>
        <w:pageBreakBefore w:val="0"/>
        <w:kinsoku/>
        <w:wordWrap w:val="0"/>
        <w:overflowPunct/>
        <w:bidi w:val="0"/>
        <w:adjustRightInd w:val="0"/>
        <w:snapToGrid w:val="0"/>
        <w:spacing w:line="400" w:lineRule="exact"/>
        <w:jc w:val="left"/>
        <w:rPr>
          <w:rFonts w:hint="eastAsia" w:ascii="Times New Roman" w:hAnsi="Times New Roman" w:cs="宋体"/>
          <w:smallCaps w:val="0"/>
          <w:color w:val="000000" w:themeColor="text1"/>
          <w:sz w:val="24"/>
          <w:highlight w:val="none"/>
          <w14:textFill>
            <w14:solidFill>
              <w14:schemeClr w14:val="tx1"/>
            </w14:solidFill>
          </w14:textFill>
        </w:rPr>
      </w:pPr>
    </w:p>
    <w:p w14:paraId="1EE3F09E">
      <w:pPr>
        <w:pStyle w:val="77"/>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附表2中标后配备其他主要管理人员和技术人员最低要求</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0"/>
        <w:gridCol w:w="804"/>
        <w:gridCol w:w="5406"/>
      </w:tblGrid>
      <w:tr w14:paraId="12D9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1439"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56EC034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人员岗位</w:t>
            </w:r>
            <w:r>
              <w:rPr>
                <w:rStyle w:val="28"/>
                <w:rFonts w:hint="eastAsia" w:ascii="Times New Roman" w:hAnsi="Times New Roman" w:eastAsia="宋体" w:cs="宋体"/>
                <w:b w:val="0"/>
                <w:bCs/>
                <w:smallCaps w:val="0"/>
                <w:snapToGrid w:val="0"/>
                <w:color w:val="000000" w:themeColor="text1"/>
                <w:kern w:val="0"/>
                <w:szCs w:val="21"/>
                <w:highlight w:val="none"/>
                <w14:textFill>
                  <w14:solidFill>
                    <w14:schemeClr w14:val="tx1"/>
                  </w14:solidFill>
                </w14:textFill>
              </w:rPr>
              <w:footnoteReference w:id="36"/>
            </w:r>
          </w:p>
        </w:tc>
        <w:tc>
          <w:tcPr>
            <w:tcW w:w="461"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0D7F52A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3098"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303D8C8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说明</w:t>
            </w:r>
          </w:p>
        </w:tc>
      </w:tr>
      <w:tr w14:paraId="3715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34603E8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安全总监</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3239DE85">
            <w:pPr>
              <w:pStyle w:val="83"/>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color w:val="000000" w:themeColor="text1"/>
                <w:highlight w:val="none"/>
                <w14:textFill>
                  <w14:solidFill>
                    <w14:schemeClr w14:val="tx1"/>
                  </w14:solidFill>
                </w14:textFill>
              </w:rPr>
            </w:pPr>
          </w:p>
        </w:tc>
        <w:tc>
          <w:tcPr>
            <w:tcW w:w="3098" w:type="pct"/>
            <w:tcBorders>
              <w:top w:val="single" w:color="auto" w:sz="4" w:space="0"/>
              <w:left w:val="single" w:color="auto" w:sz="4" w:space="0"/>
              <w:right w:val="single" w:color="auto" w:sz="4" w:space="0"/>
            </w:tcBorders>
            <w:noWrap w:val="0"/>
            <w:vAlign w:val="top"/>
          </w:tcPr>
          <w:p w14:paraId="6964FA76">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具备注册安全工程师执业资格（建筑施工安全类），取得建筑施工企业项目负责人安全生产考核合格证书</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18F1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7C6D2ED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专职安全生产管理人员</w:t>
            </w:r>
            <w:r>
              <w:rPr>
                <w:rFonts w:hint="eastAsia" w:ascii="Times New Roman" w:hAnsi="Times New Roman"/>
                <w:smallCaps w:val="0"/>
                <w:color w:val="000000" w:themeColor="text1"/>
                <w:highlight w:val="none"/>
                <w:lang w:val="en-US"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安全员</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374D8F0E">
            <w:pPr>
              <w:pStyle w:val="83"/>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color w:val="000000" w:themeColor="text1"/>
                <w:highlight w:val="none"/>
                <w14:textFill>
                  <w14:solidFill>
                    <w14:schemeClr w14:val="tx1"/>
                  </w14:solidFill>
                </w14:textFill>
              </w:rPr>
            </w:pPr>
          </w:p>
        </w:tc>
        <w:tc>
          <w:tcPr>
            <w:tcW w:w="3098" w:type="pct"/>
            <w:vMerge w:val="restart"/>
            <w:tcBorders>
              <w:top w:val="single" w:color="auto" w:sz="4" w:space="0"/>
              <w:left w:val="single" w:color="auto" w:sz="4" w:space="0"/>
              <w:right w:val="single" w:color="auto" w:sz="4" w:space="0"/>
            </w:tcBorders>
            <w:noWrap w:val="0"/>
            <w:vAlign w:val="top"/>
          </w:tcPr>
          <w:p w14:paraId="4883BB7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根据安徽省住房和城乡建设厅《关于调整招标投标活动中有关住房城乡建设领域现场专业人员证书要求的通知》（建市函〔2019〕1112号）要求，不再将住房城乡建设领域现场专业技术人员（包括施工员、质量员、安全员、资料员、材料员、劳务员、机械员、标准员）及取样员持证情况列入招标投标文件（持证情况不做要求）。</w:t>
            </w:r>
          </w:p>
          <w:p w14:paraId="6C386EF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投标人按照</w:t>
            </w:r>
            <w:r>
              <w:rPr>
                <w:rFonts w:hint="eastAsia" w:asciiTheme="majorEastAsia" w:hAnsiTheme="majorEastAsia" w:eastAsiaTheme="majorEastAsia" w:cstheme="majorEastAsia"/>
                <w:smallCaps w:val="0"/>
                <w:color w:val="000000" w:themeColor="text1"/>
                <w:highlight w:val="none"/>
                <w14:textFill>
                  <w14:solidFill>
                    <w14:schemeClr w14:val="tx1"/>
                  </w14:solidFill>
                </w14:textFill>
              </w:rPr>
              <w:t>不低于</w:t>
            </w:r>
            <w:r>
              <w:rPr>
                <w:rFonts w:hint="eastAsia" w:asciiTheme="majorEastAsia" w:hAnsiTheme="majorEastAsia" w:eastAsiaTheme="majorEastAsia" w:cstheme="majorEastAsia"/>
                <w:smallCaps w:val="0"/>
                <w:color w:val="000000" w:themeColor="text1"/>
                <w:highlight w:val="none"/>
                <w:lang w:eastAsia="zh-CN"/>
                <w14:textFill>
                  <w14:solidFill>
                    <w14:schemeClr w14:val="tx1"/>
                  </w14:solidFill>
                </w14:textFill>
              </w:rPr>
              <w:t>《建筑施工企业、工程项目安全生产管理机构设置及安全生产管理人员配备办法》（建质规〔2025〕3 号）、</w:t>
            </w:r>
            <w:r>
              <w:rPr>
                <w:rFonts w:hint="eastAsia" w:ascii="Times New Roman" w:hAnsi="Times New Roman"/>
                <w:smallCaps w:val="0"/>
                <w:color w:val="000000" w:themeColor="text1"/>
                <w:highlight w:val="none"/>
                <w:lang w:val="en-US" w:eastAsia="zh-CN"/>
                <w14:textFill>
                  <w14:solidFill>
                    <w14:schemeClr w14:val="tx1"/>
                  </w14:solidFill>
                </w14:textFill>
              </w:rPr>
              <w:t>安徽省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建筑与市政工程项目管理人员职业标准</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DB34/T 4573-2023</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文件标准和招标文件规定的最低标准配置项目主要管理人员。</w:t>
            </w:r>
          </w:p>
          <w:p w14:paraId="2FA7F78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劳资专管员根据《安徽省工程建设领域农民工工资保证金实施办法》（皖人社发〔2022〕8号）、《关于建立保障建筑行业农民工工资支付工作长效机制的通知》（</w:t>
            </w:r>
            <w:r>
              <w:rPr>
                <w:rFonts w:hint="eastAsia" w:ascii="Times New Roman" w:hAnsi="Times New Roman"/>
                <w:smallCaps w:val="0"/>
                <w:color w:val="000000" w:themeColor="text1"/>
                <w:highlight w:val="none"/>
                <w:lang w:eastAsia="zh-CN"/>
                <w14:textFill>
                  <w14:solidFill>
                    <w14:schemeClr w14:val="tx1"/>
                  </w14:solidFill>
                </w14:textFill>
              </w:rPr>
              <w:t>淮建管</w:t>
            </w:r>
            <w:r>
              <w:rPr>
                <w:rFonts w:hint="eastAsia" w:ascii="Times New Roman" w:hAnsi="Times New Roman"/>
                <w:smallCaps w:val="0"/>
                <w:color w:val="000000" w:themeColor="text1"/>
                <w:highlight w:val="none"/>
                <w14:textFill>
                  <w14:solidFill>
                    <w14:schemeClr w14:val="tx1"/>
                  </w14:solidFill>
                </w14:textFill>
              </w:rPr>
              <w:t>联（2022）99号</w:t>
            </w:r>
            <w:r>
              <w:rPr>
                <w:rFonts w:hint="eastAsia" w:ascii="Times New Roman" w:hAnsi="Times New Roman"/>
                <w:smallCaps w:val="0"/>
                <w:color w:val="000000" w:themeColor="text1"/>
                <w:highlight w:val="none"/>
                <w14:textFill>
                  <w14:solidFill>
                    <w14:schemeClr w14:val="tx1"/>
                  </w14:solidFill>
                </w14:textFill>
              </w:rPr>
              <w:t>）规定的标准配置，至少配置1人。</w:t>
            </w:r>
          </w:p>
        </w:tc>
      </w:tr>
      <w:tr w14:paraId="45B1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28F97997">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施工员</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06B1AE7A">
            <w:pPr>
              <w:pStyle w:val="83"/>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color w:val="000000" w:themeColor="text1"/>
                <w:highlight w:val="none"/>
                <w14:textFill>
                  <w14:solidFill>
                    <w14:schemeClr w14:val="tx1"/>
                  </w14:solidFill>
                </w14:textFill>
              </w:rPr>
            </w:pPr>
          </w:p>
        </w:tc>
        <w:tc>
          <w:tcPr>
            <w:tcW w:w="3098" w:type="pct"/>
            <w:vMerge w:val="continue"/>
            <w:tcBorders>
              <w:left w:val="single" w:color="auto" w:sz="4" w:space="0"/>
              <w:right w:val="single" w:color="auto" w:sz="4" w:space="0"/>
            </w:tcBorders>
            <w:noWrap w:val="0"/>
            <w:vAlign w:val="center"/>
          </w:tcPr>
          <w:p w14:paraId="25E8356A">
            <w:pPr>
              <w:keepNext w:val="0"/>
              <w:keepLines w:val="0"/>
              <w:pageBreakBefore w:val="0"/>
              <w:suppressLineNumbers w:val="0"/>
              <w:kinsoku/>
              <w:wordWrap w:val="0"/>
              <w:overflowPunct/>
              <w:bidi w:val="0"/>
              <w:adjustRightInd w:val="0"/>
              <w:snapToGrid w:val="0"/>
              <w:spacing w:before="0" w:beforeAutospacing="0" w:after="0" w:afterAutospacing="0" w:line="480" w:lineRule="auto"/>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p>
        </w:tc>
      </w:tr>
      <w:tr w14:paraId="1F21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7F788972">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质量员/质检员</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3C59A8B3">
            <w:pPr>
              <w:pStyle w:val="83"/>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color w:val="000000" w:themeColor="text1"/>
                <w:highlight w:val="none"/>
                <w14:textFill>
                  <w14:solidFill>
                    <w14:schemeClr w14:val="tx1"/>
                  </w14:solidFill>
                </w14:textFill>
              </w:rPr>
            </w:pPr>
          </w:p>
        </w:tc>
        <w:tc>
          <w:tcPr>
            <w:tcW w:w="3098" w:type="pct"/>
            <w:vMerge w:val="continue"/>
            <w:tcBorders>
              <w:left w:val="single" w:color="auto" w:sz="4" w:space="0"/>
              <w:right w:val="single" w:color="auto" w:sz="4" w:space="0"/>
            </w:tcBorders>
            <w:noWrap w:val="0"/>
            <w:vAlign w:val="center"/>
          </w:tcPr>
          <w:p w14:paraId="02A2A20F">
            <w:pPr>
              <w:keepNext w:val="0"/>
              <w:keepLines w:val="0"/>
              <w:pageBreakBefore w:val="0"/>
              <w:suppressLineNumbers w:val="0"/>
              <w:kinsoku/>
              <w:wordWrap w:val="0"/>
              <w:overflowPunct/>
              <w:bidi w:val="0"/>
              <w:adjustRightInd w:val="0"/>
              <w:snapToGrid w:val="0"/>
              <w:spacing w:before="0" w:beforeAutospacing="0" w:after="0" w:afterAutospacing="0" w:line="480" w:lineRule="auto"/>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p>
        </w:tc>
      </w:tr>
      <w:tr w14:paraId="3E07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2B8EEA1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标准员</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00B43CBD">
            <w:pPr>
              <w:pStyle w:val="83"/>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color w:val="000000" w:themeColor="text1"/>
                <w:highlight w:val="none"/>
                <w14:textFill>
                  <w14:solidFill>
                    <w14:schemeClr w14:val="tx1"/>
                  </w14:solidFill>
                </w14:textFill>
              </w:rPr>
            </w:pPr>
          </w:p>
        </w:tc>
        <w:tc>
          <w:tcPr>
            <w:tcW w:w="3098" w:type="pct"/>
            <w:vMerge w:val="continue"/>
            <w:tcBorders>
              <w:left w:val="single" w:color="auto" w:sz="4" w:space="0"/>
              <w:right w:val="single" w:color="auto" w:sz="4" w:space="0"/>
            </w:tcBorders>
            <w:noWrap w:val="0"/>
            <w:vAlign w:val="center"/>
          </w:tcPr>
          <w:p w14:paraId="22DD4FAD">
            <w:pPr>
              <w:keepNext w:val="0"/>
              <w:keepLines w:val="0"/>
              <w:pageBreakBefore w:val="0"/>
              <w:suppressLineNumbers w:val="0"/>
              <w:kinsoku/>
              <w:wordWrap w:val="0"/>
              <w:overflowPunct/>
              <w:bidi w:val="0"/>
              <w:adjustRightInd w:val="0"/>
              <w:snapToGrid w:val="0"/>
              <w:spacing w:before="0" w:beforeAutospacing="0" w:after="0" w:afterAutospacing="0" w:line="480" w:lineRule="auto"/>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p>
        </w:tc>
      </w:tr>
      <w:tr w14:paraId="766E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2A4B38D2">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材料员</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552AD28D">
            <w:pPr>
              <w:pStyle w:val="83"/>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color w:val="000000" w:themeColor="text1"/>
                <w:highlight w:val="none"/>
                <w14:textFill>
                  <w14:solidFill>
                    <w14:schemeClr w14:val="tx1"/>
                  </w14:solidFill>
                </w14:textFill>
              </w:rPr>
            </w:pPr>
          </w:p>
        </w:tc>
        <w:tc>
          <w:tcPr>
            <w:tcW w:w="3098" w:type="pct"/>
            <w:vMerge w:val="continue"/>
            <w:tcBorders>
              <w:left w:val="single" w:color="auto" w:sz="4" w:space="0"/>
              <w:right w:val="single" w:color="auto" w:sz="4" w:space="0"/>
            </w:tcBorders>
            <w:noWrap w:val="0"/>
            <w:vAlign w:val="center"/>
          </w:tcPr>
          <w:p w14:paraId="1EE69610">
            <w:pPr>
              <w:keepNext w:val="0"/>
              <w:keepLines w:val="0"/>
              <w:pageBreakBefore w:val="0"/>
              <w:suppressLineNumbers w:val="0"/>
              <w:kinsoku/>
              <w:wordWrap w:val="0"/>
              <w:overflowPunct/>
              <w:bidi w:val="0"/>
              <w:adjustRightInd w:val="0"/>
              <w:snapToGrid w:val="0"/>
              <w:spacing w:before="0" w:beforeAutospacing="0" w:after="0" w:afterAutospacing="0" w:line="480" w:lineRule="auto"/>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p>
        </w:tc>
      </w:tr>
      <w:tr w14:paraId="0F23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1838455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机械员</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6CA33695">
            <w:pPr>
              <w:pStyle w:val="83"/>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color w:val="000000" w:themeColor="text1"/>
                <w:highlight w:val="none"/>
                <w14:textFill>
                  <w14:solidFill>
                    <w14:schemeClr w14:val="tx1"/>
                  </w14:solidFill>
                </w14:textFill>
              </w:rPr>
            </w:pPr>
          </w:p>
        </w:tc>
        <w:tc>
          <w:tcPr>
            <w:tcW w:w="3098" w:type="pct"/>
            <w:vMerge w:val="continue"/>
            <w:tcBorders>
              <w:left w:val="single" w:color="auto" w:sz="4" w:space="0"/>
              <w:right w:val="single" w:color="auto" w:sz="4" w:space="0"/>
            </w:tcBorders>
            <w:noWrap w:val="0"/>
            <w:vAlign w:val="center"/>
          </w:tcPr>
          <w:p w14:paraId="457B4437">
            <w:pPr>
              <w:keepNext w:val="0"/>
              <w:keepLines w:val="0"/>
              <w:pageBreakBefore w:val="0"/>
              <w:suppressLineNumbers w:val="0"/>
              <w:kinsoku/>
              <w:wordWrap w:val="0"/>
              <w:overflowPunct/>
              <w:bidi w:val="0"/>
              <w:adjustRightInd w:val="0"/>
              <w:snapToGrid w:val="0"/>
              <w:spacing w:before="0" w:beforeAutospacing="0" w:after="0" w:afterAutospacing="0" w:line="480" w:lineRule="auto"/>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p>
        </w:tc>
      </w:tr>
      <w:tr w14:paraId="4162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0F4B4EA4">
            <w:pPr>
              <w:keepNext w:val="0"/>
              <w:keepLines w:val="0"/>
              <w:pageBreakBefore w:val="0"/>
              <w:suppressLineNumbers w:val="0"/>
              <w:kinsoku/>
              <w:wordWrap w:val="0"/>
              <w:overflowPunct/>
              <w:autoSpaceDE w:val="0"/>
              <w:autoSpaceDN w:val="0"/>
              <w:bidi w:val="0"/>
              <w:adjustRightInd w:val="0"/>
              <w:spacing w:before="0" w:beforeAutospacing="0" w:after="0" w:afterAutospacing="0" w:line="360" w:lineRule="auto"/>
              <w:ind w:left="0" w:right="0"/>
              <w:jc w:val="center"/>
              <w:rPr>
                <w:rFonts w:hint="eastAsia" w:ascii="Times New Roman" w:hAnsi="Times New Roman"/>
                <w:smallCaps w:val="0"/>
                <w:color w:val="000000" w:themeColor="text1"/>
                <w:sz w:val="21"/>
                <w:szCs w:val="18"/>
                <w:highlight w:val="none"/>
                <w14:textFill>
                  <w14:solidFill>
                    <w14:schemeClr w14:val="tx1"/>
                  </w14:solidFill>
                </w14:textFill>
              </w:rPr>
            </w:pPr>
            <w:r>
              <w:rPr>
                <w:rFonts w:hint="eastAsia" w:ascii="宋体" w:hAnsi="宋体"/>
                <w:color w:val="000000" w:themeColor="text1"/>
                <w:kern w:val="0"/>
                <w:sz w:val="21"/>
                <w:szCs w:val="18"/>
                <w:highlight w:val="none"/>
                <w:lang w:val="en-US" w:eastAsia="zh-CN"/>
                <w14:textFill>
                  <w14:solidFill>
                    <w14:schemeClr w14:val="tx1"/>
                  </w14:solidFill>
                </w14:textFill>
              </w:rPr>
              <w:t>劳务员/劳资专管员</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35CA38AE">
            <w:pPr>
              <w:keepNext w:val="0"/>
              <w:keepLines w:val="0"/>
              <w:pageBreakBefore w:val="0"/>
              <w:suppressLineNumbers w:val="0"/>
              <w:kinsoku/>
              <w:wordWrap w:val="0"/>
              <w:overflowPunct/>
              <w:autoSpaceDE w:val="0"/>
              <w:autoSpaceDN w:val="0"/>
              <w:bidi w:val="0"/>
              <w:adjustRightInd w:val="0"/>
              <w:spacing w:before="0" w:beforeAutospacing="0" w:after="0" w:afterAutospacing="0" w:line="360" w:lineRule="auto"/>
              <w:ind w:left="0" w:right="0"/>
              <w:jc w:val="center"/>
              <w:rPr>
                <w:rFonts w:hint="eastAsia" w:ascii="Times New Roman" w:hAnsi="Times New Roman"/>
                <w:smallCaps w:val="0"/>
                <w:color w:val="000000" w:themeColor="text1"/>
                <w:sz w:val="21"/>
                <w:szCs w:val="18"/>
                <w:highlight w:val="none"/>
                <w14:textFill>
                  <w14:solidFill>
                    <w14:schemeClr w14:val="tx1"/>
                  </w14:solidFill>
                </w14:textFill>
              </w:rPr>
            </w:pPr>
          </w:p>
        </w:tc>
        <w:tc>
          <w:tcPr>
            <w:tcW w:w="3098" w:type="pct"/>
            <w:vMerge w:val="continue"/>
            <w:tcBorders>
              <w:left w:val="single" w:color="auto" w:sz="4" w:space="0"/>
              <w:right w:val="single" w:color="auto" w:sz="4" w:space="0"/>
            </w:tcBorders>
            <w:noWrap w:val="0"/>
            <w:vAlign w:val="center"/>
          </w:tcPr>
          <w:p w14:paraId="0FF81605">
            <w:pPr>
              <w:keepNext w:val="0"/>
              <w:keepLines w:val="0"/>
              <w:pageBreakBefore w:val="0"/>
              <w:suppressLineNumbers w:val="0"/>
              <w:kinsoku/>
              <w:wordWrap w:val="0"/>
              <w:overflowPunct/>
              <w:bidi w:val="0"/>
              <w:adjustRightInd w:val="0"/>
              <w:snapToGrid w:val="0"/>
              <w:spacing w:before="0" w:beforeAutospacing="0" w:after="0" w:afterAutospacing="0" w:line="480" w:lineRule="auto"/>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p>
        </w:tc>
      </w:tr>
      <w:tr w14:paraId="276D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4AE9AFD3">
            <w:pPr>
              <w:keepNext w:val="0"/>
              <w:keepLines w:val="0"/>
              <w:pageBreakBefore w:val="0"/>
              <w:suppressLineNumbers w:val="0"/>
              <w:kinsoku/>
              <w:wordWrap w:val="0"/>
              <w:overflowPunct/>
              <w:autoSpaceDE w:val="0"/>
              <w:autoSpaceDN w:val="0"/>
              <w:bidi w:val="0"/>
              <w:adjustRightInd w:val="0"/>
              <w:spacing w:before="0" w:beforeAutospacing="0" w:after="0" w:afterAutospacing="0" w:line="360" w:lineRule="auto"/>
              <w:ind w:left="0" w:right="0"/>
              <w:jc w:val="center"/>
              <w:rPr>
                <w:rFonts w:hint="eastAsia" w:ascii="Times New Roman" w:hAnsi="Times New Roman" w:eastAsia="宋体"/>
                <w:smallCaps w:val="0"/>
                <w:color w:val="000000" w:themeColor="text1"/>
                <w:sz w:val="21"/>
                <w:szCs w:val="18"/>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18"/>
                <w:highlight w:val="none"/>
                <w:lang w:val="en-US" w:eastAsia="zh-CN"/>
                <w14:textFill>
                  <w14:solidFill>
                    <w14:schemeClr w14:val="tx1"/>
                  </w14:solidFill>
                </w14:textFill>
              </w:rPr>
              <w:t>资料员</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2A027F13">
            <w:pPr>
              <w:keepNext w:val="0"/>
              <w:keepLines w:val="0"/>
              <w:pageBreakBefore w:val="0"/>
              <w:suppressLineNumbers w:val="0"/>
              <w:kinsoku/>
              <w:wordWrap w:val="0"/>
              <w:overflowPunct/>
              <w:autoSpaceDE w:val="0"/>
              <w:autoSpaceDN w:val="0"/>
              <w:bidi w:val="0"/>
              <w:adjustRightInd w:val="0"/>
              <w:spacing w:before="0" w:beforeAutospacing="0" w:after="0" w:afterAutospacing="0" w:line="360" w:lineRule="auto"/>
              <w:ind w:left="0" w:right="0"/>
              <w:jc w:val="center"/>
              <w:rPr>
                <w:rFonts w:hint="eastAsia" w:ascii="Times New Roman" w:hAnsi="Times New Roman"/>
                <w:smallCaps w:val="0"/>
                <w:color w:val="000000" w:themeColor="text1"/>
                <w:sz w:val="21"/>
                <w:szCs w:val="18"/>
                <w:highlight w:val="none"/>
                <w14:textFill>
                  <w14:solidFill>
                    <w14:schemeClr w14:val="tx1"/>
                  </w14:solidFill>
                </w14:textFill>
              </w:rPr>
            </w:pPr>
          </w:p>
        </w:tc>
        <w:tc>
          <w:tcPr>
            <w:tcW w:w="3098" w:type="pct"/>
            <w:vMerge w:val="continue"/>
            <w:tcBorders>
              <w:left w:val="single" w:color="auto" w:sz="4" w:space="0"/>
              <w:right w:val="single" w:color="auto" w:sz="4" w:space="0"/>
            </w:tcBorders>
            <w:noWrap w:val="0"/>
            <w:vAlign w:val="center"/>
          </w:tcPr>
          <w:p w14:paraId="6E61B733">
            <w:pPr>
              <w:keepNext w:val="0"/>
              <w:keepLines w:val="0"/>
              <w:pageBreakBefore w:val="0"/>
              <w:suppressLineNumbers w:val="0"/>
              <w:kinsoku/>
              <w:wordWrap w:val="0"/>
              <w:overflowPunct/>
              <w:bidi w:val="0"/>
              <w:adjustRightInd w:val="0"/>
              <w:snapToGrid w:val="0"/>
              <w:spacing w:before="0" w:beforeAutospacing="0" w:after="0" w:afterAutospacing="0" w:line="480" w:lineRule="auto"/>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p>
        </w:tc>
      </w:tr>
      <w:tr w14:paraId="25BB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6" w:hRule="atLeast"/>
          <w:jc w:val="center"/>
        </w:trPr>
        <w:tc>
          <w:tcPr>
            <w:tcW w:w="1439" w:type="pct"/>
            <w:tcBorders>
              <w:top w:val="single" w:color="auto" w:sz="4" w:space="0"/>
              <w:left w:val="single" w:color="auto" w:sz="4" w:space="0"/>
              <w:bottom w:val="single" w:color="auto" w:sz="4" w:space="0"/>
              <w:right w:val="single" w:color="auto" w:sz="4" w:space="0"/>
            </w:tcBorders>
            <w:noWrap w:val="0"/>
            <w:vAlign w:val="center"/>
          </w:tcPr>
          <w:p w14:paraId="41162B8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2FC63FB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3098" w:type="pct"/>
            <w:vMerge w:val="continue"/>
            <w:tcBorders>
              <w:left w:val="single" w:color="auto" w:sz="4" w:space="0"/>
              <w:right w:val="single" w:color="auto" w:sz="4" w:space="0"/>
            </w:tcBorders>
            <w:noWrap w:val="0"/>
            <w:vAlign w:val="center"/>
          </w:tcPr>
          <w:p w14:paraId="39E8C46D">
            <w:pPr>
              <w:keepNext w:val="0"/>
              <w:keepLines w:val="0"/>
              <w:pageBreakBefore w:val="0"/>
              <w:suppressLineNumbers w:val="0"/>
              <w:kinsoku/>
              <w:wordWrap w:val="0"/>
              <w:overflowPunct/>
              <w:bidi w:val="0"/>
              <w:adjustRightInd w:val="0"/>
              <w:snapToGrid w:val="0"/>
              <w:spacing w:before="0" w:beforeAutospacing="0" w:after="0" w:afterAutospacing="0" w:line="480" w:lineRule="auto"/>
              <w:ind w:left="0" w:right="0"/>
              <w:rPr>
                <w:rFonts w:hint="eastAsia" w:ascii="Times New Roman" w:hAnsi="Times New Roman" w:cs="宋体"/>
                <w:bCs/>
                <w:smallCaps w:val="0"/>
                <w:color w:val="000000" w:themeColor="text1"/>
                <w:kern w:val="0"/>
                <w:szCs w:val="21"/>
                <w:highlight w:val="none"/>
                <w14:textFill>
                  <w14:solidFill>
                    <w14:schemeClr w14:val="tx1"/>
                  </w14:solidFill>
                </w14:textFill>
              </w:rPr>
            </w:pPr>
          </w:p>
        </w:tc>
      </w:tr>
      <w:tr w14:paraId="7927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0945ACFF">
            <w:pPr>
              <w:pStyle w:val="41"/>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eastAsia" w:ascii="Times New Roman" w:hAnsi="Times New Roman" w:cs="宋体"/>
                <w:bCs/>
                <w:smallCaps w:val="0"/>
                <w:color w:val="000000" w:themeColor="text1"/>
                <w:kern w:val="0"/>
                <w:szCs w:val="2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以上人员为本单位员工，投标时提供承诺及人员配置计划表。签订合同时按照不低于本表及《安徽省建设工程施工项目部关键岗位人员配备标准》的要求配置承包人主要施工管理人员，并填写人员配置表（提供在承包人拟派人员相应的社保承诺），作为合同的附件之一。</w:t>
            </w:r>
            <w:r>
              <w:rPr>
                <w:rFonts w:hint="eastAsia" w:ascii="Times New Roman" w:hAnsi="Times New Roman"/>
                <w:b w:val="0"/>
                <w:bCs w:val="0"/>
                <w:smallCaps w:val="0"/>
                <w:color w:val="000000" w:themeColor="text1"/>
                <w:highlight w:val="none"/>
                <w:u w:val="single"/>
                <w:vertAlign w:val="superscript"/>
                <w:lang w:val="en-US" w:eastAsia="zh-CN"/>
                <w14:textFill>
                  <w14:solidFill>
                    <w14:schemeClr w14:val="tx1"/>
                  </w14:solidFill>
                </w14:textFill>
              </w:rPr>
              <w:t xml:space="preserve">                                  </w:t>
            </w:r>
          </w:p>
        </w:tc>
      </w:tr>
    </w:tbl>
    <w:p w14:paraId="37EBDEC0">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27E4568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1.招标人或招标代理机构需按照住房和城乡建设部及安徽省相关标准规定在此表中明确投标人需要配备其他主要管理人员和技术人员数量的最低要求。</w:t>
      </w:r>
    </w:p>
    <w:p w14:paraId="72A8060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投标人须在投标文件格式“项目管理机构人员组成表”中列明配备的人员岗位及人员姓名，列明的人员数量及人员岗位满足上述最低要求。</w:t>
      </w:r>
    </w:p>
    <w:p w14:paraId="3759F18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本表不作为资格审查项，项目实施时，中标人和招标人在签订合同时应按照不低于本表人员配置的要求填写承包人主要施工管理人员表（人员配置符合住房和城乡建设部及安徽省相关标准），并作为合同的附件之一。</w:t>
      </w:r>
    </w:p>
    <w:p w14:paraId="2E29EC0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sectPr>
          <w:footerReference r:id="rId11" w:type="default"/>
          <w:footnotePr>
            <w:numFmt w:val="decimalEnclosedCircleChinese"/>
            <w:numRestart w:val="eachPage"/>
          </w:footnotePr>
          <w:pgSz w:w="11906" w:h="16838"/>
          <w:pgMar w:top="1588" w:right="1701" w:bottom="1418" w:left="1701" w:header="851" w:footer="851" w:gutter="0"/>
          <w:pgNumType w:fmt="decimal" w:start="1"/>
          <w:cols w:space="720" w:num="1"/>
          <w:docGrid w:type="lines" w:linePitch="312" w:charSpace="0"/>
        </w:sectPr>
      </w:pPr>
      <w:r>
        <w:rPr>
          <w:rFonts w:hint="eastAsia" w:ascii="Times New Roman" w:hAnsi="Times New Roman"/>
          <w:smallCaps w:val="0"/>
          <w:color w:val="000000" w:themeColor="text1"/>
          <w:highlight w:val="none"/>
          <w:lang w:eastAsia="zh-CN"/>
          <w14:textFill>
            <w14:solidFill>
              <w14:schemeClr w14:val="tx1"/>
            </w14:solidFill>
          </w14:textFill>
        </w:rPr>
        <w:t>因退休人员（包括提前退休人员）无法提供社保证明（</w:t>
      </w:r>
      <w:r>
        <w:rPr>
          <w:rFonts w:hint="eastAsia" w:ascii="Times New Roman" w:hAnsi="Times New Roman"/>
          <w:smallCaps w:val="0"/>
          <w:color w:val="000000" w:themeColor="text1"/>
          <w:highlight w:val="none"/>
          <w:lang w:val="en-US" w:eastAsia="zh-CN"/>
          <w14:textFill>
            <w14:solidFill>
              <w14:schemeClr w14:val="tx1"/>
            </w14:solidFill>
          </w14:textFill>
        </w:rPr>
        <w:t>或社保承诺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的</w:t>
      </w:r>
      <w:r>
        <w:rPr>
          <w:rFonts w:hint="eastAsia" w:ascii="Times New Roman" w:hAnsi="Times New Roman"/>
          <w:smallCaps w:val="0"/>
          <w:color w:val="000000" w:themeColor="text1"/>
          <w:highlight w:val="none"/>
          <w:lang w:eastAsia="zh-CN"/>
          <w14:textFill>
            <w14:solidFill>
              <w14:schemeClr w14:val="tx1"/>
            </w14:solidFill>
          </w14:textFill>
        </w:rPr>
        <w:t>，投标人可以提供身份证、退休证（</w:t>
      </w:r>
      <w:r>
        <w:rPr>
          <w:rFonts w:hint="eastAsia" w:ascii="Times New Roman" w:hAnsi="Times New Roman"/>
          <w:smallCaps w:val="0"/>
          <w:color w:val="000000" w:themeColor="text1"/>
          <w:highlight w:val="none"/>
          <w:lang w:val="en-US" w:eastAsia="zh-CN"/>
          <w14:textFill>
            <w14:solidFill>
              <w14:schemeClr w14:val="tx1"/>
            </w14:solidFill>
          </w14:textFill>
        </w:rPr>
        <w:t>或退休证明文件</w:t>
      </w:r>
      <w:r>
        <w:rPr>
          <w:rFonts w:hint="eastAsia" w:ascii="Times New Roman" w:hAnsi="Times New Roman"/>
          <w:smallCaps w:val="0"/>
          <w:color w:val="000000" w:themeColor="text1"/>
          <w:highlight w:val="none"/>
          <w:lang w:eastAsia="zh-CN"/>
          <w14:textFill>
            <w14:solidFill>
              <w14:schemeClr w14:val="tx1"/>
            </w14:solidFill>
          </w14:textFill>
        </w:rPr>
        <w:t>）及投标人企业的聘用合同。提交的注册执业证书中聘用企业名称必须与投标人企业名称一致。</w:t>
      </w:r>
    </w:p>
    <w:bookmarkEnd w:id="119"/>
    <w:bookmarkEnd w:id="187"/>
    <w:bookmarkEnd w:id="188"/>
    <w:bookmarkEnd w:id="189"/>
    <w:p w14:paraId="7E955CF2">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bookmarkStart w:id="190" w:name="_Toc283798422"/>
      <w:bookmarkStart w:id="191" w:name="_Toc25869"/>
      <w:bookmarkStart w:id="192" w:name="_Toc38879323"/>
      <w:bookmarkStart w:id="193" w:name="_Toc179632546"/>
      <w:bookmarkStart w:id="194" w:name="_Toc152045529"/>
      <w:bookmarkStart w:id="195" w:name="_Toc144974497"/>
      <w:bookmarkStart w:id="196" w:name="_Toc152042305"/>
      <w:r>
        <w:rPr>
          <w:rFonts w:hint="eastAsia" w:ascii="Times New Roman" w:hAnsi="Times New Roman"/>
          <w:smallCaps w:val="0"/>
          <w:color w:val="000000" w:themeColor="text1"/>
          <w:highlight w:val="none"/>
          <w14:textFill>
            <w14:solidFill>
              <w14:schemeClr w14:val="tx1"/>
            </w14:solidFill>
          </w14:textFill>
        </w:rPr>
        <w:t>投标人须知</w:t>
      </w:r>
      <w:bookmarkEnd w:id="190"/>
      <w:r>
        <w:rPr>
          <w:rFonts w:hint="eastAsia" w:ascii="Times New Roman" w:hAnsi="Times New Roman"/>
          <w:smallCaps w:val="0"/>
          <w:color w:val="000000" w:themeColor="text1"/>
          <w:highlight w:val="none"/>
          <w14:textFill>
            <w14:solidFill>
              <w14:schemeClr w14:val="tx1"/>
            </w14:solidFill>
          </w14:textFill>
        </w:rPr>
        <w:t>正文修改一览表</w:t>
      </w:r>
      <w:bookmarkEnd w:id="191"/>
      <w:bookmarkEnd w:id="192"/>
    </w:p>
    <w:p w14:paraId="5E97FAC9">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0358D171">
      <w:pPr>
        <w:pStyle w:val="77"/>
        <w:pageBreakBefore w:val="0"/>
        <w:kinsoku/>
        <w:wordWrap w:val="0"/>
        <w:overflowPunct/>
        <w:bidi w:val="0"/>
        <w:outlineLvl w:val="9"/>
        <w:rPr>
          <w:rFonts w:hint="eastAsia" w:ascii="Times New Roman" w:hAnsi="Times New Roman" w:eastAsia="黑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投标人须知正文条款内容修改如下</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01554A0">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2638"/>
        <w:gridCol w:w="4406"/>
      </w:tblGrid>
      <w:tr w14:paraId="6828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3910157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条款编号</w:t>
            </w:r>
          </w:p>
        </w:tc>
        <w:tc>
          <w:tcPr>
            <w:tcW w:w="26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0154A8C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示范文本中条款内容</w:t>
            </w:r>
          </w:p>
        </w:tc>
        <w:tc>
          <w:tcPr>
            <w:tcW w:w="4406"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6852ADC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修改后条款内容</w:t>
            </w:r>
          </w:p>
        </w:tc>
      </w:tr>
      <w:tr w14:paraId="5321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14:paraId="29CE43D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638" w:type="dxa"/>
            <w:tcBorders>
              <w:top w:val="single" w:color="auto" w:sz="4" w:space="0"/>
              <w:left w:val="single" w:color="auto" w:sz="4" w:space="0"/>
              <w:bottom w:val="single" w:color="auto" w:sz="4" w:space="0"/>
              <w:right w:val="single" w:color="auto" w:sz="4" w:space="0"/>
            </w:tcBorders>
            <w:noWrap w:val="0"/>
            <w:vAlign w:val="center"/>
          </w:tcPr>
          <w:p w14:paraId="101F319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4F3BCD1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484F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14:paraId="345C87D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638" w:type="dxa"/>
            <w:tcBorders>
              <w:top w:val="single" w:color="auto" w:sz="4" w:space="0"/>
              <w:left w:val="single" w:color="auto" w:sz="4" w:space="0"/>
              <w:bottom w:val="single" w:color="auto" w:sz="4" w:space="0"/>
              <w:right w:val="single" w:color="auto" w:sz="4" w:space="0"/>
            </w:tcBorders>
            <w:noWrap w:val="0"/>
            <w:vAlign w:val="center"/>
          </w:tcPr>
          <w:p w14:paraId="01DF06A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3B47581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28FE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14:paraId="59578CC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638" w:type="dxa"/>
            <w:tcBorders>
              <w:top w:val="single" w:color="auto" w:sz="4" w:space="0"/>
              <w:left w:val="single" w:color="auto" w:sz="4" w:space="0"/>
              <w:bottom w:val="single" w:color="auto" w:sz="4" w:space="0"/>
              <w:right w:val="single" w:color="auto" w:sz="4" w:space="0"/>
            </w:tcBorders>
            <w:noWrap w:val="0"/>
            <w:vAlign w:val="center"/>
          </w:tcPr>
          <w:p w14:paraId="555C8E7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161939A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2A1E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14:paraId="52C98A9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638" w:type="dxa"/>
            <w:tcBorders>
              <w:top w:val="single" w:color="auto" w:sz="4" w:space="0"/>
              <w:left w:val="single" w:color="auto" w:sz="4" w:space="0"/>
              <w:bottom w:val="single" w:color="auto" w:sz="4" w:space="0"/>
              <w:right w:val="single" w:color="auto" w:sz="4" w:space="0"/>
            </w:tcBorders>
            <w:noWrap w:val="0"/>
            <w:vAlign w:val="center"/>
          </w:tcPr>
          <w:p w14:paraId="23E53C7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40516E2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2D3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14:paraId="4D6E861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638" w:type="dxa"/>
            <w:tcBorders>
              <w:top w:val="single" w:color="auto" w:sz="4" w:space="0"/>
              <w:left w:val="single" w:color="auto" w:sz="4" w:space="0"/>
              <w:bottom w:val="single" w:color="auto" w:sz="4" w:space="0"/>
              <w:right w:val="single" w:color="auto" w:sz="4" w:space="0"/>
            </w:tcBorders>
            <w:noWrap w:val="0"/>
            <w:vAlign w:val="center"/>
          </w:tcPr>
          <w:p w14:paraId="402B599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4701A8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7FC3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14:paraId="6139AB8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638" w:type="dxa"/>
            <w:tcBorders>
              <w:top w:val="single" w:color="auto" w:sz="4" w:space="0"/>
              <w:left w:val="single" w:color="auto" w:sz="4" w:space="0"/>
              <w:bottom w:val="single" w:color="auto" w:sz="4" w:space="0"/>
              <w:right w:val="single" w:color="auto" w:sz="4" w:space="0"/>
            </w:tcBorders>
            <w:noWrap w:val="0"/>
            <w:vAlign w:val="center"/>
          </w:tcPr>
          <w:p w14:paraId="12615EB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22D926C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7264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14:paraId="73F6EAC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638" w:type="dxa"/>
            <w:tcBorders>
              <w:top w:val="single" w:color="auto" w:sz="4" w:space="0"/>
              <w:left w:val="single" w:color="auto" w:sz="4" w:space="0"/>
              <w:bottom w:val="single" w:color="auto" w:sz="4" w:space="0"/>
              <w:right w:val="single" w:color="auto" w:sz="4" w:space="0"/>
            </w:tcBorders>
            <w:noWrap w:val="0"/>
            <w:vAlign w:val="center"/>
          </w:tcPr>
          <w:p w14:paraId="34CC355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4A95427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2AE7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14:paraId="276D936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638" w:type="dxa"/>
            <w:tcBorders>
              <w:top w:val="single" w:color="auto" w:sz="4" w:space="0"/>
              <w:left w:val="single" w:color="auto" w:sz="4" w:space="0"/>
              <w:bottom w:val="single" w:color="auto" w:sz="4" w:space="0"/>
              <w:right w:val="single" w:color="auto" w:sz="4" w:space="0"/>
            </w:tcBorders>
            <w:noWrap w:val="0"/>
            <w:vAlign w:val="center"/>
          </w:tcPr>
          <w:p w14:paraId="0B683EA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4167425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4EF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14:paraId="394C480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638" w:type="dxa"/>
            <w:tcBorders>
              <w:top w:val="single" w:color="auto" w:sz="4" w:space="0"/>
              <w:left w:val="single" w:color="auto" w:sz="4" w:space="0"/>
              <w:bottom w:val="single" w:color="auto" w:sz="4" w:space="0"/>
              <w:right w:val="single" w:color="auto" w:sz="4" w:space="0"/>
            </w:tcBorders>
            <w:noWrap w:val="0"/>
            <w:vAlign w:val="center"/>
          </w:tcPr>
          <w:p w14:paraId="382851A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25079C8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bl>
    <w:p w14:paraId="321F3528">
      <w:pPr>
        <w:pStyle w:val="3"/>
        <w:pageBreakBefore w:val="0"/>
        <w:widowControl w:val="0"/>
        <w:kinsoku/>
        <w:wordWrap w:val="0"/>
        <w:overflowPunct/>
        <w:topLinePunct w:val="0"/>
        <w:autoSpaceDE/>
        <w:autoSpaceDN/>
        <w:bidi w:val="0"/>
        <w:adjustRightInd w:val="0"/>
        <w:snapToGrid w:val="0"/>
        <w:spacing w:before="0" w:after="0" w:line="400" w:lineRule="exact"/>
        <w:jc w:val="both"/>
        <w:textAlignment w:val="auto"/>
        <w:rPr>
          <w:rStyle w:val="78"/>
          <w:rFonts w:hint="eastAsia" w:ascii="Times New Roman" w:hAnsi="Times New Roman"/>
          <w:b w:val="0"/>
          <w:bCs w:val="0"/>
          <w:smallCaps w:val="0"/>
          <w:color w:val="000000" w:themeColor="text1"/>
          <w:highlight w:val="none"/>
          <w:lang w:val="en-US" w:eastAsia="zh-CN"/>
          <w14:textFill>
            <w14:solidFill>
              <w14:schemeClr w14:val="tx1"/>
            </w14:solidFill>
          </w14:textFill>
        </w:rPr>
      </w:pPr>
      <w:r>
        <w:rPr>
          <w:rFonts w:hint="eastAsia" w:ascii="Times New Roman" w:hAnsi="Times New Roman" w:cs="宋体"/>
          <w:b w:val="0"/>
          <w:smallCaps w:val="0"/>
          <w:color w:val="000000" w:themeColor="text1"/>
          <w:highlight w:val="none"/>
          <w14:textFill>
            <w14:solidFill>
              <w14:schemeClr w14:val="tx1"/>
            </w14:solidFill>
          </w14:textFill>
        </w:rPr>
        <w:br w:type="page"/>
      </w:r>
      <w:bookmarkStart w:id="197" w:name="_Toc3721"/>
      <w:bookmarkStart w:id="198" w:name="_Toc31021"/>
      <w:bookmarkStart w:id="199" w:name="_Toc9020"/>
      <w:bookmarkStart w:id="200" w:name="_Toc38879324"/>
      <w:r>
        <w:rPr>
          <w:rStyle w:val="78"/>
          <w:rFonts w:hint="eastAsia" w:ascii="Times New Roman" w:hAnsi="Times New Roman"/>
          <w:b w:val="0"/>
          <w:bCs w:val="0"/>
          <w:smallCaps w:val="0"/>
          <w:color w:val="000000" w:themeColor="text1"/>
          <w:highlight w:val="none"/>
          <w:lang w:val="en-US" w:eastAsia="zh-CN"/>
          <w14:textFill>
            <w14:solidFill>
              <w14:schemeClr w14:val="tx1"/>
            </w14:solidFill>
          </w14:textFill>
        </w:rPr>
        <w:t>1. 总则</w:t>
      </w:r>
      <w:bookmarkEnd w:id="193"/>
      <w:bookmarkEnd w:id="194"/>
      <w:bookmarkEnd w:id="195"/>
      <w:bookmarkEnd w:id="196"/>
      <w:bookmarkEnd w:id="197"/>
      <w:bookmarkEnd w:id="198"/>
      <w:bookmarkEnd w:id="199"/>
      <w:bookmarkEnd w:id="200"/>
    </w:p>
    <w:p w14:paraId="747A187B">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01" w:name="_Toc152042306"/>
      <w:bookmarkStart w:id="202" w:name="_Toc179632547"/>
      <w:bookmarkStart w:id="203" w:name="_Toc144974498"/>
      <w:bookmarkStart w:id="204" w:name="_Toc152045530"/>
      <w:bookmarkStart w:id="205" w:name="_Toc32639"/>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1.1 项目概况</w:t>
      </w:r>
      <w:bookmarkEnd w:id="201"/>
      <w:bookmarkEnd w:id="202"/>
      <w:bookmarkEnd w:id="203"/>
      <w:bookmarkEnd w:id="204"/>
    </w:p>
    <w:bookmarkEnd w:id="205"/>
    <w:p w14:paraId="37A82B4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 根据《中华人民共和国招标投标法》《中华人民共和国招标投标法实施条例》等有关法律、法规和规章的规定，本招标项目已具备招标条件，现对本标段施工进行招标。</w:t>
      </w:r>
    </w:p>
    <w:p w14:paraId="5898E09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1.1.2 本招标项目招标人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4896CA9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1.1.3 本标段招标代理机构</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2CC1F2B9">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1.1.4 本招标项目名称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3EF40D2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1.1.5 本标段建设地点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5F3B7C77">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06" w:name="_Toc152045531"/>
      <w:bookmarkStart w:id="207" w:name="_Toc152042307"/>
      <w:bookmarkStart w:id="208" w:name="_Toc144974499"/>
      <w:bookmarkStart w:id="209" w:name="_Toc179632548"/>
      <w:bookmarkStart w:id="210" w:name="_Toc20785"/>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1.2 资金来源和落实情况</w:t>
      </w:r>
      <w:bookmarkEnd w:id="206"/>
      <w:bookmarkEnd w:id="207"/>
      <w:bookmarkEnd w:id="208"/>
      <w:bookmarkEnd w:id="209"/>
    </w:p>
    <w:bookmarkEnd w:id="210"/>
    <w:p w14:paraId="6941BAC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1.2.1 本招标项目的资金来源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7970D91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1.2.2 本招标项目的出资比例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5E75F43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1.2.3 本招标项目的资金落实情况</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380C2003">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11" w:name="_Toc179632549"/>
      <w:bookmarkStart w:id="212" w:name="_Toc152045532"/>
      <w:bookmarkStart w:id="213" w:name="_Toc144974500"/>
      <w:bookmarkStart w:id="214" w:name="_Toc152042308"/>
      <w:bookmarkStart w:id="215" w:name="_Toc25046"/>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1.3 招标范围、计划工期、质量要求</w:t>
      </w:r>
      <w:bookmarkEnd w:id="211"/>
      <w:bookmarkEnd w:id="212"/>
      <w:bookmarkEnd w:id="213"/>
      <w:bookmarkEnd w:id="214"/>
    </w:p>
    <w:bookmarkEnd w:id="215"/>
    <w:p w14:paraId="2DB33EF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1.3.1 本次招标范围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24F3CC0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1.3.2 本标段的计划工期</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33C9B52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1.3.3 本标段的质量要求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03EC98D3">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16" w:name="_Toc144974502"/>
      <w:bookmarkStart w:id="217" w:name="_Toc152042310"/>
      <w:bookmarkStart w:id="218" w:name="_Toc179632551"/>
      <w:bookmarkStart w:id="219" w:name="_Toc152045534"/>
      <w:bookmarkStart w:id="220" w:name="_Toc13098"/>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1.4 投标人资格要求</w:t>
      </w:r>
      <w:bookmarkEnd w:id="216"/>
      <w:bookmarkEnd w:id="217"/>
      <w:bookmarkEnd w:id="218"/>
      <w:bookmarkEnd w:id="219"/>
    </w:p>
    <w:bookmarkEnd w:id="220"/>
    <w:p w14:paraId="3491BE1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1.4.1 投标人应具备承担本标段施工的资质条件、能力和信誉。</w:t>
      </w:r>
    </w:p>
    <w:p w14:paraId="6265E1B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（1）资质条件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04DDE54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（2）财务要求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3C2AD08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（3）业绩要求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2E4BC4C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（4）信誉要求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37C0429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（5）项目经理资格</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65C4294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（6）其他要求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094616F5">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需要提交的相关证明材料见本章第3.5款的规定。</w:t>
      </w:r>
    </w:p>
    <w:p w14:paraId="5193DED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1.4.2 投标人须知前附表规定接受联合体投标的，联合体除应符合本章第1.4.1项和投标人须知前附表的要求外，还应遵守以下规定</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13675AD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（1）联合体各方应按招标文件提供的格式签订联合体协议书，明确联合体牵头人和各方权利义务，并承诺就中标项目向招标人承担连带责任； </w:t>
      </w:r>
    </w:p>
    <w:p w14:paraId="6AF8344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（2）由同一专业的单位组成的联合体，按照资质等级较低的单位确定资质等级；</w:t>
      </w:r>
    </w:p>
    <w:p w14:paraId="494414B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（3）联合体各方不得再以自己名义单独或参加其他联合体在同一标段中投标。</w:t>
      </w:r>
    </w:p>
    <w:p w14:paraId="37987E3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联合体各方应分别按照本招标文件的要求，填写投标文件中的相应表格，并由联合体牵头人负责对联合体各成员的资料进行统一汇总后一并提交给招标人；联合体牵头人所提交的投标文件应被认为已代表了联合体各成员的真实情况；</w:t>
      </w:r>
    </w:p>
    <w:p w14:paraId="465562B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（5）尽管委任了联合体牵头人，但联合体各成员在投标、签约与履行合同过程中，仍负有连带的和各自的法律责任。</w:t>
      </w:r>
    </w:p>
    <w:p w14:paraId="49DBCEF1">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1.4.3 </w:t>
      </w:r>
      <w:r>
        <w:rPr>
          <w:rFonts w:hint="eastAsia" w:ascii="Times New Roman" w:hAnsi="Times New Roman"/>
          <w:smallCaps w:val="0"/>
          <w:color w:val="000000" w:themeColor="text1"/>
          <w:highlight w:val="none"/>
          <w:lang w:val="zh-CN"/>
          <w14:textFill>
            <w14:solidFill>
              <w14:schemeClr w14:val="tx1"/>
            </w14:solidFill>
          </w14:textFill>
        </w:rPr>
        <w:t>投标人</w:t>
      </w:r>
      <w:r>
        <w:rPr>
          <w:rFonts w:hint="eastAsia" w:ascii="Times New Roman" w:hAnsi="Times New Roman"/>
          <w:smallCaps w:val="0"/>
          <w:color w:val="000000" w:themeColor="text1"/>
          <w:highlight w:val="none"/>
          <w14:textFill>
            <w14:solidFill>
              <w14:schemeClr w14:val="tx1"/>
            </w14:solidFill>
          </w14:textFill>
        </w:rPr>
        <w:t>（包括联合体各成员）</w:t>
      </w:r>
      <w:r>
        <w:rPr>
          <w:rFonts w:hint="eastAsia" w:ascii="Times New Roman" w:hAnsi="Times New Roman"/>
          <w:smallCaps w:val="0"/>
          <w:color w:val="000000" w:themeColor="text1"/>
          <w:highlight w:val="none"/>
          <w:lang w:val="zh-CN"/>
          <w14:textFill>
            <w14:solidFill>
              <w14:schemeClr w14:val="tx1"/>
            </w14:solidFill>
          </w14:textFill>
        </w:rPr>
        <w:t>不得</w:t>
      </w:r>
      <w:r>
        <w:rPr>
          <w:rFonts w:hint="eastAsia" w:ascii="Times New Roman" w:hAnsi="Times New Roman"/>
          <w:smallCaps w:val="0"/>
          <w:color w:val="000000" w:themeColor="text1"/>
          <w:highlight w:val="none"/>
          <w14:textFill>
            <w14:solidFill>
              <w14:schemeClr w14:val="tx1"/>
            </w14:solidFill>
          </w14:textFill>
        </w:rPr>
        <w:t>存在下列</w:t>
      </w:r>
      <w:r>
        <w:rPr>
          <w:rFonts w:hint="eastAsia" w:ascii="Times New Roman" w:hAnsi="Times New Roman"/>
          <w:smallCaps w:val="0"/>
          <w:color w:val="000000" w:themeColor="text1"/>
          <w:highlight w:val="none"/>
          <w:lang w:val="en-US" w:eastAsia="zh-CN"/>
          <w14:textFill>
            <w14:solidFill>
              <w14:schemeClr w14:val="tx1"/>
            </w14:solidFill>
          </w14:textFill>
        </w:rPr>
        <w:t>情形</w:t>
      </w:r>
      <w:r>
        <w:rPr>
          <w:rFonts w:hint="eastAsia" w:ascii="Times New Roman" w:hAnsi="Times New Roman"/>
          <w:smallCaps w:val="0"/>
          <w:color w:val="000000" w:themeColor="text1"/>
          <w:highlight w:val="none"/>
          <w:u w:val="none"/>
          <w:lang w:val="zh-CN"/>
          <w14:textFill>
            <w14:solidFill>
              <w14:schemeClr w14:val="tx1"/>
            </w14:solidFill>
          </w14:textFill>
        </w:rPr>
        <w:t>：</w:t>
      </w:r>
    </w:p>
    <w:p w14:paraId="69CD7B2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（1）为招标人不具有法人资格的附属机构（单位）；</w:t>
      </w:r>
    </w:p>
    <w:p w14:paraId="332A5E3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（2）与招标人存在利害关系且可能影响招标公正性；</w:t>
      </w:r>
    </w:p>
    <w:p w14:paraId="3924841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（3）与本标段其他投标人的单位负责人为同一人；</w:t>
      </w:r>
    </w:p>
    <w:p w14:paraId="0754F3D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（4）与本标段的其他投标人存在控股、管理关系；</w:t>
      </w:r>
    </w:p>
    <w:p w14:paraId="56FEDD4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（5）为本标段前期准备提供设计或咨询服务的法人或其任何附属机构（单位）；</w:t>
      </w:r>
    </w:p>
    <w:p w14:paraId="39D64E19">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（6）为本标段的监理人或代建人或招标代理机构；</w:t>
      </w:r>
    </w:p>
    <w:p w14:paraId="0515213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（7）与本标段的监理人或代建人或招标代理机构同为一个法定代表人；</w:t>
      </w:r>
    </w:p>
    <w:p w14:paraId="05F5565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（8）与本标段的监理人或代建人或招标代理机构存在控股或参股关系；</w:t>
      </w:r>
    </w:p>
    <w:p w14:paraId="151AA189">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（9）被依法取消投标资格，且在处罚期和处罚范围内（以有关行政管理部门的行政处罚决定或司法机关出具的有关法律文书为准）；</w:t>
      </w:r>
    </w:p>
    <w:p w14:paraId="7034DA1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（10）在最近三年内（自投标截止之日向前追溯3年，下同）有骗取中标或严重违约</w:t>
      </w:r>
      <w:r>
        <w:rPr>
          <w:rFonts w:hint="eastAsia" w:ascii="Times New Roman" w:hAnsi="Times New Roman"/>
          <w:smallCaps w:val="0"/>
          <w:color w:val="000000" w:themeColor="text1"/>
          <w:highlight w:val="none"/>
          <w:lang w:val="en-US" w:eastAsia="zh-CN"/>
          <w14:textFill>
            <w14:solidFill>
              <w14:schemeClr w14:val="tx1"/>
            </w14:solidFill>
          </w14:textFill>
        </w:rPr>
        <w:t>或</w:t>
      </w:r>
      <w:r>
        <w:rPr>
          <w:rFonts w:hint="eastAsia" w:ascii="Times New Roman" w:hAnsi="Times New Roman"/>
          <w:smallCaps w:val="0"/>
          <w:color w:val="000000" w:themeColor="text1"/>
          <w:highlight w:val="none"/>
          <w14:textFill>
            <w14:solidFill>
              <w14:schemeClr w14:val="tx1"/>
            </w14:solidFill>
          </w14:textFill>
        </w:rPr>
        <w:t>重大工程质量事故</w:t>
      </w:r>
      <w:r>
        <w:rPr>
          <w:rStyle w:val="28"/>
          <w:rFonts w:hint="eastAsia" w:ascii="Times New Roman" w:hAnsi="Times New Roman"/>
          <w:smallCaps w:val="0"/>
          <w:color w:val="000000" w:themeColor="text1"/>
          <w:highlight w:val="none"/>
          <w14:textFill>
            <w14:solidFill>
              <w14:schemeClr w14:val="tx1"/>
            </w14:solidFill>
          </w14:textFill>
        </w:rPr>
        <w:footnoteReference w:id="37"/>
      </w:r>
      <w:r>
        <w:rPr>
          <w:rFonts w:hint="eastAsia" w:ascii="Times New Roman" w:hAnsi="Times New Roman"/>
          <w:smallCaps w:val="0"/>
          <w:color w:val="000000" w:themeColor="text1"/>
          <w:highlight w:val="none"/>
          <w14:textFill>
            <w14:solidFill>
              <w14:schemeClr w14:val="tx1"/>
            </w14:solidFill>
          </w14:textFill>
        </w:rPr>
        <w:t>或重大生产安全事故</w:t>
      </w:r>
      <w:r>
        <w:rPr>
          <w:rStyle w:val="28"/>
          <w:rFonts w:hint="eastAsia" w:ascii="Times New Roman" w:hAnsi="Times New Roman"/>
          <w:smallCaps w:val="0"/>
          <w:color w:val="000000" w:themeColor="text1"/>
          <w:highlight w:val="none"/>
          <w14:textFill>
            <w14:solidFill>
              <w14:schemeClr w14:val="tx1"/>
            </w14:solidFill>
          </w14:textFill>
        </w:rPr>
        <w:footnoteReference w:id="38"/>
      </w:r>
      <w:r>
        <w:rPr>
          <w:rFonts w:hint="eastAsia" w:ascii="Times New Roman" w:hAnsi="Times New Roman"/>
          <w:smallCaps w:val="0"/>
          <w:color w:val="000000" w:themeColor="text1"/>
          <w:highlight w:val="none"/>
          <w14:textFill>
            <w14:solidFill>
              <w14:schemeClr w14:val="tx1"/>
            </w14:solidFill>
          </w14:textFill>
        </w:rPr>
        <w:t>的（以相关行业主管部门的行政处罚决定或司法机关出具的有关法律文书为准），已完成信用修复的</w:t>
      </w:r>
      <w:r>
        <w:rPr>
          <w:rFonts w:hint="eastAsia" w:ascii="Times New Roman" w:hAnsi="Times New Roman"/>
          <w:smallCaps w:val="0"/>
          <w:color w:val="000000" w:themeColor="text1"/>
          <w:highlight w:val="none"/>
          <w:lang w:eastAsia="zh-CN"/>
          <w14:textFill>
            <w14:solidFill>
              <w14:schemeClr w14:val="tx1"/>
            </w14:solidFill>
          </w14:textFill>
        </w:rPr>
        <w:t>除外</w:t>
      </w:r>
      <w:r>
        <w:rPr>
          <w:rFonts w:hint="eastAsia" w:ascii="Times New Roman" w:hAnsi="Times New Roman"/>
          <w:smallCaps w:val="0"/>
          <w:color w:val="000000" w:themeColor="text1"/>
          <w:highlight w:val="none"/>
          <w14:textFill>
            <w14:solidFill>
              <w14:schemeClr w14:val="tx1"/>
            </w14:solidFill>
          </w14:textFill>
        </w:rPr>
        <w:t>；</w:t>
      </w:r>
    </w:p>
    <w:p w14:paraId="2FAC253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（11）被责令停业，暂扣或吊销执照、安全生产许可证，或吊销资质证书；</w:t>
      </w:r>
    </w:p>
    <w:p w14:paraId="0E35ED6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（12）进入清算程序，或被宣告破产，或其他丧失履约能力的情形；</w:t>
      </w:r>
    </w:p>
    <w:p w14:paraId="7A7E2B6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（13）投标人或其法定代表人、项目经理在</w:t>
      </w:r>
      <w:r>
        <w:rPr>
          <w:rFonts w:hint="eastAsia" w:ascii="Times New Roman" w:hAnsi="Times New Roman"/>
          <w:smallCaps w:val="0"/>
          <w:color w:val="000000" w:themeColor="text1"/>
          <w:highlight w:val="none"/>
          <w:lang w:eastAsia="zh-CN"/>
          <w14:textFill>
            <w14:solidFill>
              <w14:schemeClr w14:val="tx1"/>
            </w14:solidFill>
          </w14:textFill>
        </w:rPr>
        <w:t>最</w:t>
      </w:r>
      <w:r>
        <w:rPr>
          <w:rFonts w:hint="eastAsia" w:ascii="Times New Roman" w:hAnsi="Times New Roman"/>
          <w:smallCaps w:val="0"/>
          <w:color w:val="000000" w:themeColor="text1"/>
          <w:highlight w:val="none"/>
          <w14:textFill>
            <w14:solidFill>
              <w14:schemeClr w14:val="tx1"/>
            </w14:solidFill>
          </w14:textFill>
        </w:rPr>
        <w:t>近三年内有行贿犯罪行为</w:t>
      </w:r>
      <w:r>
        <w:rPr>
          <w:rFonts w:hint="eastAsia" w:ascii="Times New Roman" w:hAnsi="Times New Roman"/>
          <w:smallCaps w:val="0"/>
          <w:color w:val="000000" w:themeColor="text1"/>
          <w:highlight w:val="none"/>
          <w:lang w:eastAsia="zh-CN"/>
          <w14:textFill>
            <w14:solidFill>
              <w14:schemeClr w14:val="tx1"/>
            </w14:solidFill>
          </w14:textFill>
        </w:rPr>
        <w:t>（以检察机关的有关法律文书为准）</w:t>
      </w:r>
      <w:r>
        <w:rPr>
          <w:rFonts w:hint="eastAsia" w:ascii="Times New Roman" w:hAnsi="Times New Roman"/>
          <w:smallCaps w:val="0"/>
          <w:color w:val="000000" w:themeColor="text1"/>
          <w:highlight w:val="none"/>
          <w14:textFill>
            <w14:solidFill>
              <w14:schemeClr w14:val="tx1"/>
            </w14:solidFill>
          </w14:textFill>
        </w:rPr>
        <w:t>；</w:t>
      </w:r>
    </w:p>
    <w:p w14:paraId="3EB872E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（14）投标人须知前附表</w:t>
      </w:r>
      <w:r>
        <w:rPr>
          <w:rFonts w:hint="eastAsia" w:ascii="Times New Roman" w:hAnsi="Times New Roman"/>
          <w:smallCaps w:val="0"/>
          <w:color w:val="000000" w:themeColor="text1"/>
          <w:highlight w:val="none"/>
          <w:lang w:eastAsia="zh-CN"/>
          <w14:textFill>
            <w14:solidFill>
              <w14:schemeClr w14:val="tx1"/>
            </w14:solidFill>
          </w14:textFill>
        </w:rPr>
        <w:t>依法</w:t>
      </w:r>
      <w:r>
        <w:rPr>
          <w:rFonts w:hint="eastAsia" w:ascii="Times New Roman" w:hAnsi="Times New Roman"/>
          <w:smallCaps w:val="0"/>
          <w:color w:val="000000" w:themeColor="text1"/>
          <w:highlight w:val="none"/>
          <w14:textFill>
            <w14:solidFill>
              <w14:schemeClr w14:val="tx1"/>
            </w14:solidFill>
          </w14:textFill>
        </w:rPr>
        <w:t>规定的其他情形；</w:t>
      </w:r>
    </w:p>
    <w:p w14:paraId="2CDCEF2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（15）法律法规规定的其他禁止投标的情形。</w:t>
      </w:r>
    </w:p>
    <w:p w14:paraId="7296FE5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1.4.4 投标人（包括联合体各成员）不得存在下列不良状况或不良信用记录</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1D70BFC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221" w:name="_Toc179632552"/>
      <w:bookmarkStart w:id="222" w:name="_Toc144974503"/>
      <w:bookmarkStart w:id="223" w:name="_Toc152042311"/>
      <w:bookmarkStart w:id="224" w:name="_Toc152045535"/>
      <w:r>
        <w:rPr>
          <w:rFonts w:hint="eastAsia" w:ascii="Times New Roman" w:hAnsi="Times New Roman"/>
          <w:smallCaps w:val="0"/>
          <w:color w:val="000000" w:themeColor="text1"/>
          <w:highlight w:val="none"/>
          <w14:textFill>
            <w14:solidFill>
              <w14:schemeClr w14:val="tx1"/>
            </w14:solidFill>
          </w14:textFill>
        </w:rPr>
        <w:t>（1）在国家企业信用信息公示系统（http</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//www.gsxt.gov.cn/）中被列入严重违法失信企业名单；</w:t>
      </w:r>
    </w:p>
    <w:p w14:paraId="13CF1FE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（2）在“信用中国”网站（http</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//www.creditchina.gov.cn/）中被列入失信被执行人名单；</w:t>
      </w:r>
    </w:p>
    <w:p w14:paraId="636F7D7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（3）在“信用中国”网站（http</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//www.creditchina.gov.cn/）中被列入重大税收违法失信主体名单；</w:t>
      </w:r>
    </w:p>
    <w:p w14:paraId="23F463D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（4）在“信用中国”网站（http</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//www.creditchina.gov.cn/）中被列入拖欠农民工工资失信联合惩戒对象名单；</w:t>
      </w:r>
    </w:p>
    <w:p w14:paraId="3EECD5A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lang w:eastAsia="zh-CN"/>
          <w14:textFill>
            <w14:solidFill>
              <w14:schemeClr w14:val="tx1"/>
            </w14:solidFill>
          </w14:textFill>
        </w:rPr>
        <w:t>）在</w:t>
      </w:r>
      <w:r>
        <w:rPr>
          <w:rFonts w:hint="eastAsia" w:ascii="Times New Roman" w:hAnsi="Times New Roman"/>
          <w:smallCaps w:val="0"/>
          <w:color w:val="000000" w:themeColor="text1"/>
          <w:highlight w:val="none"/>
          <w14:textFill>
            <w14:solidFill>
              <w14:schemeClr w14:val="tx1"/>
            </w14:solidFill>
          </w14:textFill>
        </w:rPr>
        <w:t>“信用中国”网站（http</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//www.creditchina.gov.cn/）中</w:t>
      </w:r>
      <w:r>
        <w:rPr>
          <w:rFonts w:hint="eastAsia" w:ascii="Times New Roman" w:hAnsi="Times New Roman"/>
          <w:smallCaps w:val="0"/>
          <w:color w:val="000000" w:themeColor="text1"/>
          <w:highlight w:val="none"/>
          <w:lang w:eastAsia="zh-CN"/>
          <w14:textFill>
            <w14:solidFill>
              <w14:schemeClr w14:val="tx1"/>
            </w14:solidFill>
          </w14:textFill>
        </w:rPr>
        <w:t>被列入安全生产严重失信主体名单；</w:t>
      </w:r>
    </w:p>
    <w:p w14:paraId="6B9E634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lang w:val="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6</w:t>
      </w:r>
      <w:r>
        <w:rPr>
          <w:rFonts w:hint="eastAsia" w:ascii="Times New Roman" w:hAnsi="Times New Roman"/>
          <w:smallCaps w:val="0"/>
          <w:color w:val="000000" w:themeColor="text1"/>
          <w:highlight w:val="none"/>
          <w14:textFill>
            <w14:solidFill>
              <w14:schemeClr w14:val="tx1"/>
            </w14:solidFill>
          </w14:textFill>
        </w:rPr>
        <w:t>）投标人须知前附表规定的其他情形。</w:t>
      </w:r>
    </w:p>
    <w:p w14:paraId="5D60D467">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25" w:name="_Toc14362"/>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1.5 费用承担</w:t>
      </w:r>
      <w:bookmarkEnd w:id="221"/>
      <w:bookmarkEnd w:id="222"/>
      <w:bookmarkEnd w:id="223"/>
      <w:bookmarkEnd w:id="224"/>
    </w:p>
    <w:bookmarkEnd w:id="225"/>
    <w:p w14:paraId="4F7E917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投标人准备和参加投标活动发生的费用自理。</w:t>
      </w:r>
    </w:p>
    <w:p w14:paraId="2AC26837">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26" w:name="_Toc179632553"/>
      <w:bookmarkStart w:id="227" w:name="_Toc152042312"/>
      <w:bookmarkStart w:id="228" w:name="_Toc144974504"/>
      <w:bookmarkStart w:id="229" w:name="_Toc152045536"/>
      <w:bookmarkStart w:id="230" w:name="_Toc30323"/>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1.6 保密</w:t>
      </w:r>
      <w:bookmarkEnd w:id="226"/>
      <w:bookmarkEnd w:id="227"/>
      <w:bookmarkEnd w:id="228"/>
      <w:bookmarkEnd w:id="229"/>
    </w:p>
    <w:bookmarkEnd w:id="230"/>
    <w:p w14:paraId="0083226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参与招标投标活动的各方应对招标文件和投标文件中的商业和技术等秘密保密，</w:t>
      </w:r>
      <w:r>
        <w:rPr>
          <w:rFonts w:hint="eastAsia" w:ascii="Times New Roman" w:hAnsi="Times New Roman"/>
          <w:smallCaps w:val="0"/>
          <w:color w:val="000000" w:themeColor="text1"/>
          <w:highlight w:val="none"/>
          <w14:textFill>
            <w14:solidFill>
              <w14:schemeClr w14:val="tx1"/>
            </w14:solidFill>
          </w14:textFill>
        </w:rPr>
        <w:t>否则应承担相应的法律责任。</w:t>
      </w:r>
    </w:p>
    <w:p w14:paraId="7C1B0477">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31" w:name="_Toc144974505"/>
      <w:bookmarkStart w:id="232" w:name="_Toc179632554"/>
      <w:bookmarkStart w:id="233" w:name="_Toc152045537"/>
      <w:bookmarkStart w:id="234" w:name="_Toc152042313"/>
      <w:bookmarkStart w:id="235" w:name="_Toc27678"/>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1.7 语言</w:t>
      </w:r>
      <w:bookmarkEnd w:id="231"/>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文字</w:t>
      </w:r>
      <w:bookmarkEnd w:id="232"/>
      <w:bookmarkEnd w:id="233"/>
      <w:bookmarkEnd w:id="234"/>
    </w:p>
    <w:bookmarkEnd w:id="235"/>
    <w:p w14:paraId="1095568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招标投标文件使用的语言文字为中文。专用术语使用外文的，应附有中文注释。</w:t>
      </w:r>
    </w:p>
    <w:p w14:paraId="072AD041">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36" w:name="_Toc152042314"/>
      <w:bookmarkStart w:id="237" w:name="_Toc144974506"/>
      <w:bookmarkStart w:id="238" w:name="_Toc179632555"/>
      <w:bookmarkStart w:id="239" w:name="_Toc152045538"/>
      <w:bookmarkStart w:id="240" w:name="_Toc28774"/>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1.8 计量单位</w:t>
      </w:r>
      <w:bookmarkEnd w:id="236"/>
      <w:bookmarkEnd w:id="237"/>
      <w:bookmarkEnd w:id="238"/>
      <w:bookmarkEnd w:id="239"/>
    </w:p>
    <w:bookmarkEnd w:id="240"/>
    <w:p w14:paraId="3FF6010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所有计量均采用中华人民共和国法定计量单位。</w:t>
      </w:r>
    </w:p>
    <w:p w14:paraId="01EBE3D8">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41" w:name="_Toc152045539"/>
      <w:bookmarkStart w:id="242" w:name="_Toc152042315"/>
      <w:bookmarkStart w:id="243" w:name="_Toc144974507"/>
      <w:bookmarkStart w:id="244" w:name="_Toc179632556"/>
      <w:bookmarkStart w:id="245" w:name="_Toc3423"/>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1.9 踏勘现场</w:t>
      </w:r>
      <w:bookmarkEnd w:id="241"/>
      <w:bookmarkEnd w:id="242"/>
      <w:bookmarkEnd w:id="243"/>
      <w:bookmarkEnd w:id="244"/>
    </w:p>
    <w:bookmarkEnd w:id="245"/>
    <w:p w14:paraId="6425153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1.9.1 投标人须知前附表规定组织踏勘现场的，招标人按投标人须知前附表规定的时间、地点组织投标人踏勘项目现场。部分投标人未按时参加踏勘现场的，不影响踏勘现场的正常进行。招标人不得组织单个或部分投标人踏勘项目现场。</w:t>
      </w:r>
    </w:p>
    <w:p w14:paraId="4D1E0F4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1.9.2 投标人踏勘现场发生的费用自理。</w:t>
      </w:r>
    </w:p>
    <w:p w14:paraId="2D6ADB3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1.9.3 除招标人的原因外，投标人自行负责在踏勘现场中所发生的人员伤亡和财产损失。</w:t>
      </w:r>
    </w:p>
    <w:p w14:paraId="2076E6A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1.9.4 招标人在踏勘现场中介绍的工程场地和相关的周边环境情况，供投标人在编制投标文件时参考，招标人不对投标人据此作出的判断和决策负责。</w:t>
      </w:r>
    </w:p>
    <w:p w14:paraId="7B52698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1.9.5 无论</w:t>
      </w:r>
      <w:r>
        <w:rPr>
          <w:rFonts w:hint="eastAsia" w:ascii="Times New Roman" w:hAnsi="Times New Roman"/>
          <w:smallCaps w:val="0"/>
          <w:color w:val="000000" w:themeColor="text1"/>
          <w:highlight w:val="none"/>
          <w:lang w:val="en-US" w:eastAsia="zh-CN"/>
          <w14:textFill>
            <w14:solidFill>
              <w14:schemeClr w14:val="tx1"/>
            </w14:solidFill>
          </w14:textFill>
        </w:rPr>
        <w:t>招标人是否组织</w:t>
      </w:r>
      <w:r>
        <w:rPr>
          <w:rFonts w:hint="eastAsia" w:ascii="Times New Roman" w:hAnsi="Times New Roman"/>
          <w:smallCaps w:val="0"/>
          <w:color w:val="000000" w:themeColor="text1"/>
          <w:highlight w:val="none"/>
          <w14:textFill>
            <w14:solidFill>
              <w14:schemeClr w14:val="tx1"/>
            </w14:solidFill>
          </w14:textFill>
        </w:rPr>
        <w:t>现场实地踏勘，中标后签订合同时和履约过程中，投标人不得以不完全了解现场情况等为由，提出任何形式的增加工程造价或索赔的要求。</w:t>
      </w:r>
    </w:p>
    <w:p w14:paraId="16A3EE05">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46" w:name="_Toc152042316"/>
      <w:bookmarkStart w:id="247" w:name="_Toc144974508"/>
      <w:bookmarkStart w:id="248" w:name="_Toc152045540"/>
      <w:bookmarkStart w:id="249" w:name="_Toc179632557"/>
      <w:bookmarkStart w:id="250" w:name="_Toc27638"/>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1.10 投标预备会</w:t>
      </w:r>
      <w:bookmarkEnd w:id="246"/>
      <w:bookmarkEnd w:id="247"/>
      <w:bookmarkEnd w:id="248"/>
      <w:bookmarkEnd w:id="249"/>
    </w:p>
    <w:bookmarkEnd w:id="250"/>
    <w:p w14:paraId="5641FC45">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1.10.1 投标人须知前附表规定召开投标预备会的，招标人按投标人须知前附表规定的时间和地点召开投标预备会，澄清投标人提出的问题。</w:t>
      </w:r>
    </w:p>
    <w:p w14:paraId="5ED2D0E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1.10.2 投标人应按投标人须知前附表规定的时间和形式将提出的问题送达招标人，以便招标人在会议期间澄清。</w:t>
      </w:r>
    </w:p>
    <w:p w14:paraId="30251AF9">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1.10.3 投标预备会后，招标人将对投标人所提问题的澄清，按本章第2.2款规定的时间和形式通知所有购买招标文件的投标人。该澄清内容为招标文件的组成部分。</w:t>
      </w:r>
    </w:p>
    <w:p w14:paraId="3993D70A">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51" w:name="_Toc144974509"/>
      <w:bookmarkStart w:id="252" w:name="_Toc152045541"/>
      <w:bookmarkStart w:id="253" w:name="_Toc179632558"/>
      <w:bookmarkStart w:id="254" w:name="_Toc152042317"/>
      <w:bookmarkStart w:id="255" w:name="_Toc22241"/>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1.11 分包</w:t>
      </w:r>
      <w:bookmarkEnd w:id="251"/>
      <w:bookmarkEnd w:id="252"/>
      <w:bookmarkEnd w:id="253"/>
      <w:bookmarkEnd w:id="254"/>
    </w:p>
    <w:bookmarkEnd w:id="255"/>
    <w:p w14:paraId="1397DA2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1.11.1 投标人拟在中标后将中标项目的部分非主体、非关键性工作进行分包的，应符合以下规定</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0D2C17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（1）分包内容要求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招标人允许分包或不允许分包的专业工程（如有）应在投标人须知前附表中载明；</w:t>
      </w:r>
    </w:p>
    <w:p w14:paraId="5A7E8F6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（2）接受分包的第三人资格要求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分包人的资格能力应与其分包工程的标准和规模相适应，且具备投标人须知前附表中规定的资格条件；</w:t>
      </w:r>
    </w:p>
    <w:p w14:paraId="56E60BA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（3）其他要求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投标人如有分包计划，应按第八章“投标文件格式”的要求填写“拟分包项目情况表”，明确拟分包的工程及规模，且投标人中标后的分包应满足合同条款的相关要求。</w:t>
      </w:r>
    </w:p>
    <w:p w14:paraId="24AC9A8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1.11.2 中标人不得向他人转让中标项目，接受分包的人不得再次分包。中标人应就分包项目向招标人负责，接受分包的人就分包项目承担连带责任。</w:t>
      </w:r>
    </w:p>
    <w:p w14:paraId="283BA93C">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56" w:name="_Toc179632559"/>
      <w:bookmarkStart w:id="257" w:name="_Toc19583"/>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1.12 响应和偏离</w:t>
      </w:r>
      <w:bookmarkEnd w:id="256"/>
    </w:p>
    <w:bookmarkEnd w:id="257"/>
    <w:p w14:paraId="09BA0F1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1.12.1 投标文件偏离招标文件某些要求，视为投标文件存在偏差。偏差包括重大偏差和细微偏差。</w:t>
      </w:r>
    </w:p>
    <w:p w14:paraId="7A4C20D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1.12.2 投标文件应对招标文件的实质性要求和条件作出满足性或更有利于招标人的响应，否则，视为投标文件存在重大偏差，投标人的投标将被否决。</w:t>
      </w:r>
    </w:p>
    <w:p w14:paraId="07797AD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投标文件存在第三章“评标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”中所列任一否决投标情形的，均属于存在重大偏差。</w:t>
      </w:r>
    </w:p>
    <w:p w14:paraId="3A79D5C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1.12.3 投标文件中的下列偏差为细微偏差</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33044DC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（1）在按照第三章“评标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”的规定对投标价进行算术性错误修正及其他错误修正后，最终投标报价未超过最高投标限价（如有）或未被否决投标的情况下，出现第三章“评标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”规定的算术性错误和投标报价的其他错误；</w:t>
      </w:r>
    </w:p>
    <w:p w14:paraId="284CEF4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（2）投标文件个别文字有遗漏错误等不影响投标文件实质性内容的偏差。</w:t>
      </w:r>
    </w:p>
    <w:p w14:paraId="76ED89F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1.12.4 评标委员会对投标文件中的细微偏差按如下规定处理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p>
    <w:p w14:paraId="637E22F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（1）对于本章第1.12.3项（1）目所述的细微偏差，按照第三章“评标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”的规定予以修正并要求投标人进行澄清；</w:t>
      </w:r>
    </w:p>
    <w:p w14:paraId="5B88358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（2）对于本章第1.12.3项（2）目所述的细微偏差，可要求投标人对细微偏差进行澄清。</w:t>
      </w:r>
    </w:p>
    <w:p w14:paraId="51956AFF">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258" w:name="_Toc4489"/>
      <w:bookmarkStart w:id="259" w:name="_Toc144974510"/>
      <w:bookmarkStart w:id="260" w:name="_Toc152042318"/>
      <w:bookmarkStart w:id="261" w:name="_Toc1288"/>
      <w:bookmarkStart w:id="262" w:name="_Toc38879325"/>
      <w:bookmarkStart w:id="263" w:name="_Toc152045542"/>
      <w:bookmarkStart w:id="264" w:name="_Toc179632560"/>
      <w:bookmarkStart w:id="265" w:name="_Toc10547"/>
      <w:r>
        <w:rPr>
          <w:rFonts w:hint="eastAsia" w:ascii="Times New Roman" w:hAnsi="Times New Roman"/>
          <w:smallCaps w:val="0"/>
          <w:color w:val="000000" w:themeColor="text1"/>
          <w:highlight w:val="none"/>
          <w14:textFill>
            <w14:solidFill>
              <w14:schemeClr w14:val="tx1"/>
            </w14:solidFill>
          </w14:textFill>
        </w:rPr>
        <w:t>2. 招标文件</w:t>
      </w:r>
      <w:bookmarkEnd w:id="258"/>
      <w:bookmarkEnd w:id="259"/>
      <w:bookmarkEnd w:id="260"/>
      <w:bookmarkEnd w:id="261"/>
      <w:bookmarkEnd w:id="262"/>
      <w:bookmarkEnd w:id="263"/>
      <w:bookmarkEnd w:id="264"/>
      <w:bookmarkEnd w:id="265"/>
    </w:p>
    <w:p w14:paraId="1970EE65">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66" w:name="_Toc152042319"/>
      <w:bookmarkStart w:id="267" w:name="_Toc179632561"/>
      <w:bookmarkStart w:id="268" w:name="_Toc144974511"/>
      <w:bookmarkStart w:id="269" w:name="_Toc152045543"/>
      <w:bookmarkStart w:id="270" w:name="_Toc30811"/>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2.1 招标文件的组成</w:t>
      </w:r>
      <w:bookmarkEnd w:id="266"/>
      <w:bookmarkEnd w:id="267"/>
      <w:bookmarkEnd w:id="268"/>
      <w:bookmarkEnd w:id="269"/>
    </w:p>
    <w:bookmarkEnd w:id="270"/>
    <w:p w14:paraId="3E5586B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本招标文件包括</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B721DA5">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招标公告</w:t>
      </w:r>
      <w:r>
        <w:rPr>
          <w:rFonts w:hint="eastAsia" w:ascii="Times New Roman" w:hAnsi="Times New Roman"/>
          <w:smallCaps w:val="0"/>
          <w:color w:val="000000" w:themeColor="text1"/>
          <w:highlight w:val="none"/>
          <w:lang w:eastAsia="zh-CN"/>
          <w14:textFill>
            <w14:solidFill>
              <w14:schemeClr w14:val="tx1"/>
            </w14:solidFill>
          </w14:textFill>
        </w:rPr>
        <w:t>或</w:t>
      </w:r>
      <w:r>
        <w:rPr>
          <w:rFonts w:hint="eastAsia" w:ascii="Times New Roman" w:hAnsi="Times New Roman"/>
          <w:smallCaps w:val="0"/>
          <w:color w:val="000000" w:themeColor="text1"/>
          <w:highlight w:val="none"/>
          <w:lang w:val="en-US" w:eastAsia="zh-CN"/>
          <w14:textFill>
            <w14:solidFill>
              <w14:schemeClr w14:val="tx1"/>
            </w14:solidFill>
          </w14:textFill>
        </w:rPr>
        <w:t>投标邀请书（适用于邀请招标）</w:t>
      </w:r>
      <w:r>
        <w:rPr>
          <w:rFonts w:hint="eastAsia" w:ascii="Times New Roman" w:hAnsi="Times New Roman"/>
          <w:smallCaps w:val="0"/>
          <w:color w:val="000000" w:themeColor="text1"/>
          <w:highlight w:val="none"/>
          <w:lang w:eastAsia="zh-CN"/>
          <w14:textFill>
            <w14:solidFill>
              <w14:schemeClr w14:val="tx1"/>
            </w14:solidFill>
          </w14:textFill>
        </w:rPr>
        <w:t>；</w:t>
      </w:r>
    </w:p>
    <w:p w14:paraId="64998AD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投标人须知；</w:t>
      </w:r>
    </w:p>
    <w:p w14:paraId="58805AA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3</w:t>
      </w:r>
      <w:r>
        <w:rPr>
          <w:rFonts w:hint="eastAsia" w:ascii="Times New Roman" w:hAnsi="Times New Roman"/>
          <w:smallCaps w:val="0"/>
          <w:color w:val="000000" w:themeColor="text1"/>
          <w:highlight w:val="none"/>
          <w14:textFill>
            <w14:solidFill>
              <w14:schemeClr w14:val="tx1"/>
            </w14:solidFill>
          </w14:textFill>
        </w:rPr>
        <w:t>）评标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w:t>
      </w:r>
    </w:p>
    <w:p w14:paraId="66E7E50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14:textFill>
            <w14:solidFill>
              <w14:schemeClr w14:val="tx1"/>
            </w14:solidFill>
          </w14:textFill>
        </w:rPr>
        <w:t>）合同条款及格式；</w:t>
      </w:r>
    </w:p>
    <w:p w14:paraId="6C9CCF8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 xml:space="preserve">）工程量清单； </w:t>
      </w:r>
    </w:p>
    <w:p w14:paraId="4A33555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6</w:t>
      </w:r>
      <w:r>
        <w:rPr>
          <w:rFonts w:hint="eastAsia" w:ascii="Times New Roman" w:hAnsi="Times New Roman"/>
          <w:smallCaps w:val="0"/>
          <w:color w:val="000000" w:themeColor="text1"/>
          <w:highlight w:val="none"/>
          <w14:textFill>
            <w14:solidFill>
              <w14:schemeClr w14:val="tx1"/>
            </w14:solidFill>
          </w14:textFill>
        </w:rPr>
        <w:t xml:space="preserve">）图纸； </w:t>
      </w:r>
    </w:p>
    <w:p w14:paraId="3F7E1CA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7</w:t>
      </w:r>
      <w:r>
        <w:rPr>
          <w:rFonts w:hint="eastAsia" w:ascii="Times New Roman" w:hAnsi="Times New Roman"/>
          <w:smallCaps w:val="0"/>
          <w:color w:val="000000" w:themeColor="text1"/>
          <w:highlight w:val="none"/>
          <w14:textFill>
            <w14:solidFill>
              <w14:schemeClr w14:val="tx1"/>
            </w14:solidFill>
          </w14:textFill>
        </w:rPr>
        <w:t xml:space="preserve">）技术标准和要求； </w:t>
      </w:r>
    </w:p>
    <w:p w14:paraId="522A56E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14:textFill>
            <w14:solidFill>
              <w14:schemeClr w14:val="tx1"/>
            </w14:solidFill>
          </w14:textFill>
        </w:rPr>
        <w:t>）投标文件格式；</w:t>
      </w:r>
    </w:p>
    <w:p w14:paraId="02D4B01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）投标人须知前附表规定的其他资料。</w:t>
      </w:r>
    </w:p>
    <w:p w14:paraId="0822B7D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根据本章第1.10款、第2.2款和第2.3款对招标文件所作的澄清、修改，构成招标文件的组成部分。</w:t>
      </w:r>
    </w:p>
    <w:p w14:paraId="7FB005E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当招标文件、招标文件的澄清或修改等在同一内容的表述上不一致时，以最后发出的文件为准。</w:t>
      </w:r>
    </w:p>
    <w:p w14:paraId="4183852E">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71" w:name="_Toc152045544"/>
      <w:bookmarkStart w:id="272" w:name="_Toc144974512"/>
      <w:bookmarkStart w:id="273" w:name="_Toc152042320"/>
      <w:bookmarkStart w:id="274" w:name="_Toc179632562"/>
      <w:bookmarkStart w:id="275" w:name="_Toc16712"/>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2.2 招标文件的澄清</w:t>
      </w:r>
      <w:bookmarkEnd w:id="271"/>
      <w:bookmarkEnd w:id="272"/>
      <w:bookmarkEnd w:id="273"/>
      <w:bookmarkEnd w:id="274"/>
    </w:p>
    <w:bookmarkEnd w:id="275"/>
    <w:p w14:paraId="4426A45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1F21F21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 招标文件的澄清以投标人须知前附表规定的形式发给所有购买招标文件的投标人，但不指明澄清问题的来源。澄清发出的时间距本章第4.2.1项规定的投标截止时间不足15日，且澄清内容可能影响投标文件编制的，将相应</w:t>
      </w:r>
      <w:r>
        <w:rPr>
          <w:rFonts w:hint="eastAsia" w:ascii="Times New Roman" w:hAnsi="Times New Roman"/>
          <w:smallCaps w:val="0"/>
          <w:color w:val="000000" w:themeColor="text1"/>
          <w:highlight w:val="none"/>
          <w:lang w:val="en-US" w:eastAsia="zh-CN"/>
          <w14:textFill>
            <w14:solidFill>
              <w14:schemeClr w14:val="tx1"/>
            </w14:solidFill>
          </w14:textFill>
        </w:rPr>
        <w:t>顺</w:t>
      </w:r>
      <w:r>
        <w:rPr>
          <w:rFonts w:hint="eastAsia" w:ascii="Times New Roman" w:hAnsi="Times New Roman"/>
          <w:smallCaps w:val="0"/>
          <w:color w:val="000000" w:themeColor="text1"/>
          <w:highlight w:val="none"/>
          <w14:textFill>
            <w14:solidFill>
              <w14:schemeClr w14:val="tx1"/>
            </w14:solidFill>
          </w14:textFill>
        </w:rPr>
        <w:t>延投标截止时间。</w:t>
      </w:r>
    </w:p>
    <w:p w14:paraId="3E430D2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lang w:val="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2.2.3 投标人在收到澄清后，应按投标人须知前附表规定的时间和形式通知招标人，确认已收到该澄清。</w:t>
      </w:r>
    </w:p>
    <w:p w14:paraId="343F222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2.2.4 除非招标人认为确有必要答复，否则，招标人</w:t>
      </w:r>
      <w:r>
        <w:rPr>
          <w:rFonts w:hint="eastAsia" w:ascii="Times New Roman" w:hAnsi="Times New Roman"/>
          <w:smallCaps w:val="0"/>
          <w:color w:val="000000" w:themeColor="text1"/>
          <w:highlight w:val="none"/>
          <w:lang w:eastAsia="zh-CN"/>
          <w14:textFill>
            <w14:solidFill>
              <w14:schemeClr w14:val="tx1"/>
            </w14:solidFill>
          </w14:textFill>
        </w:rPr>
        <w:t>无需</w:t>
      </w:r>
      <w:r>
        <w:rPr>
          <w:rFonts w:hint="eastAsia" w:ascii="Times New Roman" w:hAnsi="Times New Roman"/>
          <w:smallCaps w:val="0"/>
          <w:color w:val="000000" w:themeColor="text1"/>
          <w:highlight w:val="none"/>
          <w14:textFill>
            <w14:solidFill>
              <w14:schemeClr w14:val="tx1"/>
            </w14:solidFill>
          </w14:textFill>
        </w:rPr>
        <w:t>回复投标人在本章第2.2.1项规定的时间后提出的任何澄清要求。</w:t>
      </w:r>
    </w:p>
    <w:p w14:paraId="3D10C366">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76" w:name="_Toc144974513"/>
      <w:bookmarkStart w:id="277" w:name="_Toc152045545"/>
      <w:bookmarkStart w:id="278" w:name="_Toc179632563"/>
      <w:bookmarkStart w:id="279" w:name="_Toc152042321"/>
      <w:bookmarkStart w:id="280" w:name="_Toc20674"/>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2.3 招标文件的修改</w:t>
      </w:r>
      <w:bookmarkEnd w:id="276"/>
      <w:bookmarkEnd w:id="277"/>
      <w:bookmarkEnd w:id="278"/>
      <w:bookmarkEnd w:id="279"/>
    </w:p>
    <w:bookmarkEnd w:id="280"/>
    <w:p w14:paraId="766596A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2.3.1 招标人以投标人须知前附表规定的形式修改招标文件，并通知所有已购买招标文件的投标人。修改招标文件的时间距本章第4.2.1项规定的投标截止时间不足15日，且修改内容可能影响投标文件编制的，将相应</w:t>
      </w:r>
      <w:r>
        <w:rPr>
          <w:rFonts w:hint="eastAsia" w:ascii="Times New Roman" w:hAnsi="Times New Roman"/>
          <w:smallCaps w:val="0"/>
          <w:color w:val="000000" w:themeColor="text1"/>
          <w:highlight w:val="none"/>
          <w:lang w:val="en-US" w:eastAsia="zh-CN"/>
          <w14:textFill>
            <w14:solidFill>
              <w14:schemeClr w14:val="tx1"/>
            </w14:solidFill>
          </w14:textFill>
        </w:rPr>
        <w:t>顺</w:t>
      </w:r>
      <w:r>
        <w:rPr>
          <w:rFonts w:hint="eastAsia" w:ascii="Times New Roman" w:hAnsi="Times New Roman"/>
          <w:smallCaps w:val="0"/>
          <w:color w:val="000000" w:themeColor="text1"/>
          <w:highlight w:val="none"/>
          <w14:textFill>
            <w14:solidFill>
              <w14:schemeClr w14:val="tx1"/>
            </w14:solidFill>
          </w14:textFill>
        </w:rPr>
        <w:t>延投标截止时间。</w:t>
      </w:r>
    </w:p>
    <w:p w14:paraId="59C7FB8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2.3.2 投标人收到修改内容后，应按投标人须知前附表规定的时间和形式通知招标人，确认已收到该修改。</w:t>
      </w:r>
    </w:p>
    <w:p w14:paraId="40E18348">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81" w:name="_Toc31550"/>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2.4 招标文件的异议</w:t>
      </w:r>
    </w:p>
    <w:bookmarkEnd w:id="281"/>
    <w:p w14:paraId="15FB9CA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投标人或其他利害关系人对招标文件有异议的，应在投标截止时间10日前以书面形式提出。招标人将在收到异议之日起3日内作出答复；作出答复前，将暂停招标投标活动。</w:t>
      </w:r>
    </w:p>
    <w:p w14:paraId="6263625A">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282" w:name="_Toc27134"/>
      <w:bookmarkStart w:id="283" w:name="_Toc179632564"/>
      <w:bookmarkStart w:id="284" w:name="_Toc152042322"/>
      <w:bookmarkStart w:id="285" w:name="_Toc9493"/>
      <w:bookmarkStart w:id="286" w:name="_Toc144974514"/>
      <w:bookmarkStart w:id="287" w:name="_Toc152045546"/>
      <w:bookmarkStart w:id="288" w:name="_Toc27738"/>
      <w:bookmarkStart w:id="289" w:name="_Toc38879326"/>
      <w:r>
        <w:rPr>
          <w:rFonts w:hint="eastAsia" w:ascii="Times New Roman" w:hAnsi="Times New Roman"/>
          <w:smallCaps w:val="0"/>
          <w:color w:val="000000" w:themeColor="text1"/>
          <w:highlight w:val="none"/>
          <w14:textFill>
            <w14:solidFill>
              <w14:schemeClr w14:val="tx1"/>
            </w14:solidFill>
          </w14:textFill>
        </w:rPr>
        <w:t>3. 投标文件</w:t>
      </w:r>
      <w:bookmarkEnd w:id="282"/>
      <w:bookmarkEnd w:id="283"/>
      <w:bookmarkEnd w:id="284"/>
      <w:bookmarkEnd w:id="285"/>
      <w:bookmarkEnd w:id="286"/>
      <w:bookmarkEnd w:id="287"/>
      <w:bookmarkEnd w:id="288"/>
      <w:bookmarkEnd w:id="289"/>
    </w:p>
    <w:p w14:paraId="6C3BF156">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90" w:name="_Toc144974515"/>
      <w:bookmarkStart w:id="291" w:name="_Toc179632565"/>
      <w:bookmarkStart w:id="292" w:name="_Toc152045547"/>
      <w:bookmarkStart w:id="293" w:name="_Toc152042323"/>
      <w:bookmarkStart w:id="294" w:name="_Toc10324"/>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3.1 投标文件的组成</w:t>
      </w:r>
      <w:bookmarkEnd w:id="290"/>
      <w:bookmarkEnd w:id="291"/>
      <w:bookmarkEnd w:id="292"/>
      <w:bookmarkEnd w:id="293"/>
    </w:p>
    <w:bookmarkEnd w:id="294"/>
    <w:p w14:paraId="6C1A1CD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3.1.1 投标文件应包括下列内容</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1F281D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33004C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（1）投标函；</w:t>
      </w:r>
    </w:p>
    <w:p w14:paraId="2D543AB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（2）法定代表人身份证明或授权委托书；</w:t>
      </w:r>
    </w:p>
    <w:p w14:paraId="5B6D4FA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（3）联合体协议书；</w:t>
      </w:r>
    </w:p>
    <w:p w14:paraId="5F26125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（4）投标保证金；</w:t>
      </w:r>
    </w:p>
    <w:p w14:paraId="2822B39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（5）项目管理机构；</w:t>
      </w:r>
    </w:p>
    <w:p w14:paraId="18C7FC4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（6）拟分包项目情况表；</w:t>
      </w:r>
    </w:p>
    <w:p w14:paraId="22F7205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（7）资格审查资料；</w:t>
      </w:r>
    </w:p>
    <w:p w14:paraId="23A326DA">
      <w:pPr>
        <w:pStyle w:val="79"/>
        <w:pageBreakBefore w:val="0"/>
        <w:widowControl w:val="0"/>
        <w:kinsoku/>
        <w:wordWrap w:val="0"/>
        <w:overflowPunct/>
        <w:topLinePunct w:val="0"/>
        <w:autoSpaceDE/>
        <w:autoSpaceDN/>
        <w:bidi w:val="0"/>
        <w:spacing w:line="400" w:lineRule="exact"/>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商务文件详细评审资料；</w:t>
      </w:r>
    </w:p>
    <w:p w14:paraId="54FB408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）其他资料。</w:t>
      </w:r>
    </w:p>
    <w:p w14:paraId="3BAAD70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报价文件</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17E914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（1）投标函（含报价）；</w:t>
      </w:r>
    </w:p>
    <w:p w14:paraId="72821825">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（2）工程量清单报价书</w:t>
      </w:r>
      <w:r>
        <w:rPr>
          <w:rFonts w:hint="eastAsia" w:ascii="Times New Roman" w:hAnsi="Times New Roman"/>
          <w:smallCaps w:val="0"/>
          <w:color w:val="000000" w:themeColor="text1"/>
          <w:highlight w:val="none"/>
          <w:lang w:eastAsia="zh-CN"/>
          <w14:textFill>
            <w14:solidFill>
              <w14:schemeClr w14:val="tx1"/>
            </w14:solidFill>
          </w14:textFill>
        </w:rPr>
        <w:t>；</w:t>
      </w:r>
    </w:p>
    <w:p w14:paraId="2FD4E6F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（3）其他资料。</w:t>
      </w:r>
    </w:p>
    <w:p w14:paraId="3BBEE9A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AB3A6B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（1）施工组织设计；</w:t>
      </w:r>
    </w:p>
    <w:p w14:paraId="588ECFA1">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（2）新材料、新工艺、新技术应用（如有）；</w:t>
      </w:r>
    </w:p>
    <w:p w14:paraId="7EDA3A3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（3）其他内容。</w:t>
      </w:r>
    </w:p>
    <w:p w14:paraId="37518C2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3.1.2 投标人须知前附表规定不接受联合体投标的，或投标人没有组成联合体的，投标文件不包括本章第3.1.1（3）目所指的联合体协议书。</w:t>
      </w:r>
    </w:p>
    <w:p w14:paraId="5565E4D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3.1.3 投标人须知前附表未要求提交投标保证金的，投标文件不包括本章第3.1.1（4）目所指的投标保证金。</w:t>
      </w:r>
    </w:p>
    <w:p w14:paraId="04B72F36">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295" w:name="_Toc152045548"/>
      <w:bookmarkStart w:id="296" w:name="_Toc152042324"/>
      <w:bookmarkStart w:id="297" w:name="_Toc144974516"/>
      <w:bookmarkStart w:id="298" w:name="_Toc179632566"/>
      <w:bookmarkStart w:id="299" w:name="_Toc3584"/>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3.2 投标报价</w:t>
      </w:r>
      <w:bookmarkEnd w:id="295"/>
      <w:bookmarkEnd w:id="296"/>
      <w:bookmarkEnd w:id="297"/>
      <w:bookmarkEnd w:id="298"/>
    </w:p>
    <w:bookmarkEnd w:id="299"/>
    <w:p w14:paraId="580E421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3.2.1 投标报价应包括国家规定的增值税税金，除投标人须知前附表另有规定外，增值税税金按一般计税方法计算。投标人应按第八章“投标文件格式”的要求在投标函中进行报价并填写工程量清单相应表格。</w:t>
      </w:r>
    </w:p>
    <w:p w14:paraId="52FA64E1">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3.2.2 投标人应充分了解本项目的总体情况以及影响投标报价的其他要素。</w:t>
      </w:r>
    </w:p>
    <w:p w14:paraId="560CC05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3.2.3 投标人在投标截止时间前修改投标函中的投标总报价，应同时修改投标文件“工程量清单报价书”中的相应报价。此修改须符合本章第4.3款的有关要求。</w:t>
      </w:r>
    </w:p>
    <w:p w14:paraId="5E7668F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3.2.4 招标人设有最高投标限价的，投标人的投标报价不得超过最高投标限价，最高投标限价在投标人须知前附表中载明。</w:t>
      </w:r>
    </w:p>
    <w:p w14:paraId="0E1CC821">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3.2.5 投标报价的其他要求见投标人须知前附表。</w:t>
      </w:r>
    </w:p>
    <w:p w14:paraId="3CA48C4B">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00" w:name="_Toc152042325"/>
      <w:bookmarkStart w:id="301" w:name="_Toc152045549"/>
      <w:bookmarkStart w:id="302" w:name="_Toc144974517"/>
      <w:bookmarkStart w:id="303" w:name="_Toc179632567"/>
      <w:bookmarkStart w:id="304" w:name="_Toc31133"/>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3.3 投标有效期</w:t>
      </w:r>
      <w:bookmarkEnd w:id="300"/>
      <w:bookmarkEnd w:id="301"/>
      <w:bookmarkEnd w:id="302"/>
      <w:bookmarkEnd w:id="303"/>
    </w:p>
    <w:bookmarkEnd w:id="304"/>
    <w:p w14:paraId="040E54F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3.3.1 除投标人须知前附表另有规定外，投标有效期为</w:t>
      </w:r>
      <w:r>
        <w:rPr>
          <w:rFonts w:hint="eastAsia" w:ascii="Times New Roman" w:hAnsi="Times New Roman"/>
          <w:smallCaps w:val="0"/>
          <w:color w:val="000000" w:themeColor="text1"/>
          <w:highlight w:val="none"/>
          <w:lang w:val="en-US" w:eastAsia="zh-CN"/>
          <w14:textFill>
            <w14:solidFill>
              <w14:schemeClr w14:val="tx1"/>
            </w14:solidFill>
          </w14:textFill>
        </w:rPr>
        <w:t>90</w:t>
      </w:r>
      <w:r>
        <w:rPr>
          <w:rFonts w:hint="eastAsia" w:ascii="Times New Roman" w:hAnsi="Times New Roman"/>
          <w:smallCaps w:val="0"/>
          <w:color w:val="000000" w:themeColor="text1"/>
          <w:highlight w:val="none"/>
          <w14:textFill>
            <w14:solidFill>
              <w14:schemeClr w14:val="tx1"/>
            </w14:solidFill>
          </w14:textFill>
        </w:rPr>
        <w:t>日。</w:t>
      </w:r>
    </w:p>
    <w:p w14:paraId="622244C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3.3.2 在投标有效期内，投标人撤销投标文件的，应承担招标文件和法律规定的责任。</w:t>
      </w:r>
    </w:p>
    <w:p w14:paraId="2E9CAE2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的投标保证金的银行同期活期存款利息。</w:t>
      </w:r>
    </w:p>
    <w:p w14:paraId="7B016A1C">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05" w:name="_Toc152045550"/>
      <w:bookmarkStart w:id="306" w:name="_Toc144974518"/>
      <w:bookmarkStart w:id="307" w:name="_Toc179632568"/>
      <w:bookmarkStart w:id="308" w:name="_Toc152042326"/>
      <w:bookmarkStart w:id="309" w:name="_Toc9430"/>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3.4 投标保证金</w:t>
      </w:r>
      <w:bookmarkEnd w:id="305"/>
      <w:bookmarkEnd w:id="306"/>
      <w:bookmarkEnd w:id="307"/>
      <w:bookmarkEnd w:id="308"/>
    </w:p>
    <w:bookmarkEnd w:id="309"/>
    <w:p w14:paraId="73E881D1">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3.4.1 投标人在</w:t>
      </w:r>
      <w:r>
        <w:rPr>
          <w:rFonts w:hint="eastAsia" w:ascii="Times New Roman" w:hAnsi="Times New Roman"/>
          <w:smallCaps w:val="0"/>
          <w:color w:val="000000" w:themeColor="text1"/>
          <w:highlight w:val="none"/>
          <w:lang w:eastAsia="zh-CN"/>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投标文件的同时，应按投标人须知前附表规定的金额、担保形式和第八章“投标文件格式”规定的投标保证金格式</w:t>
      </w:r>
      <w:r>
        <w:rPr>
          <w:rFonts w:hint="eastAsia" w:ascii="Times New Roman" w:hAnsi="Times New Roman"/>
          <w:smallCaps w:val="0"/>
          <w:color w:val="000000" w:themeColor="text1"/>
          <w:highlight w:val="none"/>
          <w:lang w:eastAsia="zh-CN"/>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投标保证金，并作为其投标文件的组成部分。境内投标人以现金或者支票形式提交的投标保证金，应当从其基本账户转出并在投标文件中附上基本账户开户证明。联合体投标的，其投标保证金由牵头人</w:t>
      </w:r>
      <w:r>
        <w:rPr>
          <w:rFonts w:hint="eastAsia" w:ascii="Times New Roman" w:hAnsi="Times New Roman"/>
          <w:smallCaps w:val="0"/>
          <w:color w:val="000000" w:themeColor="text1"/>
          <w:highlight w:val="none"/>
          <w:lang w:eastAsia="zh-CN"/>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，并应符合投标人须知前附表的规定。</w:t>
      </w:r>
    </w:p>
    <w:p w14:paraId="2FA82FA9">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无论采取何种形式的投标保证金，投标保证金有效期均应与投标有效期一致。招标人如果按本章第3.3.3项的规定延长了投标有效期，则投标保证金的有效期也相应延长。</w:t>
      </w:r>
    </w:p>
    <w:p w14:paraId="23FD9C5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3.4.2 投标人不按本章第3.4.1项要求提交投标保证金的，评标委员会将否决其投标。</w:t>
      </w:r>
    </w:p>
    <w:p w14:paraId="6AA6B38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3.4.3 招标人最迟应当在书面合同签订后5日内向中标人和未中标的投标人退还投标保证金。投标保证金以现金或支票形式</w:t>
      </w:r>
      <w:r>
        <w:rPr>
          <w:rFonts w:hint="eastAsia" w:ascii="Times New Roman" w:hAnsi="Times New Roman"/>
          <w:smallCaps w:val="0"/>
          <w:color w:val="000000" w:themeColor="text1"/>
          <w:highlight w:val="none"/>
          <w:lang w:eastAsia="zh-CN"/>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的，招标人应同时退还投标保证金的银行同期活期存款利息，且退还至投标人的基本账户。其他形式的投标保证金，在投标有效期届满时自动失效的，无需退还。</w:t>
      </w:r>
    </w:p>
    <w:p w14:paraId="68B6239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3.4.4 有下列情形之一的，投标保证金将不予退还</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p>
    <w:p w14:paraId="488B0E7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（1）投标人在规定的投标有效期内撤销其投标文件；</w:t>
      </w:r>
    </w:p>
    <w:p w14:paraId="37162F3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（2）中标人在收到中标通知书后，无正当理由不与招标人订立合同，在签订合同时向招标人提出附加条件，或不按照招标文件要求提交履约保证金。</w:t>
      </w:r>
    </w:p>
    <w:p w14:paraId="060C74CE">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10" w:name="_Toc144974520"/>
      <w:bookmarkStart w:id="311" w:name="_Toc179632570"/>
      <w:bookmarkStart w:id="312" w:name="_Toc152042328"/>
      <w:bookmarkStart w:id="313" w:name="_Toc152045552"/>
      <w:bookmarkStart w:id="314" w:name="_Toc19757"/>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3.5 资格审查资料</w:t>
      </w:r>
      <w:bookmarkEnd w:id="310"/>
      <w:bookmarkEnd w:id="311"/>
      <w:bookmarkEnd w:id="312"/>
      <w:bookmarkEnd w:id="313"/>
    </w:p>
    <w:bookmarkEnd w:id="314"/>
    <w:p w14:paraId="10DBD96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3.5.1 投标人应按投标人须知前附表附录要求提供资格审查资料，内容及格式见第八章“投标文件格式”要求。</w:t>
      </w:r>
    </w:p>
    <w:p w14:paraId="410417B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3.5.2 投标人须知前附表规定接受联合体投标的，资格审查资料应包括联合体各方相关情况。</w:t>
      </w:r>
    </w:p>
    <w:p w14:paraId="1857EB9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3.5.3 招标人有权核查投标人在投标文件中提供的资料，若在评标期间发现投标人提供了虚假资料，其投标将被否决；若在签订合同前发现作为中标候选人的投标人提供了虚假资料，招标人有权取消其中标资格；如果签订合同后发现中标人提供了虚假材料，招标人有权解除合同。同时招标人将投标人上述弄虚作假行为</w:t>
      </w:r>
      <w:r>
        <w:rPr>
          <w:rFonts w:hint="eastAsia" w:ascii="Times New Roman" w:hAnsi="Times New Roman"/>
          <w:smallCaps w:val="0"/>
          <w:color w:val="000000" w:themeColor="text1"/>
          <w:highlight w:val="none"/>
          <w:lang w:val="en-US" w:eastAsia="zh-CN"/>
          <w14:textFill>
            <w14:solidFill>
              <w14:schemeClr w14:val="tx1"/>
            </w14:solidFill>
          </w14:textFill>
        </w:rPr>
        <w:t>移交招标投标行政监督部门</w:t>
      </w:r>
      <w:r>
        <w:rPr>
          <w:rFonts w:hint="eastAsia" w:ascii="Times New Roman" w:hAnsi="Times New Roman"/>
          <w:smallCaps w:val="0"/>
          <w:color w:val="000000" w:themeColor="text1"/>
          <w:highlight w:val="none"/>
          <w14:textFill>
            <w14:solidFill>
              <w14:schemeClr w14:val="tx1"/>
            </w14:solidFill>
          </w14:textFill>
        </w:rPr>
        <w:t>处理。</w:t>
      </w:r>
    </w:p>
    <w:p w14:paraId="400D942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 xml:space="preserve">3.5.4 </w:t>
      </w:r>
      <w:r>
        <w:rPr>
          <w:rFonts w:hint="eastAsia" w:ascii="Times New Roman" w:hAnsi="Times New Roman"/>
          <w:smallCaps w:val="0"/>
          <w:color w:val="000000" w:themeColor="text1"/>
          <w:highlight w:val="none"/>
          <w14:textFill>
            <w14:solidFill>
              <w14:schemeClr w14:val="tx1"/>
            </w14:solidFill>
          </w14:textFill>
        </w:rPr>
        <w:t>采用资格预审方式的，投标人在编制投标文件时，应按新情况更新或补充其在申请资格预审时提供的资料，以证实其各项资格条件仍能继续满足资格预审文件的要求，具备承担本招标项目的资质条件、能力和信誉。</w:t>
      </w:r>
    </w:p>
    <w:p w14:paraId="3C481DBF">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15" w:name="_Toc152045553"/>
      <w:bookmarkStart w:id="316" w:name="_Toc179632571"/>
      <w:bookmarkStart w:id="317" w:name="_Toc152042329"/>
      <w:bookmarkStart w:id="318" w:name="_Toc144974521"/>
      <w:bookmarkStart w:id="319" w:name="_Toc14738"/>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3.6 备选投标方案</w:t>
      </w:r>
      <w:bookmarkEnd w:id="315"/>
      <w:bookmarkEnd w:id="316"/>
      <w:bookmarkEnd w:id="317"/>
      <w:bookmarkEnd w:id="318"/>
    </w:p>
    <w:bookmarkEnd w:id="319"/>
    <w:p w14:paraId="3E96F34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3.6.1 除投标人须知前附表规定允许外，投标人不得</w:t>
      </w:r>
      <w:r>
        <w:rPr>
          <w:rFonts w:hint="eastAsia" w:ascii="Times New Roman" w:hAnsi="Times New Roman"/>
          <w:smallCaps w:val="0"/>
          <w:color w:val="000000" w:themeColor="text1"/>
          <w:highlight w:val="none"/>
          <w:lang w:eastAsia="zh-CN"/>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备选投标方案，否则其投标将被否决。</w:t>
      </w:r>
    </w:p>
    <w:p w14:paraId="1A4AB45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3.6.2 允许投标人提交备选投标方案的，只有中标人所提交的备选投标方案方可予以考虑。评标委员会认为中标人的备选投标方案优于其按照招标文件要求编制的投</w:t>
      </w:r>
      <w:r>
        <w:rPr>
          <w:rFonts w:hint="eastAsia" w:ascii="Times New Roman" w:hAnsi="Times New Roman"/>
          <w:smallCaps w:val="0"/>
          <w:color w:val="000000" w:themeColor="text1"/>
          <w:highlight w:val="none"/>
          <w14:textFill>
            <w14:solidFill>
              <w14:schemeClr w14:val="tx1"/>
            </w14:solidFill>
          </w14:textFill>
        </w:rPr>
        <w:t>标方案的，招标人可以接受该备选投标方案。</w:t>
      </w:r>
    </w:p>
    <w:p w14:paraId="099B76F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3.6.3 投标人提供两个或两个以上投标报价，或在投标文件中提供一个报价，但同时提供两个或两个以上施工组织设计的，视为提供备选方案。</w:t>
      </w:r>
    </w:p>
    <w:p w14:paraId="7B8B618A">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20" w:name="_Toc152042330"/>
      <w:bookmarkStart w:id="321" w:name="_Toc144974522"/>
      <w:bookmarkStart w:id="322" w:name="_Toc152045554"/>
      <w:bookmarkStart w:id="323" w:name="_Toc179632572"/>
      <w:bookmarkStart w:id="324" w:name="_Toc22999"/>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3.7 投标文件的编制</w:t>
      </w:r>
      <w:bookmarkEnd w:id="320"/>
      <w:bookmarkEnd w:id="321"/>
      <w:bookmarkEnd w:id="322"/>
      <w:bookmarkEnd w:id="323"/>
    </w:p>
    <w:bookmarkEnd w:id="324"/>
    <w:p w14:paraId="4BC7BA2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3.7.1 投标文件应按第八章“投标文件格式”进行编写，如有必要，可以增加附页，作为投标文件的组成部分。其中，投标函附录</w:t>
      </w:r>
      <w:r>
        <w:rPr>
          <w:rFonts w:hint="eastAsia" w:ascii="Times New Roman" w:hAnsi="Times New Roman"/>
          <w:smallCaps w:val="0"/>
          <w:color w:val="000000" w:themeColor="text1"/>
          <w:highlight w:val="none"/>
          <w:vertAlign w:val="superscript"/>
          <w:lang w:val="en-US" w:eastAsia="zh-CN"/>
          <w14:textFill>
            <w14:solidFill>
              <w14:schemeClr w14:val="tx1"/>
            </w14:solidFill>
          </w14:textFill>
        </w:rPr>
        <w:footnoteReference w:id="39"/>
      </w:r>
      <w:r>
        <w:rPr>
          <w:rFonts w:hint="eastAsia" w:ascii="Times New Roman" w:hAnsi="Times New Roman"/>
          <w:smallCaps w:val="0"/>
          <w:color w:val="000000" w:themeColor="text1"/>
          <w:highlight w:val="none"/>
          <w14:textFill>
            <w14:solidFill>
              <w14:schemeClr w14:val="tx1"/>
            </w14:solidFill>
          </w14:textFill>
        </w:rPr>
        <w:t>在满足招标文件实质性要求的基础上，可以提出比招标文件要求更有利于招标人的承诺。施工组织设计编制的特殊要求见投标人须知前附表。</w:t>
      </w:r>
    </w:p>
    <w:p w14:paraId="3874DEB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3.7.2 投标文件应当对招标文件有关工期、投标有效期、质量要求、技术标准和要求、招标范围等实质性内容作出响应。</w:t>
      </w:r>
    </w:p>
    <w:p w14:paraId="3172A8E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3.7.3 投标文件的制作应满足以下规定</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4062B1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（1）投标文件由投标人使用电子交易系统提供的“投标文件制作工具”制作生成。“投标文件制作工具”可以通过电子交易系统下载。</w:t>
      </w:r>
    </w:p>
    <w:p w14:paraId="2118907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在第八章“投标文件格式”中要求盖单位章处，投标人应加盖投标人单位电子印章或单位公章。联合体投标的，除联合体协议书外，投标文件由联合体牵头人按上述规定加盖联合体牵头人单位电子印章或单位公章。</w:t>
      </w:r>
    </w:p>
    <w:p w14:paraId="77F8A76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在第八章“投标文件格式”中要求签字处，投标人应加盖法定代表人的个人电子印章或电子签名章或个人签字。联合体投标的，除联合体协议书外，投标文件由联合体牵头人按上述规定加盖法定代表人的个人电子印章或电子签名章或个人签字。在第八章“投标文件格式”中相应岗位人员要求签字处，投标人应加盖相应人员的个人电子印章或电子签名章或个人签字。</w:t>
      </w:r>
    </w:p>
    <w:p w14:paraId="166F4EF1">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14:textFill>
            <w14:solidFill>
              <w14:schemeClr w14:val="tx1"/>
            </w14:solidFill>
          </w14:textFill>
        </w:rPr>
        <w:t>）投标文件制作完成后，投标人应对投标文件进行文件加密，形成加密的投标文件。采用数字证书加密的，加密时投标文件的所有内容均只能使用同一把数字证书进行加密，否则引起的解密失败责任由投标人自行承担。</w:t>
      </w:r>
    </w:p>
    <w:p w14:paraId="5BD8945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）投标文件制作的具体方法详见“投标文件制作工具”中的帮助文档。</w:t>
      </w:r>
    </w:p>
    <w:p w14:paraId="1AC0191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3.7.4 </w:t>
      </w:r>
      <w:r>
        <w:rPr>
          <w:rFonts w:hint="eastAsia" w:ascii="Times New Roman" w:hAnsi="Times New Roman"/>
          <w:smallCaps w:val="0"/>
          <w:color w:val="000000" w:themeColor="text1"/>
          <w:highlight w:val="none"/>
          <w:lang w:val="en-US" w:eastAsia="zh-CN"/>
          <w14:textFill>
            <w14:solidFill>
              <w14:schemeClr w14:val="tx1"/>
            </w14:solidFill>
          </w14:textFill>
        </w:rPr>
        <w:t>如投标人须知前附表规定接受非加密投标文件的，投标人在生成加密投标文件时，应同时生成非加密投标文件，作为加密投标文件无法解密、导入时的补救措施。</w:t>
      </w:r>
    </w:p>
    <w:p w14:paraId="1EB9FB75">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3.7.5 因投标人自身原因而导致投标文件（指解密后的投标文件或启用补救措施下的非加密投标文件）无法导入电子交易系统电子开标、评标系统，该投标视为无效投标，投标人自行承担由此导致的全部责任。</w:t>
      </w:r>
    </w:p>
    <w:p w14:paraId="4EB3873C">
      <w:pPr>
        <w:pStyle w:val="79"/>
        <w:pageBreakBefore w:val="0"/>
        <w:widowControl w:val="0"/>
        <w:kinsoku/>
        <w:wordWrap w:val="0"/>
        <w:overflowPunct/>
        <w:topLinePunct w:val="0"/>
        <w:autoSpaceDE/>
        <w:autoSpaceDN/>
        <w:bidi w:val="0"/>
        <w:spacing w:line="400" w:lineRule="exact"/>
        <w:textAlignment w:val="auto"/>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3.7.6 投标文件份数及电子版要求：执行前附表约定。</w:t>
      </w:r>
    </w:p>
    <w:p w14:paraId="4CFFED88">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325" w:name="_Toc38879327"/>
      <w:bookmarkStart w:id="326" w:name="_Toc152042331"/>
      <w:bookmarkStart w:id="327" w:name="_Toc144974523"/>
      <w:bookmarkStart w:id="328" w:name="_Toc179632573"/>
      <w:bookmarkStart w:id="329" w:name="_Toc18496"/>
      <w:bookmarkStart w:id="330" w:name="_Toc30184"/>
      <w:bookmarkStart w:id="331" w:name="_Toc152045555"/>
      <w:bookmarkStart w:id="332" w:name="_Toc18333"/>
      <w:r>
        <w:rPr>
          <w:rFonts w:hint="eastAsia" w:ascii="Times New Roman" w:hAnsi="Times New Roman"/>
          <w:smallCaps w:val="0"/>
          <w:color w:val="000000" w:themeColor="text1"/>
          <w:highlight w:val="none"/>
          <w14:textFill>
            <w14:solidFill>
              <w14:schemeClr w14:val="tx1"/>
            </w14:solidFill>
          </w14:textFill>
        </w:rPr>
        <w:t>4. 投标</w:t>
      </w:r>
      <w:bookmarkEnd w:id="325"/>
      <w:bookmarkEnd w:id="326"/>
      <w:bookmarkEnd w:id="327"/>
      <w:bookmarkEnd w:id="328"/>
      <w:bookmarkEnd w:id="329"/>
      <w:bookmarkEnd w:id="330"/>
      <w:bookmarkEnd w:id="331"/>
      <w:bookmarkEnd w:id="332"/>
    </w:p>
    <w:p w14:paraId="7C90C572">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33" w:name="_Toc152045556"/>
      <w:bookmarkStart w:id="334" w:name="_Toc179632574"/>
      <w:bookmarkStart w:id="335" w:name="_Toc152042332"/>
      <w:bookmarkStart w:id="336" w:name="_Toc144974524"/>
      <w:bookmarkStart w:id="337" w:name="_Toc21943"/>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4.1 投标文件的加密（密封）和标记</w:t>
      </w:r>
      <w:bookmarkEnd w:id="333"/>
      <w:bookmarkEnd w:id="334"/>
      <w:bookmarkEnd w:id="335"/>
      <w:bookmarkEnd w:id="336"/>
    </w:p>
    <w:bookmarkEnd w:id="337"/>
    <w:p w14:paraId="75B0666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4.1.1 投标文件应按照本章第 3.7.3 项要求制作并加密，未按要求加密的投标文</w:t>
      </w:r>
      <w:r>
        <w:rPr>
          <w:rFonts w:hint="eastAsia" w:ascii="Times New Roman" w:hAnsi="Times New Roman"/>
          <w:smallCaps w:val="0"/>
          <w:color w:val="000000" w:themeColor="text1"/>
          <w:highlight w:val="none"/>
          <w14:textFill>
            <w14:solidFill>
              <w14:schemeClr w14:val="tx1"/>
            </w14:solidFill>
          </w14:textFill>
        </w:rPr>
        <w:t>件将被拒绝接收。</w:t>
      </w:r>
    </w:p>
    <w:p w14:paraId="528277E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4.1.2 如投标人须知前附表规定接受投标人提供非加密投标文件（与加密的投标文件为同时生成的版本），则非加密投标文件应当单独密封包装在一个封套中。封套的封口处加盖投标人单位章或由投标人的法定代</w:t>
      </w:r>
      <w:r>
        <w:rPr>
          <w:rFonts w:hint="eastAsia" w:ascii="Times New Roman" w:hAnsi="Times New Roman"/>
          <w:smallCaps w:val="0"/>
          <w:color w:val="000000" w:themeColor="text1"/>
          <w:highlight w:val="none"/>
          <w:lang w:val="en-US" w:eastAsia="zh-CN"/>
          <w14:textFill>
            <w14:solidFill>
              <w14:schemeClr w14:val="tx1"/>
            </w14:solidFill>
          </w14:textFill>
        </w:rPr>
        <w:t>表人</w:t>
      </w:r>
      <w:r>
        <w:rPr>
          <w:rFonts w:hint="eastAsia" w:ascii="Times New Roman" w:hAnsi="Times New Roman"/>
          <w:smallCaps w:val="0"/>
          <w:color w:val="000000" w:themeColor="text1"/>
          <w:highlight w:val="none"/>
          <w14:textFill>
            <w14:solidFill>
              <w14:schemeClr w14:val="tx1"/>
            </w14:solidFill>
          </w14:textFill>
        </w:rPr>
        <w:t>或其授权的代理人签字。</w:t>
      </w:r>
    </w:p>
    <w:p w14:paraId="11202CE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采用工程保函形式提交投标保证金的，工程保函原件应密封在单独的封套中。</w:t>
      </w:r>
    </w:p>
    <w:p w14:paraId="66E265D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非加密投标文件及工程保函封套上应写明的内容要求见投标人须知前附表。</w:t>
      </w:r>
    </w:p>
    <w:p w14:paraId="6E02CF3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非加密投标文件及工程保函未按规定封装或加写标记，招标人将不承担投标文件未被开启或提前开启的责任。</w:t>
      </w:r>
    </w:p>
    <w:p w14:paraId="5BE9B1A6">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38" w:name="_Toc144974525"/>
      <w:bookmarkStart w:id="339" w:name="_Toc152045557"/>
      <w:bookmarkStart w:id="340" w:name="_Toc152042333"/>
      <w:bookmarkStart w:id="341" w:name="_Toc179632575"/>
      <w:bookmarkStart w:id="342" w:name="_Toc7065"/>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4.2 投标文件的</w:t>
      </w:r>
      <w:bookmarkEnd w:id="338"/>
      <w:bookmarkEnd w:id="339"/>
      <w:bookmarkEnd w:id="340"/>
      <w:bookmarkEnd w:id="341"/>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提交</w:t>
      </w:r>
    </w:p>
    <w:bookmarkEnd w:id="342"/>
    <w:p w14:paraId="6AFB671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4.2.1 投标人应当在第一章“招标公告”规定的投标截止时间前，将加密投标文件在电子交易系统上传。</w:t>
      </w:r>
    </w:p>
    <w:p w14:paraId="4711194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4.2.2 投标人</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非加密投标文件的地点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见投标人须知前附表。招标人收到非加密投标文件后由投标人代表登记或向投标人出具签收凭证。</w:t>
      </w:r>
    </w:p>
    <w:p w14:paraId="0FAD1C9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4.2.3 除投标人须知前附表另有规定外，投标人所</w:t>
      </w:r>
      <w:r>
        <w:rPr>
          <w:rFonts w:hint="eastAsia" w:ascii="Times New Roman" w:hAnsi="Times New Roman"/>
          <w:smallCaps w:val="0"/>
          <w:color w:val="000000" w:themeColor="text1"/>
          <w:highlight w:val="none"/>
          <w:lang w:eastAsia="zh-CN"/>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的投标文件不予退还。</w:t>
      </w:r>
    </w:p>
    <w:p w14:paraId="13037AC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4.2.4 投标人应当在投标截止时间前完成投标文件的传输</w:t>
      </w:r>
      <w:r>
        <w:rPr>
          <w:rFonts w:hint="eastAsia" w:ascii="Times New Roman" w:hAnsi="Times New Roman"/>
          <w:smallCaps w:val="0"/>
          <w:color w:val="000000" w:themeColor="text1"/>
          <w:highlight w:val="none"/>
          <w:lang w:eastAsia="zh-CN"/>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（以接收到电子签收凭证为准），并可以补充、修改或者撤回投标文件。投标截止时间前未完成投标文件传输的，视为撤回投标文件。未按规定加密或投标截止时间后送达的投标文件，电子交易系统应当拒收。</w:t>
      </w:r>
    </w:p>
    <w:p w14:paraId="4C696DC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4.2.5 如投标人须知前附表允许递交非加密投标文件，投标人逾期送达的或者未送达指定地点的非加密投标文件，招标人不予接收，但不影响其已按招标文件要求从电子交易系统</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的加密投标文件的有效性。未从电子交易系统</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加密投标文件的，投标人</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的非加密投标文件将被视为无效。</w:t>
      </w:r>
    </w:p>
    <w:p w14:paraId="70D5C85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4.2.6 投标人在本章第5.2款规定的解密规定时间（以电子交易系统解密倒计时为准）内完成投标文件的解密工作，未能成功解密的投标人，如投标人须知前附表允许使用非加密投标文件作为备份，并且投标人在投标截止时间之前到达开标现场并递交非加密投标文件，则可导入非加密投标文件继续开标。若电子交易系统识别出非加密投标文件和加密投标文件识别码不一致，电子交易系统将拒绝导入。</w:t>
      </w:r>
    </w:p>
    <w:p w14:paraId="08379B51">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43" w:name="_Toc144974526"/>
      <w:bookmarkStart w:id="344" w:name="_Toc152042334"/>
      <w:bookmarkStart w:id="345" w:name="_Toc179632576"/>
      <w:bookmarkStart w:id="346" w:name="_Toc152045558"/>
      <w:bookmarkStart w:id="347" w:name="_Toc22035"/>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4.3 投标文件的修改与撤回</w:t>
      </w:r>
      <w:bookmarkEnd w:id="343"/>
      <w:bookmarkEnd w:id="344"/>
      <w:bookmarkEnd w:id="345"/>
      <w:bookmarkEnd w:id="346"/>
    </w:p>
    <w:bookmarkEnd w:id="347"/>
    <w:p w14:paraId="2F24DB09">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4.3.1 在本章第4.2.1项规定的投标截止时间前，投标人可以修改或撤回已</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的投标文件。投标人对加密投标文件进行撤回的，应在电子交易系统直接进行撤回操作；投标人对加密投标文件进行修改的，应在投标截止时间前完成上传。投标人修改投标文件的，应使用“投标文件制作工具”制作成完整的投标文件，并按照本章第3条、第4条规定进行编制、加密和</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w:t>
      </w:r>
    </w:p>
    <w:p w14:paraId="4CCDF9D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4.3.2 投标人修改或撤回已递交的非加密投标文件的，应当以书面形式通知招标人。书面通知应按照本章第3.7.3项的要求签字或盖章。招标人收到书面通知后，向</w:t>
      </w:r>
      <w:r>
        <w:rPr>
          <w:rFonts w:hint="eastAsia" w:ascii="Times New Roman" w:hAnsi="Times New Roman"/>
          <w:smallCaps w:val="0"/>
          <w:color w:val="000000" w:themeColor="text1"/>
          <w:highlight w:val="none"/>
          <w14:textFill>
            <w14:solidFill>
              <w14:schemeClr w14:val="tx1"/>
            </w14:solidFill>
          </w14:textFill>
        </w:rPr>
        <w:t>投标人出具签收凭证。</w:t>
      </w:r>
    </w:p>
    <w:p w14:paraId="3DF143E1">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348" w:name="_Toc38879328"/>
      <w:bookmarkStart w:id="349" w:name="_Toc11313"/>
      <w:bookmarkStart w:id="350" w:name="_Toc152042335"/>
      <w:bookmarkStart w:id="351" w:name="_Toc27390"/>
      <w:bookmarkStart w:id="352" w:name="_Toc179632577"/>
      <w:bookmarkStart w:id="353" w:name="_Toc152045559"/>
      <w:bookmarkStart w:id="354" w:name="_Toc14895"/>
      <w:bookmarkStart w:id="355" w:name="_Toc144974527"/>
      <w:r>
        <w:rPr>
          <w:rFonts w:hint="eastAsia" w:ascii="Times New Roman" w:hAnsi="Times New Roman"/>
          <w:smallCaps w:val="0"/>
          <w:color w:val="000000" w:themeColor="text1"/>
          <w:highlight w:val="none"/>
          <w14:textFill>
            <w14:solidFill>
              <w14:schemeClr w14:val="tx1"/>
            </w14:solidFill>
          </w14:textFill>
        </w:rPr>
        <w:t>5. 开标</w:t>
      </w:r>
      <w:bookmarkEnd w:id="348"/>
      <w:bookmarkEnd w:id="349"/>
      <w:bookmarkEnd w:id="350"/>
      <w:bookmarkEnd w:id="351"/>
      <w:bookmarkEnd w:id="352"/>
      <w:bookmarkEnd w:id="353"/>
      <w:bookmarkEnd w:id="354"/>
      <w:bookmarkEnd w:id="355"/>
    </w:p>
    <w:p w14:paraId="687ECDB9">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56" w:name="_Toc152042336"/>
      <w:bookmarkStart w:id="357" w:name="_Toc152045560"/>
      <w:bookmarkStart w:id="358" w:name="_Toc179632578"/>
      <w:bookmarkStart w:id="359" w:name="_Toc144974528"/>
      <w:bookmarkStart w:id="360" w:name="_Toc23397"/>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5.1 开标时间和地点</w:t>
      </w:r>
      <w:bookmarkEnd w:id="356"/>
      <w:bookmarkEnd w:id="357"/>
      <w:bookmarkEnd w:id="358"/>
      <w:bookmarkEnd w:id="359"/>
    </w:p>
    <w:bookmarkEnd w:id="360"/>
    <w:p w14:paraId="701CD38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招标人在本章第4.2.1项规定的投标截止时间（开标时间），通过电子交易系统公开开标，所有投标人的法定代表人或其委托代理人应当准时参加。</w:t>
      </w:r>
    </w:p>
    <w:p w14:paraId="1F590E9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投标人若未派法定代表人或其委托代理人出席开标活动，视为该投标人默认开标结果。</w:t>
      </w:r>
    </w:p>
    <w:p w14:paraId="449B283C">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61" w:name="_Toc152045561"/>
      <w:bookmarkStart w:id="362" w:name="_Toc152042337"/>
      <w:bookmarkStart w:id="363" w:name="_Toc179632579"/>
      <w:bookmarkStart w:id="364" w:name="_Toc144974529"/>
      <w:bookmarkStart w:id="365" w:name="_Toc12938"/>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5.2 开标程序</w:t>
      </w:r>
      <w:bookmarkEnd w:id="361"/>
      <w:bookmarkEnd w:id="362"/>
      <w:bookmarkEnd w:id="363"/>
      <w:bookmarkEnd w:id="364"/>
    </w:p>
    <w:bookmarkEnd w:id="365"/>
    <w:p w14:paraId="74F411F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除投标人须知前附表另有规定外，主持人按下列程序进行开标</w:t>
      </w:r>
      <w:r>
        <w:rPr>
          <w:rFonts w:hint="eastAsia" w:ascii="Times New Roman" w:hAnsi="Times New Roman"/>
          <w:smallCaps w:val="0"/>
          <w:color w:val="000000" w:themeColor="text1"/>
          <w:highlight w:val="none"/>
          <w:vertAlign w:val="superscript"/>
          <w14:textFill>
            <w14:solidFill>
              <w14:schemeClr w14:val="tx1"/>
            </w14:solidFill>
          </w14:textFill>
        </w:rPr>
        <w:footnoteReference w:id="40"/>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39EDB0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（1）公布在投标截止时间前通过电子交易系统完成投标文件</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的投标人名称；</w:t>
      </w:r>
    </w:p>
    <w:p w14:paraId="5624343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（2）由投标人推选的代表检查非加密投标文件的密封情况（如有）；</w:t>
      </w:r>
    </w:p>
    <w:p w14:paraId="44668F1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（3）投标人在投标截止时间后在投标人须知前附表规定的解密时间内完成投标文件的解密工作；</w:t>
      </w:r>
    </w:p>
    <w:p w14:paraId="30D0AAA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（4）招标人完成解密工作，导入并读取所有成功解密的投标文件，或招标人成功导入现场递交的非加密投标文件；</w:t>
      </w:r>
    </w:p>
    <w:p w14:paraId="10E51A9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）按照投标人须知前附表规定公布投标人名称、标段名称、投标报价、质量标准、工期及其他内容；</w:t>
      </w:r>
    </w:p>
    <w:p w14:paraId="2BBBA85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6</w:t>
      </w:r>
      <w:r>
        <w:rPr>
          <w:rFonts w:hint="eastAsia" w:ascii="Times New Roman" w:hAnsi="Times New Roman"/>
          <w:smallCaps w:val="0"/>
          <w:color w:val="000000" w:themeColor="text1"/>
          <w:highlight w:val="none"/>
          <w14:textFill>
            <w14:solidFill>
              <w14:schemeClr w14:val="tx1"/>
            </w14:solidFill>
          </w14:textFill>
        </w:rPr>
        <w:t>）开标结束</w:t>
      </w:r>
      <w:r>
        <w:rPr>
          <w:rFonts w:hint="eastAsia" w:ascii="Times New Roman" w:hAnsi="Times New Roman"/>
          <w:smallCaps w:val="0"/>
          <w:color w:val="000000" w:themeColor="text1"/>
          <w:highlight w:val="none"/>
          <w:lang w:eastAsia="zh-CN"/>
          <w14:textFill>
            <w14:solidFill>
              <w14:schemeClr w14:val="tx1"/>
            </w14:solidFill>
          </w14:textFill>
        </w:rPr>
        <w:t>。</w:t>
      </w:r>
    </w:p>
    <w:p w14:paraId="7BBAF7BC">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66" w:name="_Toc21128"/>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5.3 开标异议</w:t>
      </w:r>
    </w:p>
    <w:bookmarkEnd w:id="366"/>
    <w:p w14:paraId="3DE24267">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投标人对开标有异议的，应当在开标过程中提出；招标人当场对异议作出答复，并记入开标记录。异议与答复应通过电子交易系统进行。</w:t>
      </w:r>
    </w:p>
    <w:p w14:paraId="1577ECFB">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367" w:name="_Toc152042338"/>
      <w:bookmarkStart w:id="368" w:name="_Toc18235"/>
      <w:bookmarkStart w:id="369" w:name="_Toc38879329"/>
      <w:bookmarkStart w:id="370" w:name="_Toc152045562"/>
      <w:bookmarkStart w:id="371" w:name="_Toc179632580"/>
      <w:bookmarkStart w:id="372" w:name="_Toc23410"/>
      <w:bookmarkStart w:id="373" w:name="_Toc32177"/>
      <w:bookmarkStart w:id="374" w:name="_Toc144974530"/>
      <w:r>
        <w:rPr>
          <w:rFonts w:hint="eastAsia" w:ascii="Times New Roman" w:hAnsi="Times New Roman"/>
          <w:smallCaps w:val="0"/>
          <w:color w:val="000000" w:themeColor="text1"/>
          <w:highlight w:val="none"/>
          <w14:textFill>
            <w14:solidFill>
              <w14:schemeClr w14:val="tx1"/>
            </w14:solidFill>
          </w14:textFill>
        </w:rPr>
        <w:t>6. 评标</w:t>
      </w:r>
      <w:bookmarkEnd w:id="367"/>
      <w:bookmarkEnd w:id="368"/>
      <w:bookmarkEnd w:id="369"/>
      <w:bookmarkEnd w:id="370"/>
      <w:bookmarkEnd w:id="371"/>
      <w:bookmarkEnd w:id="372"/>
      <w:bookmarkEnd w:id="373"/>
      <w:bookmarkEnd w:id="374"/>
    </w:p>
    <w:p w14:paraId="51E21761">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75" w:name="_Toc144974531"/>
      <w:bookmarkStart w:id="376" w:name="_Toc152045563"/>
      <w:bookmarkStart w:id="377" w:name="_Toc152042339"/>
      <w:bookmarkStart w:id="378" w:name="_Toc179632581"/>
      <w:bookmarkStart w:id="379" w:name="_Toc23634"/>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6.1 评标委员会</w:t>
      </w:r>
      <w:bookmarkEnd w:id="375"/>
      <w:bookmarkEnd w:id="376"/>
      <w:bookmarkEnd w:id="377"/>
      <w:bookmarkEnd w:id="378"/>
    </w:p>
    <w:bookmarkEnd w:id="379"/>
    <w:p w14:paraId="330152A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549257E9">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6.1.2 评标委员会成员有下列情形之一的，应当主动提出回避</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25D40C8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（1）投标人或投标人的主要负责人的近亲属； </w:t>
      </w:r>
    </w:p>
    <w:p w14:paraId="0D7D763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（2）项目主管部门或者行政监督部门的人员；</w:t>
      </w:r>
    </w:p>
    <w:p w14:paraId="40F7B215">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（3）与投标人有经济利益关系，可能影响对投标公正评审的；</w:t>
      </w:r>
    </w:p>
    <w:p w14:paraId="3FDD349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（4）曾因在招标、评标以及其他与招标投标有关活动中从事违法行为而受过行政处罚或刑事处罚的；</w:t>
      </w:r>
    </w:p>
    <w:p w14:paraId="33C7037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（5）与投标人有其他利害关系。</w:t>
      </w:r>
    </w:p>
    <w:p w14:paraId="66C48BF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6.1.3 评标过程中，评标委员会成员有回避事由、擅离职守或因健康等原因不能继续评标的，招标人有权更换。被更换的评标委员会成员作出的评审结论无效，由更换后的评标委员会成员重新进行评审。</w:t>
      </w:r>
    </w:p>
    <w:p w14:paraId="55B4F7D8">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80" w:name="_Toc152042340"/>
      <w:bookmarkStart w:id="381" w:name="_Toc152045564"/>
      <w:bookmarkStart w:id="382" w:name="_Toc179632582"/>
      <w:bookmarkStart w:id="383" w:name="_Toc144974532"/>
      <w:bookmarkStart w:id="384" w:name="_Toc12267"/>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6.2 评标原则</w:t>
      </w:r>
      <w:bookmarkEnd w:id="380"/>
      <w:bookmarkEnd w:id="381"/>
      <w:bookmarkEnd w:id="382"/>
      <w:bookmarkEnd w:id="383"/>
    </w:p>
    <w:bookmarkEnd w:id="384"/>
    <w:p w14:paraId="4C4E720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评标活动遵循公平、公正、科学和择优的原则。</w:t>
      </w:r>
    </w:p>
    <w:p w14:paraId="4C62CD88">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85" w:name="_Toc144974533"/>
      <w:bookmarkStart w:id="386" w:name="_Toc152042341"/>
      <w:bookmarkStart w:id="387" w:name="_Toc152045565"/>
      <w:bookmarkStart w:id="388" w:name="_Toc179632583"/>
      <w:bookmarkStart w:id="389" w:name="_Toc30516"/>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6.3 评标</w:t>
      </w:r>
      <w:bookmarkEnd w:id="385"/>
      <w:bookmarkEnd w:id="386"/>
      <w:bookmarkEnd w:id="387"/>
      <w:bookmarkEnd w:id="388"/>
    </w:p>
    <w:bookmarkEnd w:id="389"/>
    <w:p w14:paraId="2950857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6.3.1 评标委员会按照第三章“评标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”规定的方法、评审因素、标准和程序对投标文件进行评审。第三章“评标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”没有规定的方法、评审因素和标准，不作为评标依据。</w:t>
      </w:r>
    </w:p>
    <w:p w14:paraId="643F86B9">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6.3.2 评标完成后，评标委员会应向招标人提交书面评标报告和中标候选人名单。评标委员会推荐中标候选人的人数见投标人须知前附表。</w:t>
      </w:r>
    </w:p>
    <w:p w14:paraId="15701F7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 xml:space="preserve">6.3.3 </w:t>
      </w:r>
      <w:r>
        <w:rPr>
          <w:rFonts w:hint="eastAsia" w:ascii="Times New Roman" w:hAnsi="Times New Roman"/>
          <w:smallCaps w:val="0"/>
          <w:color w:val="000000" w:themeColor="text1"/>
          <w:highlight w:val="none"/>
          <w14:textFill>
            <w14:solidFill>
              <w14:schemeClr w14:val="tx1"/>
            </w14:solidFill>
          </w14:textFill>
        </w:rPr>
        <w:t>招标人应当在中标候选人公示前认真审查评标委员会提交的书面评标报告，发现异常情形的，依照法定程序进行复核，确认存在问题的，依照法定程序予以纠正。重点关注评标委员会是否按照招标文件规定的评标标准和方法进行评标；是否存在对客观评审因素评分不一致，或者评分畸高、畸低现象；是否对可能低于成本或者影响履约的异常低价投标和严重不平衡报价进行分析研判；是否依法通知投标人进行澄清、说明；是否存在随意否决投标的情况。</w:t>
      </w:r>
    </w:p>
    <w:p w14:paraId="3BFA0074">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6.3.4电子清标办法附件：《投标报价电子清标办法》</w:t>
      </w:r>
    </w:p>
    <w:p w14:paraId="08B6D29D">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评标委员会对投标人投标报价时提交的完整投标报价组价文件，通过计算机辅助评标系统进行电子清标，清标评审不合格的投标文件应做废标处理，具体要求如下：</w:t>
      </w:r>
    </w:p>
    <w:p w14:paraId="7477FD7B">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(1)电子电子清标是指通过计算机辅助评标系统对需要评审的工程量清单投标报价采用核对、比较、筛选等方法，对基础性数据进行分析和整理。其目的是找出投标文件中可能存在疑义或者显著异常的数据，为评审中的质疑工作提供基础。</w:t>
      </w:r>
    </w:p>
    <w:p w14:paraId="10B19160">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(2)电子清标工作使用计算机辅助评标系统，由计算机完成。</w:t>
      </w:r>
    </w:p>
    <w:p w14:paraId="2D555B17">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(3)电子清标的内容和步骤：</w:t>
      </w:r>
    </w:p>
    <w:p w14:paraId="5627881D">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①投标文件在符合性、响应性等方面存在的偏差。</w:t>
      </w:r>
    </w:p>
    <w:p w14:paraId="5977D349">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②投标文件存在的算术计算错误和修正结果。</w:t>
      </w:r>
    </w:p>
    <w:p w14:paraId="4C506320">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③在列出的所有偏差中，属于重大偏差的情形和相关依据；在列出的所有偏差中，属于细微偏差的情形。</w:t>
      </w:r>
    </w:p>
    <w:p w14:paraId="2F77E95B">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④列出投标价格过高或过低的清单项目的序号、项目编码、项目名称、项目特征、工程内容、与招标文件规定的标准之间存在的偏差幅度和产生原因的摘录。</w:t>
      </w:r>
    </w:p>
    <w:p w14:paraId="712E2F48">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6.3.5投标报价评审</w:t>
      </w:r>
    </w:p>
    <w:p w14:paraId="173DAA7D">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(1)投标报价总价的评审：本项目招标设有最高投标限价,投标报价超过最高投标限价的为无效投标。</w:t>
      </w:r>
    </w:p>
    <w:p w14:paraId="24408974">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(2)综合单价评审：综合单价和单项费用金额的组成、工料机消耗及确定的费用、利润是否合理，是否明显低于其他通过初审的投标人报价，是否存在不能诚信履约或不能保证工程质量风险。</w:t>
      </w:r>
    </w:p>
    <w:p w14:paraId="4A37E9FF">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(3)主要材料消耗量和价格评审：是否满足招标对主要材料的规格、型号等的特殊要求，材料消耗量是否能够满足工程实体要求，确定材料价格是否合理或是否明显低于其他通过初审的投标供应商报价，是否存在不能诚信履约或不能保证工程质量风险。</w:t>
      </w:r>
    </w:p>
    <w:p w14:paraId="6D6B6EE1">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(4)措施项目评审：措施费用报价必须与其技术标投标文件所采用的施工组织设计是否相符或明显低于其他通过初审的投标人报价。施工技术措施费用报价必须与其技术标投标文件所采用的施工组织设计相适应。评标委员会评审后可以认定为“商务标重大偏差”或其投标报价明显低于其他通过初审的投标人报价，不能诚信履约或不能保证工程质量，按照无效投标处理。</w:t>
      </w:r>
    </w:p>
    <w:p w14:paraId="5CFAB3EA">
      <w:pPr>
        <w:pageBreakBefore w:val="0"/>
        <w:kinsoku/>
        <w:wordWrap w:val="0"/>
        <w:overflowPunct/>
        <w:bidi w:val="0"/>
        <w:spacing w:line="400" w:lineRule="exact"/>
        <w:ind w:firstLine="420" w:firstLineChars="200"/>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pPr>
      <w:r>
        <w:rPr>
          <w:rFonts w:hint="eastAsia" w:ascii="宋体" w:hAnsi="宋体" w:cs="宋体"/>
          <w:bCs/>
          <w:snapToGrid w:val="0"/>
          <w:color w:val="000000" w:themeColor="text1"/>
          <w:kern w:val="0"/>
          <w:sz w:val="21"/>
          <w:szCs w:val="18"/>
          <w:highlight w:val="none"/>
          <w:lang w:val="en-US" w:eastAsia="zh-CN"/>
          <w14:textFill>
            <w14:solidFill>
              <w14:schemeClr w14:val="tx1"/>
            </w14:solidFill>
          </w14:textFill>
        </w:rPr>
        <w:t>(5)不可竞争费（或安全生产措施费）、税金、材料或专业工程暂估价、项目暂列金额等的评审，是否符合招标文件的要求。</w:t>
      </w:r>
    </w:p>
    <w:p w14:paraId="0DBC4E68">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pPr>
      <w:bookmarkStart w:id="390" w:name="_Toc11022"/>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6</w:t>
      </w:r>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w:t>
      </w:r>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4</w:t>
      </w:r>
      <w:r>
        <w:rPr>
          <w:rStyle w:val="78"/>
          <w:rFonts w:hint="eastAsia" w:ascii="Times New Roman" w:hAnsi="Times New Roman"/>
          <w:b w:val="0"/>
          <w:bCs w:val="0"/>
          <w:smallCaps w:val="0"/>
          <w:color w:val="000000" w:themeColor="text1"/>
          <w:kern w:val="2"/>
          <w:sz w:val="24"/>
          <w:szCs w:val="24"/>
          <w:highlight w:val="none"/>
          <w:lang w:val="zh-CN" w:eastAsia="zh-CN" w:bidi="ar-SA"/>
          <w14:textFill>
            <w14:solidFill>
              <w14:schemeClr w14:val="tx1"/>
            </w14:solidFill>
          </w14:textFill>
        </w:rPr>
        <w:t xml:space="preserve"> 中标候选人公示</w:t>
      </w:r>
    </w:p>
    <w:bookmarkEnd w:id="390"/>
    <w:p w14:paraId="3EE385D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招标人在收到评标报告之日起3日内，按照投标人须知前附表规定的公示媒介和期限依法公示中标候选人，公示期不得少于3日。</w:t>
      </w:r>
      <w:r>
        <w:rPr>
          <w:rFonts w:hint="eastAsia" w:ascii="Times New Roman" w:hAnsi="Times New Roman"/>
          <w:smallCaps w:val="0"/>
          <w:color w:val="000000" w:themeColor="text1"/>
          <w:highlight w:val="none"/>
          <w:lang w:eastAsia="zh-CN"/>
          <w14:textFill>
            <w14:solidFill>
              <w14:schemeClr w14:val="tx1"/>
            </w14:solidFill>
          </w14:textFill>
        </w:rPr>
        <w:t>最后一日为节假日的，顺延至节假日后的首个工作日。</w:t>
      </w:r>
    </w:p>
    <w:p w14:paraId="6BE52B12">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391" w:name="_Toc17038"/>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6.5 评标结果异议</w:t>
      </w:r>
    </w:p>
    <w:bookmarkEnd w:id="391"/>
    <w:p w14:paraId="098565A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投标人或其他利害关系人对评标结果有异议的，应在中标候选人公示期间提出。招标人将在收到异议之日起3日内作出答复；作出答复前，将暂停招标投标活动。</w:t>
      </w:r>
    </w:p>
    <w:p w14:paraId="11EAF1AD">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392" w:name="_Toc12887"/>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6.6 中标候选人履约能力审查</w:t>
      </w:r>
    </w:p>
    <w:bookmarkEnd w:id="392"/>
    <w:p w14:paraId="4400FA0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中标候选人的经营、财务状况发生较大变化或者存在违法行为，招标人认为可能影响其履约能力的，应当在发出中标通知书前由原评标委员会按照招标文件规定的标准和方法审查确认。</w:t>
      </w:r>
    </w:p>
    <w:p w14:paraId="11A94845">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lang w:eastAsia="zh-CN"/>
          <w14:textFill>
            <w14:solidFill>
              <w14:schemeClr w14:val="tx1"/>
            </w14:solidFill>
          </w14:textFill>
        </w:rPr>
      </w:pPr>
      <w:bookmarkStart w:id="393" w:name="_Toc144974534"/>
      <w:bookmarkStart w:id="394" w:name="_Toc152045566"/>
      <w:bookmarkStart w:id="395" w:name="_Toc179632584"/>
      <w:bookmarkStart w:id="396" w:name="_Toc152042342"/>
      <w:bookmarkStart w:id="397" w:name="_Toc10391"/>
      <w:bookmarkStart w:id="398" w:name="_Toc38879330"/>
      <w:bookmarkStart w:id="399" w:name="_Toc18364"/>
      <w:bookmarkStart w:id="400" w:name="_Toc4561"/>
      <w:r>
        <w:rPr>
          <w:rFonts w:hint="eastAsia" w:ascii="Times New Roman" w:hAnsi="Times New Roman"/>
          <w:smallCaps w:val="0"/>
          <w:color w:val="000000" w:themeColor="text1"/>
          <w:highlight w:val="none"/>
          <w:lang w:val="en-US" w:eastAsia="zh-CN"/>
          <w14:textFill>
            <w14:solidFill>
              <w14:schemeClr w14:val="tx1"/>
            </w14:solidFill>
          </w14:textFill>
        </w:rPr>
        <w:t>7.定标</w:t>
      </w:r>
      <w:bookmarkEnd w:id="393"/>
      <w:bookmarkEnd w:id="394"/>
      <w:bookmarkEnd w:id="395"/>
      <w:bookmarkEnd w:id="396"/>
      <w:bookmarkEnd w:id="397"/>
      <w:bookmarkEnd w:id="398"/>
      <w:bookmarkEnd w:id="399"/>
      <w:bookmarkEnd w:id="400"/>
    </w:p>
    <w:p w14:paraId="41E5589F">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01" w:name="_Toc179632585"/>
      <w:bookmarkStart w:id="402" w:name="_Toc152042343"/>
      <w:bookmarkStart w:id="403" w:name="_Toc152045567"/>
      <w:bookmarkStart w:id="404" w:name="_Toc144974535"/>
      <w:bookmarkStart w:id="405" w:name="_Toc12754"/>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7.1 定标</w:t>
      </w:r>
      <w:bookmarkEnd w:id="401"/>
      <w:bookmarkEnd w:id="402"/>
      <w:bookmarkEnd w:id="403"/>
      <w:bookmarkEnd w:id="404"/>
    </w:p>
    <w:bookmarkEnd w:id="405"/>
    <w:p w14:paraId="66A00D6F">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按照投标人须知前附表的规定，招标人或招标人授权的评标委员会依法确定中标人。排名第一的中标候选人放弃中标、因不可抗力不能履行合同、不按照招标文件要</w:t>
      </w:r>
      <w:r>
        <w:rPr>
          <w:rFonts w:hint="eastAsia" w:ascii="Times New Roman" w:hAnsi="Times New Roman"/>
          <w:smallCaps w:val="0"/>
          <w:color w:val="000000" w:themeColor="text1"/>
          <w:highlight w:val="none"/>
          <w14:textFill>
            <w14:solidFill>
              <w14:schemeClr w14:val="tx1"/>
            </w14:solidFill>
          </w14:textFill>
        </w:rPr>
        <w:t>求提交履约保证金，或者被查实存在影响中标结果的违法行为等情形，不符合中标条件的，招标人可以按照评标委员会提出的中标候选人名单排序依次确定其他中标候选人为中标人，也可以重新招标。</w:t>
      </w:r>
    </w:p>
    <w:p w14:paraId="6A29525D">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06" w:name="_Toc179632586"/>
      <w:bookmarkStart w:id="407" w:name="_Toc144974536"/>
      <w:bookmarkStart w:id="408" w:name="_Toc152042344"/>
      <w:bookmarkStart w:id="409" w:name="_Toc152045568"/>
      <w:bookmarkStart w:id="410" w:name="_Toc30133"/>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7.2 中标通知</w:t>
      </w:r>
      <w:bookmarkEnd w:id="406"/>
      <w:bookmarkEnd w:id="407"/>
      <w:bookmarkEnd w:id="408"/>
      <w:bookmarkEnd w:id="409"/>
    </w:p>
    <w:bookmarkEnd w:id="410"/>
    <w:p w14:paraId="0288C1B3">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在本章第3.3款规定的投标有效期内</w:t>
      </w:r>
      <w:r>
        <w:rPr>
          <w:rFonts w:hint="eastAsia" w:ascii="Times New Roman" w:hAnsi="Times New Roman" w:eastAsia="宋体" w:cs="黑体"/>
          <w:smallCaps w:val="0"/>
          <w:color w:val="000000" w:themeColor="text1"/>
          <w:highlight w:val="none"/>
          <w:u w:val="none"/>
          <w:lang w:val="en-US" w:eastAsia="zh-CN"/>
          <w14:textFill>
            <w14:solidFill>
              <w14:schemeClr w14:val="tx1"/>
            </w14:solidFill>
          </w14:textFill>
        </w:rPr>
        <w:t>且</w:t>
      </w:r>
      <w:r>
        <w:rPr>
          <w:rFonts w:hint="eastAsia" w:ascii="Times New Roman" w:hAnsi="Times New Roman" w:eastAsia="宋体" w:cs="黑体"/>
          <w:smallCaps w:val="0"/>
          <w:color w:val="000000" w:themeColor="text1"/>
          <w:highlight w:val="none"/>
          <w:u w:val="none"/>
          <w14:textFill>
            <w14:solidFill>
              <w14:schemeClr w14:val="tx1"/>
            </w14:solidFill>
          </w14:textFill>
        </w:rPr>
        <w:t>应当在招标人确定中标人后7日内，</w:t>
      </w:r>
      <w:r>
        <w:rPr>
          <w:rFonts w:hint="eastAsia" w:ascii="Times New Roman" w:hAnsi="Times New Roman"/>
          <w:smallCaps w:val="0"/>
          <w:color w:val="000000" w:themeColor="text1"/>
          <w:highlight w:val="none"/>
          <w14:textFill>
            <w14:solidFill>
              <w14:schemeClr w14:val="tx1"/>
            </w14:solidFill>
          </w14:textFill>
        </w:rPr>
        <w:t>招标人以投标人须知前附表规定的形式向中标人发出中标通知书，同时将中标结果通知未中标的投标人。</w:t>
      </w:r>
    </w:p>
    <w:p w14:paraId="34B66CCB">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11" w:name="_Toc24776"/>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7.3 中标结果公示</w:t>
      </w:r>
    </w:p>
    <w:bookmarkEnd w:id="411"/>
    <w:p w14:paraId="52AAE21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招标人在确定中标人之日起3日内，按照投标人须知前附表规定的公示媒介和期限依法公示中标结果。</w:t>
      </w:r>
    </w:p>
    <w:p w14:paraId="7F689A22">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lang w:eastAsia="zh-CN"/>
          <w14:textFill>
            <w14:solidFill>
              <w14:schemeClr w14:val="tx1"/>
            </w14:solidFill>
          </w14:textFill>
        </w:rPr>
      </w:pPr>
      <w:bookmarkStart w:id="412" w:name="_Toc4833"/>
      <w:bookmarkStart w:id="413" w:name="_Toc13022"/>
      <w:bookmarkStart w:id="414" w:name="_Toc5202"/>
      <w:r>
        <w:rPr>
          <w:rFonts w:hint="eastAsia" w:ascii="Times New Roman" w:hAnsi="Times New Roman"/>
          <w:smallCaps w:val="0"/>
          <w:color w:val="000000" w:themeColor="text1"/>
          <w:highlight w:val="none"/>
          <w:lang w:val="en-US" w:eastAsia="zh-CN"/>
          <w14:textFill>
            <w14:solidFill>
              <w14:schemeClr w14:val="tx1"/>
            </w14:solidFill>
          </w14:textFill>
        </w:rPr>
        <w:t>8.合同授予</w:t>
      </w:r>
      <w:bookmarkEnd w:id="412"/>
      <w:bookmarkEnd w:id="413"/>
      <w:bookmarkEnd w:id="414"/>
    </w:p>
    <w:p w14:paraId="02F5DD3F">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default"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15" w:name="_Toc10951"/>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8.1 履约保证金</w:t>
      </w:r>
    </w:p>
    <w:bookmarkEnd w:id="415"/>
    <w:p w14:paraId="1E619DC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8.1.1</w:t>
      </w:r>
      <w:r>
        <w:rPr>
          <w:rFonts w:hint="eastAsia" w:ascii="Times New Roman" w:hAnsi="Times New Roman"/>
          <w:smallCaps w:val="0"/>
          <w:color w:val="000000" w:themeColor="text1"/>
          <w:highlight w:val="none"/>
          <w14:textFill>
            <w14:solidFill>
              <w14:schemeClr w14:val="tx1"/>
            </w14:solidFill>
          </w14:textFill>
        </w:rPr>
        <w:t xml:space="preserve"> 在签订合同前，中标人应按投标人须知前附表规定的金额、担保形式和招标文件第四章“合同条款及格式”规定的或者事先经过招标人书面认可的履约保证金格式向招标人提交履约保证金。除投标人须知前附表另有规定外，履约保证金为中标合同金额的</w:t>
      </w: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hint="eastAsia" w:ascii="Times New Roman" w:hAnsi="Times New Roman"/>
          <w:smallCaps w:val="0"/>
          <w:color w:val="000000" w:themeColor="text1"/>
          <w:highlight w:val="none"/>
          <w14:textFill>
            <w14:solidFill>
              <w14:schemeClr w14:val="tx1"/>
            </w14:solidFill>
          </w14:textFill>
        </w:rPr>
        <w:t>%。联合体中标的，其履约保证金以联合体各方或者联合体中牵头人的名义提交。</w:t>
      </w:r>
    </w:p>
    <w:p w14:paraId="68C9EBE4">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8.1</w:t>
      </w:r>
      <w:r>
        <w:rPr>
          <w:rFonts w:hint="eastAsia" w:ascii="Times New Roman" w:hAnsi="Times New Roman"/>
          <w:smallCaps w:val="0"/>
          <w:color w:val="000000" w:themeColor="text1"/>
          <w:highlight w:val="none"/>
          <w14:textFill>
            <w14:solidFill>
              <w14:schemeClr w14:val="tx1"/>
            </w14:solidFill>
          </w14:textFill>
        </w:rPr>
        <w:t>.2 中标人不能按本章第</w:t>
      </w: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.1项要求提交履约保证金的，视为放弃中标，其投标保证金不予退还，给招标人造成的损失超过投标保证金数额的，中标人还应当对超过部分予以赔偿。</w:t>
      </w:r>
    </w:p>
    <w:p w14:paraId="7D2549F4">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16" w:name="_Toc152042346"/>
      <w:bookmarkStart w:id="417" w:name="_Toc152045570"/>
      <w:bookmarkStart w:id="418" w:name="_Toc179632588"/>
      <w:bookmarkStart w:id="419" w:name="_Toc144974538"/>
      <w:bookmarkStart w:id="420" w:name="_Toc19222"/>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8.2签订合同</w:t>
      </w:r>
      <w:bookmarkEnd w:id="416"/>
      <w:bookmarkEnd w:id="417"/>
      <w:bookmarkEnd w:id="418"/>
      <w:bookmarkEnd w:id="419"/>
    </w:p>
    <w:bookmarkEnd w:id="420"/>
    <w:p w14:paraId="5FD2EAC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hint="eastAsia" w:ascii="Times New Roman" w:hAnsi="Times New Roman"/>
          <w:smallCaps w:val="0"/>
          <w:color w:val="000000" w:themeColor="text1"/>
          <w:highlight w:val="none"/>
          <w14:textFill>
            <w14:solidFill>
              <w14:schemeClr w14:val="tx1"/>
            </w14:solidFill>
          </w14:textFill>
        </w:rPr>
        <w:t>.1 中标人和招标人应在投标有效期内以及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0647653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hint="eastAsia" w:ascii="Times New Roman" w:hAnsi="Times New Roman"/>
          <w:smallCaps w:val="0"/>
          <w:color w:val="000000" w:themeColor="text1"/>
          <w:highlight w:val="none"/>
          <w14:textFill>
            <w14:solidFill>
              <w14:schemeClr w14:val="tx1"/>
            </w14:solidFill>
          </w14:textFill>
        </w:rPr>
        <w:t>.2 发出中标通知书后，招标人无正当理由拒签合同，或者在签订合同时向中标人提出附加条件的，招标人向中标人退还投标保证金；给中标人造成损失的，还应当赔偿损失。</w:t>
      </w:r>
    </w:p>
    <w:p w14:paraId="39F3B34D">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hint="eastAsia" w:ascii="Times New Roman" w:hAnsi="Times New Roman"/>
          <w:smallCaps w:val="0"/>
          <w:color w:val="000000" w:themeColor="text1"/>
          <w:highlight w:val="none"/>
          <w14:textFill>
            <w14:solidFill>
              <w14:schemeClr w14:val="tx1"/>
            </w14:solidFill>
          </w14:textFill>
        </w:rPr>
        <w:t>.3 联合体中标的，联合体各方应当共同与招标人签订合同，就中标项目向招标人承担连带责任。</w:t>
      </w:r>
    </w:p>
    <w:p w14:paraId="64FDF1DD">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421" w:name="_Toc16857"/>
      <w:bookmarkStart w:id="422" w:name="_Toc152042347"/>
      <w:bookmarkStart w:id="423" w:name="_Toc179632589"/>
      <w:bookmarkStart w:id="424" w:name="_Toc152045571"/>
      <w:bookmarkStart w:id="425" w:name="_Toc26282"/>
      <w:bookmarkStart w:id="426" w:name="_Toc144974539"/>
      <w:bookmarkStart w:id="427" w:name="_Toc26057"/>
      <w:bookmarkStart w:id="428" w:name="_Toc38879331"/>
      <w:r>
        <w:rPr>
          <w:rFonts w:hint="eastAsia" w:ascii="Times New Roman" w:hAnsi="Times New Roman"/>
          <w:smallCaps w:val="0"/>
          <w:color w:val="000000" w:themeColor="text1"/>
          <w:highlight w:val="none"/>
          <w:lang w:val="en-US" w:eastAsia="zh-CN"/>
          <w14:textFill>
            <w14:solidFill>
              <w14:schemeClr w14:val="tx1"/>
            </w14:solidFill>
          </w14:textFill>
        </w:rPr>
        <w:t>9</w:t>
      </w:r>
      <w:r>
        <w:rPr>
          <w:rFonts w:hint="eastAsia" w:ascii="Times New Roman" w:hAnsi="Times New Roman"/>
          <w:smallCaps w:val="0"/>
          <w:color w:val="000000" w:themeColor="text1"/>
          <w:highlight w:val="none"/>
          <w14:textFill>
            <w14:solidFill>
              <w14:schemeClr w14:val="tx1"/>
            </w14:solidFill>
          </w14:textFill>
        </w:rPr>
        <w:t>. 重新招标和不再招标</w:t>
      </w:r>
      <w:bookmarkEnd w:id="421"/>
      <w:bookmarkEnd w:id="422"/>
      <w:bookmarkEnd w:id="423"/>
      <w:bookmarkEnd w:id="424"/>
      <w:bookmarkEnd w:id="425"/>
      <w:bookmarkEnd w:id="426"/>
      <w:bookmarkEnd w:id="427"/>
      <w:bookmarkEnd w:id="428"/>
    </w:p>
    <w:p w14:paraId="3E0136DD">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29" w:name="_Toc152042348"/>
      <w:bookmarkStart w:id="430" w:name="_Toc179632590"/>
      <w:bookmarkStart w:id="431" w:name="_Toc144974540"/>
      <w:bookmarkStart w:id="432" w:name="_Toc152045572"/>
      <w:bookmarkStart w:id="433" w:name="_Toc26481"/>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9.1 重新招标</w:t>
      </w:r>
      <w:bookmarkEnd w:id="429"/>
      <w:bookmarkEnd w:id="430"/>
      <w:bookmarkEnd w:id="431"/>
      <w:bookmarkEnd w:id="432"/>
    </w:p>
    <w:bookmarkEnd w:id="433"/>
    <w:p w14:paraId="65DC738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依法必须招标的项目有下列情形之一的，招标人将重新招标</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616626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（1）投标截止时间止，投标人少于3个的；</w:t>
      </w:r>
    </w:p>
    <w:p w14:paraId="23FA3ED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（2）经评标委员会评审后否决所有投标的；</w:t>
      </w:r>
    </w:p>
    <w:p w14:paraId="4BF86B78">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（3）中标候选人均未与招标人签订合同的；</w:t>
      </w:r>
    </w:p>
    <w:p w14:paraId="01894B1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（4）法律、法规规定的其他情形。</w:t>
      </w:r>
    </w:p>
    <w:p w14:paraId="6C73FB62">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34" w:name="_Toc152042349"/>
      <w:bookmarkStart w:id="435" w:name="_Toc144974541"/>
      <w:bookmarkStart w:id="436" w:name="_Toc152045573"/>
      <w:bookmarkStart w:id="437" w:name="_Toc179632591"/>
      <w:bookmarkStart w:id="438" w:name="_Toc26163"/>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9.2 不再招标</w:t>
      </w:r>
      <w:bookmarkEnd w:id="434"/>
      <w:bookmarkEnd w:id="435"/>
      <w:bookmarkEnd w:id="436"/>
      <w:bookmarkEnd w:id="437"/>
    </w:p>
    <w:bookmarkEnd w:id="438"/>
    <w:p w14:paraId="4CF1991C">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重新招标后投标人仍少于3个或者所有投标被否决的，属于必须审批或核准的工程建设项目，经原审批或核准部门批准后不再进行招标。涉及政府采购的，按照政府采购法律法规规定执行</w:t>
      </w:r>
      <w:r>
        <w:rPr>
          <w:rFonts w:hint="eastAsia" w:ascii="Times New Roman" w:hAnsi="Times New Roman"/>
          <w:smallCaps w:val="0"/>
          <w:color w:val="000000" w:themeColor="text1"/>
          <w:highlight w:val="none"/>
          <w:lang w:eastAsia="zh-CN"/>
          <w14:textFill>
            <w14:solidFill>
              <w14:schemeClr w14:val="tx1"/>
            </w14:solidFill>
          </w14:textFill>
        </w:rPr>
        <w:t>。</w:t>
      </w:r>
    </w:p>
    <w:p w14:paraId="02AE9914">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439" w:name="_Toc13242"/>
      <w:bookmarkStart w:id="440" w:name="_Toc26015"/>
      <w:bookmarkStart w:id="441" w:name="_Toc152042350"/>
      <w:bookmarkStart w:id="442" w:name="_Toc7200"/>
      <w:bookmarkStart w:id="443" w:name="_Toc38879332"/>
      <w:bookmarkStart w:id="444" w:name="_Toc152045574"/>
      <w:bookmarkStart w:id="445" w:name="_Toc144974542"/>
      <w:bookmarkStart w:id="446" w:name="_Toc179632592"/>
      <w:r>
        <w:rPr>
          <w:rFonts w:hint="eastAsia" w:ascii="Times New Roman" w:hAnsi="Times New Roman"/>
          <w:smallCaps w:val="0"/>
          <w:color w:val="000000" w:themeColor="text1"/>
          <w:highlight w:val="none"/>
          <w:lang w:val="en-US" w:eastAsia="zh-CN"/>
          <w14:textFill>
            <w14:solidFill>
              <w14:schemeClr w14:val="tx1"/>
            </w14:solidFill>
          </w14:textFill>
        </w:rPr>
        <w:t>10</w:t>
      </w:r>
      <w:r>
        <w:rPr>
          <w:rFonts w:hint="eastAsia" w:ascii="Times New Roman" w:hAnsi="Times New Roman"/>
          <w:smallCaps w:val="0"/>
          <w:color w:val="000000" w:themeColor="text1"/>
          <w:highlight w:val="none"/>
          <w14:textFill>
            <w14:solidFill>
              <w14:schemeClr w14:val="tx1"/>
            </w14:solidFill>
          </w14:textFill>
        </w:rPr>
        <w:t>. 纪律和监督</w:t>
      </w:r>
      <w:bookmarkEnd w:id="439"/>
      <w:bookmarkEnd w:id="440"/>
      <w:bookmarkEnd w:id="441"/>
      <w:bookmarkEnd w:id="442"/>
      <w:bookmarkEnd w:id="443"/>
      <w:bookmarkEnd w:id="444"/>
      <w:bookmarkEnd w:id="445"/>
      <w:bookmarkEnd w:id="446"/>
    </w:p>
    <w:p w14:paraId="1A944075">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47" w:name="_Toc179632593"/>
      <w:bookmarkStart w:id="448" w:name="_Toc144974543"/>
      <w:bookmarkStart w:id="449" w:name="_Toc152045575"/>
      <w:bookmarkStart w:id="450" w:name="_Toc152042351"/>
      <w:bookmarkStart w:id="451" w:name="_Toc25708"/>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10.1 对招标人的纪律要求</w:t>
      </w:r>
      <w:bookmarkEnd w:id="447"/>
      <w:bookmarkEnd w:id="448"/>
      <w:bookmarkEnd w:id="449"/>
      <w:bookmarkEnd w:id="450"/>
    </w:p>
    <w:bookmarkEnd w:id="451"/>
    <w:p w14:paraId="1D653D0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招标人不得泄漏招标投标活动中应当保密的情况和资料，不得与投标人串通损害国家利益、社会公共利益或者他人合法权益。</w:t>
      </w:r>
    </w:p>
    <w:p w14:paraId="2FBECF8F">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52" w:name="_Toc179632594"/>
      <w:bookmarkStart w:id="453" w:name="_Toc152042352"/>
      <w:bookmarkStart w:id="454" w:name="_Toc152045576"/>
      <w:bookmarkStart w:id="455" w:name="_Toc144974544"/>
      <w:bookmarkStart w:id="456" w:name="_Toc25204"/>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10.2 对投标人的纪律要求</w:t>
      </w:r>
      <w:bookmarkEnd w:id="452"/>
      <w:bookmarkEnd w:id="453"/>
      <w:bookmarkEnd w:id="454"/>
      <w:bookmarkEnd w:id="455"/>
    </w:p>
    <w:bookmarkEnd w:id="456"/>
    <w:p w14:paraId="73E8421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BAFF7AE">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57" w:name="_Toc152045577"/>
      <w:bookmarkStart w:id="458" w:name="_Toc152042353"/>
      <w:bookmarkStart w:id="459" w:name="_Toc179632595"/>
      <w:bookmarkStart w:id="460" w:name="_Toc144974545"/>
      <w:bookmarkStart w:id="461" w:name="_Toc25653"/>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10.3 对评标委员会成员的纪律要求</w:t>
      </w:r>
      <w:bookmarkEnd w:id="457"/>
      <w:bookmarkEnd w:id="458"/>
      <w:bookmarkEnd w:id="459"/>
      <w:bookmarkEnd w:id="460"/>
    </w:p>
    <w:bookmarkEnd w:id="461"/>
    <w:p w14:paraId="6401944A">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”没有规定的评审因素和标准进行评标。</w:t>
      </w:r>
    </w:p>
    <w:p w14:paraId="1C15C9FE">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62" w:name="_Toc152042354"/>
      <w:bookmarkStart w:id="463" w:name="_Toc152045578"/>
      <w:bookmarkStart w:id="464" w:name="_Toc179632596"/>
      <w:bookmarkStart w:id="465" w:name="_Toc9944"/>
      <w:bookmarkStart w:id="466" w:name="_Toc144974546"/>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10.4 对与评标活动有关的工作人员的纪律要求</w:t>
      </w:r>
      <w:bookmarkEnd w:id="462"/>
      <w:bookmarkEnd w:id="463"/>
      <w:bookmarkEnd w:id="464"/>
    </w:p>
    <w:bookmarkEnd w:id="465"/>
    <w:p w14:paraId="245F4C56">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467" w:name="_Toc152042355"/>
      <w:r>
        <w:rPr>
          <w:rFonts w:hint="eastAsia" w:ascii="Times New Roman" w:hAnsi="Times New Roman"/>
          <w:smallCaps w:val="0"/>
          <w:color w:val="000000" w:themeColor="text1"/>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467"/>
    </w:p>
    <w:p w14:paraId="07E31C18">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468" w:name="_Toc152042356"/>
      <w:bookmarkStart w:id="469" w:name="_Toc179632597"/>
      <w:bookmarkStart w:id="470" w:name="_Toc152045579"/>
      <w:bookmarkStart w:id="471" w:name="_Toc5353"/>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10.5 投诉</w:t>
      </w:r>
      <w:bookmarkEnd w:id="466"/>
      <w:bookmarkEnd w:id="468"/>
      <w:bookmarkEnd w:id="469"/>
      <w:bookmarkEnd w:id="470"/>
    </w:p>
    <w:bookmarkEnd w:id="471"/>
    <w:p w14:paraId="1B14F362">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10</w:t>
      </w:r>
      <w:r>
        <w:rPr>
          <w:rFonts w:hint="eastAsia" w:ascii="Times New Roman" w:hAnsi="Times New Roman"/>
          <w:smallCaps w:val="0"/>
          <w:color w:val="000000" w:themeColor="text1"/>
          <w:highlight w:val="none"/>
          <w14:textFill>
            <w14:solidFill>
              <w14:schemeClr w14:val="tx1"/>
            </w14:solidFill>
          </w14:textFill>
        </w:rPr>
        <w:t>.5.1 投标人或者其他利害关系人认为本次招标活动违反法律、法规和规章规定的，</w:t>
      </w:r>
      <w:r>
        <w:rPr>
          <w:rFonts w:hint="eastAsia" w:ascii="Times New Roman" w:hAnsi="Times New Roman"/>
          <w:smallCaps w:val="0"/>
          <w:color w:val="000000" w:themeColor="text1"/>
          <w:highlight w:val="none"/>
          <w:lang w:eastAsia="zh-CN"/>
          <w14:textFill>
            <w14:solidFill>
              <w14:schemeClr w14:val="tx1"/>
            </w14:solidFill>
          </w14:textFill>
        </w:rPr>
        <w:t>有权</w:t>
      </w:r>
      <w:r>
        <w:rPr>
          <w:rFonts w:hint="eastAsia" w:ascii="Times New Roman" w:hAnsi="Times New Roman"/>
          <w:smallCaps w:val="0"/>
          <w:color w:val="000000" w:themeColor="text1"/>
          <w:highlight w:val="none"/>
          <w14:textFill>
            <w14:solidFill>
              <w14:schemeClr w14:val="tx1"/>
            </w14:solidFill>
          </w14:textFill>
        </w:rPr>
        <w:t>自知道或者应当知道之日起10日内向相关行政监督部门投诉。投诉应当有明确的请求和必要的证明材料。</w:t>
      </w:r>
      <w:r>
        <w:rPr>
          <w:rFonts w:hint="eastAsia" w:ascii="Times New Roman" w:hAnsi="Times New Roman"/>
          <w:smallCaps w:val="0"/>
          <w:color w:val="000000" w:themeColor="text1"/>
          <w:highlight w:val="none"/>
          <w:lang w:val="en-US" w:eastAsia="zh-CN"/>
          <w14:textFill>
            <w14:solidFill>
              <w14:schemeClr w14:val="tx1"/>
            </w14:solidFill>
          </w14:textFill>
        </w:rPr>
        <w:t>10</w:t>
      </w:r>
      <w:r>
        <w:rPr>
          <w:rFonts w:hint="eastAsia" w:ascii="Times New Roman" w:hAnsi="Times New Roman"/>
          <w:smallCaps w:val="0"/>
          <w:color w:val="000000" w:themeColor="text1"/>
          <w:highlight w:val="none"/>
          <w14:textFill>
            <w14:solidFill>
              <w14:schemeClr w14:val="tx1"/>
            </w14:solidFill>
          </w14:textFill>
        </w:rPr>
        <w:t>.5.2 投标人或者其他利害关系人对招标文件、开标和评标结果提出投诉的，应当按照投标人须知第2.4款、第5.3款和第</w:t>
      </w:r>
      <w:r>
        <w:rPr>
          <w:rFonts w:hint="eastAsia" w:ascii="Times New Roman" w:hAnsi="Times New Roman"/>
          <w:smallCaps w:val="0"/>
          <w:color w:val="000000" w:themeColor="text1"/>
          <w:highlight w:val="none"/>
          <w:lang w:val="en-US" w:eastAsia="zh-CN"/>
          <w14:textFill>
            <w14:solidFill>
              <w14:schemeClr w14:val="tx1"/>
            </w14:solidFill>
          </w14:textFill>
        </w:rPr>
        <w:t>6</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款的规定先向招标人提出异议。异议答复期间</w:t>
      </w:r>
      <w:bookmarkStart w:id="472" w:name="_Toc384308255"/>
      <w:bookmarkStart w:id="473" w:name="_Toc369531561"/>
      <w:bookmarkStart w:id="474" w:name="_Toc352691517"/>
      <w:bookmarkStart w:id="475" w:name="_Toc300834993"/>
      <w:bookmarkStart w:id="476" w:name="_Toc247527595"/>
      <w:bookmarkStart w:id="477" w:name="_Toc247513994"/>
      <w:bookmarkStart w:id="478" w:name="_Toc12776"/>
      <w:bookmarkStart w:id="479" w:name="_Toc361508630"/>
      <w:r>
        <w:rPr>
          <w:rFonts w:hint="eastAsia" w:ascii="Times New Roman" w:hAnsi="Times New Roman"/>
          <w:smallCaps w:val="0"/>
          <w:color w:val="000000" w:themeColor="text1"/>
          <w:highlight w:val="none"/>
          <w14:textFill>
            <w14:solidFill>
              <w14:schemeClr w14:val="tx1"/>
            </w14:solidFill>
          </w14:textFill>
        </w:rPr>
        <w:t>不计算在第</w:t>
      </w:r>
      <w:r>
        <w:rPr>
          <w:rFonts w:hint="eastAsia" w:ascii="Times New Roman" w:hAnsi="Times New Roman"/>
          <w:smallCaps w:val="0"/>
          <w:color w:val="000000" w:themeColor="text1"/>
          <w:highlight w:val="none"/>
          <w:lang w:val="en-US" w:eastAsia="zh-CN"/>
          <w14:textFill>
            <w14:solidFill>
              <w14:schemeClr w14:val="tx1"/>
            </w14:solidFill>
          </w14:textFill>
        </w:rPr>
        <w:t>10</w:t>
      </w:r>
      <w:r>
        <w:rPr>
          <w:rFonts w:hint="eastAsia" w:ascii="Times New Roman" w:hAnsi="Times New Roman"/>
          <w:smallCaps w:val="0"/>
          <w:color w:val="000000" w:themeColor="text1"/>
          <w:highlight w:val="none"/>
          <w14:textFill>
            <w14:solidFill>
              <w14:schemeClr w14:val="tx1"/>
            </w14:solidFill>
          </w14:textFill>
        </w:rPr>
        <w:t>.5.</w:t>
      </w:r>
      <w:bookmarkEnd w:id="472"/>
      <w:bookmarkEnd w:id="473"/>
      <w:bookmarkEnd w:id="474"/>
      <w:bookmarkEnd w:id="475"/>
      <w:bookmarkEnd w:id="476"/>
      <w:bookmarkEnd w:id="477"/>
      <w:bookmarkEnd w:id="478"/>
      <w:bookmarkEnd w:id="479"/>
      <w:r>
        <w:rPr>
          <w:rFonts w:hint="eastAsia" w:ascii="Times New Roman" w:hAnsi="Times New Roman"/>
          <w:smallCaps w:val="0"/>
          <w:color w:val="000000" w:themeColor="text1"/>
          <w:highlight w:val="none"/>
          <w14:textFill>
            <w14:solidFill>
              <w14:schemeClr w14:val="tx1"/>
            </w14:solidFill>
          </w14:textFill>
        </w:rPr>
        <w:t>1项规定的期限内。</w:t>
      </w:r>
    </w:p>
    <w:p w14:paraId="7160D94A">
      <w:pPr>
        <w:pStyle w:val="77"/>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480" w:name="_Toc16316"/>
      <w:bookmarkStart w:id="481" w:name="_Toc179632598"/>
      <w:bookmarkStart w:id="482" w:name="_Toc38879333"/>
      <w:bookmarkStart w:id="483" w:name="_Toc14300"/>
      <w:bookmarkStart w:id="484" w:name="_Toc13019"/>
      <w:bookmarkStart w:id="485" w:name="_Toc152045580"/>
      <w:bookmarkStart w:id="486" w:name="_Toc152042357"/>
      <w:bookmarkStart w:id="487" w:name="_Toc144974547"/>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 需要补充的其他内容</w:t>
      </w:r>
      <w:bookmarkEnd w:id="480"/>
      <w:bookmarkEnd w:id="481"/>
      <w:bookmarkEnd w:id="482"/>
      <w:bookmarkEnd w:id="483"/>
      <w:bookmarkEnd w:id="484"/>
      <w:bookmarkEnd w:id="485"/>
      <w:bookmarkEnd w:id="486"/>
      <w:bookmarkEnd w:id="487"/>
    </w:p>
    <w:p w14:paraId="7CAB855E">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需要补充的其他内容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见投标人须知前附表。</w:t>
      </w:r>
    </w:p>
    <w:p w14:paraId="271226AB">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p>
    <w:p w14:paraId="2E67702F">
      <w:pPr>
        <w:pStyle w:val="77"/>
        <w:keepNext/>
        <w:keepLines/>
        <w:pageBreakBefore w:val="0"/>
        <w:widowControl w:val="0"/>
        <w:kinsoku/>
        <w:wordWrap w:val="0"/>
        <w:overflowPunct/>
        <w:topLinePunct w:val="0"/>
        <w:autoSpaceDE/>
        <w:autoSpaceDN/>
        <w:bidi w:val="0"/>
        <w:adjustRightInd/>
        <w:snapToGrid/>
        <w:spacing w:before="0" w:line="360" w:lineRule="auto"/>
        <w:textAlignment w:val="auto"/>
        <w:rPr>
          <w:rFonts w:hint="eastAsia" w:ascii="Times New Roman" w:hAnsi="Times New Roman"/>
          <w:smallCaps w:val="0"/>
          <w:color w:val="000000" w:themeColor="text1"/>
          <w:highlight w:val="none"/>
          <w14:textFill>
            <w14:solidFill>
              <w14:schemeClr w14:val="tx1"/>
            </w14:solidFill>
          </w14:textFill>
        </w:rPr>
      </w:pPr>
      <w:bookmarkStart w:id="488" w:name="_Toc16200"/>
      <w:r>
        <w:rPr>
          <w:rFonts w:hint="eastAsia" w:ascii="Times New Roman" w:hAnsi="Times New Roman"/>
          <w:smallCaps w:val="0"/>
          <w:color w:val="000000" w:themeColor="text1"/>
          <w:highlight w:val="none"/>
          <w:lang w:val="en-US" w:eastAsia="zh-CN"/>
          <w14:textFill>
            <w14:solidFill>
              <w14:schemeClr w14:val="tx1"/>
            </w14:solidFill>
          </w14:textFill>
        </w:rPr>
        <w:t xml:space="preserve">12. </w:t>
      </w:r>
      <w:r>
        <w:rPr>
          <w:rFonts w:hint="eastAsia" w:ascii="Times New Roman" w:hAnsi="Times New Roman"/>
          <w:smallCaps w:val="0"/>
          <w:color w:val="000000" w:themeColor="text1"/>
          <w:highlight w:val="none"/>
          <w14:textFill>
            <w14:solidFill>
              <w14:schemeClr w14:val="tx1"/>
            </w14:solidFill>
          </w14:textFill>
        </w:rPr>
        <w:t>电子招投标相关要求</w:t>
      </w:r>
      <w:bookmarkEnd w:id="488"/>
    </w:p>
    <w:p w14:paraId="33B44064">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投标人登录淮南市公共资源交易中心网站（http://jy.ggj.huainan.gov.cn/）。在首页——资料下载中自行查阅电子交易系统操作手册、电子投标保函使用手册、淮南公共资源交易平台（投标人）操作手册等内容。在首页——办事指南中查询CA数字证书和电子签章等操作事项。</w:t>
      </w:r>
    </w:p>
    <w:p w14:paraId="66ABA01C">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招标文件获取过程中有技术或操作疑问，请拨打交易平台技术支持热线：0512-58188516。</w:t>
      </w:r>
    </w:p>
    <w:p w14:paraId="24E4848E">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CA锁（证书KEY）办理、续费、登录等问题，请查阅本网站“办事指南”栏目中“CA数字证书和电子签章”内容，也可拨打驻交易中心电话0554-6818265-4。</w:t>
      </w:r>
    </w:p>
    <w:p w14:paraId="4E320EC0">
      <w:pPr>
        <w:pStyle w:val="79"/>
        <w:pageBreakBefore w:val="0"/>
        <w:widowControl w:val="0"/>
        <w:kinsoku/>
        <w:wordWrap w:val="0"/>
        <w:overflowPunct/>
        <w:topLinePunct w:val="0"/>
        <w:autoSpaceDE/>
        <w:autoSpaceDN/>
        <w:bidi w:val="0"/>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p>
    <w:p w14:paraId="6EC432FD">
      <w:pPr>
        <w:pageBreakBefore w:val="0"/>
        <w:kinsoku/>
        <w:wordWrap w:val="0"/>
        <w:overflowPunct/>
        <w:bidi w:val="0"/>
        <w:adjustRightInd w:val="0"/>
        <w:snapToGrid w:val="0"/>
        <w:spacing w:line="600" w:lineRule="exact"/>
        <w:ind w:firstLine="480" w:firstLineChars="200"/>
        <w:rPr>
          <w:rFonts w:hint="eastAsia" w:ascii="Times New Roman" w:hAnsi="Times New Roman" w:cs="宋体"/>
          <w:smallCaps w:val="0"/>
          <w:color w:val="000000" w:themeColor="text1"/>
          <w:highlight w:val="none"/>
          <w14:textFill>
            <w14:solidFill>
              <w14:schemeClr w14:val="tx1"/>
            </w14:solidFill>
          </w14:textFill>
        </w:rPr>
      </w:pPr>
    </w:p>
    <w:p w14:paraId="2ECCF319">
      <w:pPr>
        <w:pageBreakBefore w:val="0"/>
        <w:kinsoku/>
        <w:wordWrap w:val="0"/>
        <w:overflowPunct/>
        <w:bidi w:val="0"/>
        <w:adjustRightInd w:val="0"/>
        <w:snapToGrid w:val="0"/>
        <w:spacing w:line="600" w:lineRule="exact"/>
        <w:ind w:firstLine="0" w:firstLineChars="0"/>
        <w:rPr>
          <w:rFonts w:hint="eastAsia" w:ascii="Times New Roman" w:hAnsi="Times New Roman" w:cs="宋体"/>
          <w:smallCaps w:val="0"/>
          <w:color w:val="000000" w:themeColor="text1"/>
          <w:highlight w:val="none"/>
          <w14:textFill>
            <w14:solidFill>
              <w14:schemeClr w14:val="tx1"/>
            </w14:solidFill>
          </w14:textFill>
        </w:rPr>
        <w:sectPr>
          <w:footerReference r:id="rId12" w:type="default"/>
          <w:footnotePr>
            <w:numFmt w:val="decimalEnclosedCircleChinese"/>
            <w:numRestart w:val="eachPage"/>
          </w:footnotePr>
          <w:pgSz w:w="11907" w:h="16840"/>
          <w:pgMar w:top="1474" w:right="1474" w:bottom="1474" w:left="1474" w:header="799" w:footer="907" w:gutter="0"/>
          <w:pgNumType w:fmt="decimal"/>
          <w:cols w:space="720" w:num="1"/>
          <w:docGrid w:linePitch="271" w:charSpace="0"/>
        </w:sectPr>
      </w:pPr>
    </w:p>
    <w:p w14:paraId="1B8240D6">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407CF04D">
      <w:pPr>
        <w:pStyle w:val="40"/>
        <w:pageBreakBefore w:val="0"/>
        <w:numPr>
          <w:ilvl w:val="0"/>
          <w:numId w:val="0"/>
        </w:numPr>
        <w:kinsoku/>
        <w:wordWrap w:val="0"/>
        <w:overflowPunct/>
        <w:bidi w:val="0"/>
        <w:rPr>
          <w:rFonts w:hint="eastAsia"/>
          <w:color w:val="000000" w:themeColor="text1"/>
          <w:highlight w:val="none"/>
          <w:lang w:val="en-US" w:eastAsia="zh-CN"/>
          <w14:textFill>
            <w14:solidFill>
              <w14:schemeClr w14:val="tx1"/>
            </w14:solidFill>
          </w14:textFill>
        </w:rPr>
      </w:pPr>
      <w:bookmarkStart w:id="489" w:name="_Toc10400"/>
      <w:bookmarkStart w:id="490" w:name="_Toc25668"/>
      <w:bookmarkStart w:id="491" w:name="_Toc23394"/>
      <w:r>
        <w:rPr>
          <w:rFonts w:hint="eastAsia"/>
          <w:color w:val="000000" w:themeColor="text1"/>
          <w:highlight w:val="none"/>
          <w:lang w:val="en-US" w:eastAsia="zh-CN"/>
          <w14:textFill>
            <w14:solidFill>
              <w14:schemeClr w14:val="tx1"/>
            </w14:solidFill>
          </w14:textFill>
        </w:rPr>
        <w:t>第三章  评标及定标</w:t>
      </w:r>
      <w:bookmarkEnd w:id="489"/>
      <w:bookmarkEnd w:id="490"/>
      <w:bookmarkEnd w:id="491"/>
    </w:p>
    <w:p w14:paraId="0769D97D">
      <w:pPr>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p>
    <w:p w14:paraId="0BAB40FA">
      <w:pPr>
        <w:pStyle w:val="40"/>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bookmarkStart w:id="492" w:name="_Toc1129"/>
      <w:bookmarkStart w:id="493" w:name="_Toc9174"/>
      <w:bookmarkStart w:id="494" w:name="_Toc637"/>
      <w:r>
        <w:rPr>
          <w:rFonts w:hint="eastAsia" w:ascii="Times New Roman" w:hAnsi="Times New Roman"/>
          <w:smallCaps w:val="0"/>
          <w:color w:val="000000" w:themeColor="text1"/>
          <w:highlight w:val="none"/>
          <w14:textFill>
            <w14:solidFill>
              <w14:schemeClr w14:val="tx1"/>
            </w14:solidFill>
          </w14:textFill>
        </w:rPr>
        <w:t>（第一种</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经评审的最低投标价法</w:t>
      </w:r>
      <w:bookmarkEnd w:id="492"/>
      <w:bookmarkEnd w:id="493"/>
      <w:r>
        <w:rPr>
          <w:rFonts w:hint="eastAsia" w:ascii="Times New Roman" w:hAnsi="Times New Roman"/>
          <w:smallCaps w:val="0"/>
          <w:color w:val="000000" w:themeColor="text1"/>
          <w:highlight w:val="none"/>
          <w:lang w:eastAsia="zh-CN"/>
          <w14:textFill>
            <w14:solidFill>
              <w14:schemeClr w14:val="tx1"/>
            </w14:solidFill>
          </w14:textFill>
        </w:rPr>
        <w:t>）</w:t>
      </w:r>
      <w:bookmarkEnd w:id="494"/>
    </w:p>
    <w:p w14:paraId="53AB41D4">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1547CC6E">
      <w:pPr>
        <w:pStyle w:val="77"/>
        <w:pageBreakBefore w:val="0"/>
        <w:kinsoku/>
        <w:wordWrap w:val="0"/>
        <w:overflowPunct/>
        <w:bidi w:val="0"/>
        <w:outlineLvl w:val="1"/>
        <w:rPr>
          <w:rFonts w:hint="eastAsia" w:ascii="Times New Roman" w:hAnsi="Times New Roman"/>
          <w:smallCaps w:val="0"/>
          <w:color w:val="000000" w:themeColor="text1"/>
          <w:highlight w:val="none"/>
          <w14:textFill>
            <w14:solidFill>
              <w14:schemeClr w14:val="tx1"/>
            </w14:solidFill>
          </w14:textFill>
        </w:rPr>
      </w:pPr>
      <w:bookmarkStart w:id="495" w:name="_Toc1870"/>
      <w:bookmarkStart w:id="496" w:name="_Toc29622"/>
      <w:bookmarkStart w:id="497" w:name="_Toc32208"/>
      <w:r>
        <w:rPr>
          <w:rFonts w:hint="eastAsia" w:ascii="Times New Roman" w:hAnsi="Times New Roman"/>
          <w:smallCaps w:val="0"/>
          <w:color w:val="000000" w:themeColor="text1"/>
          <w:highlight w:val="none"/>
          <w14:textFill>
            <w14:solidFill>
              <w14:schemeClr w14:val="tx1"/>
            </w14:solidFill>
          </w14:textFill>
        </w:rPr>
        <w:t>评标办法前附表</w:t>
      </w:r>
      <w:bookmarkEnd w:id="495"/>
      <w:bookmarkEnd w:id="496"/>
      <w:bookmarkEnd w:id="497"/>
    </w:p>
    <w:tbl>
      <w:tblPr>
        <w:tblStyle w:val="22"/>
        <w:tblW w:w="51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5"/>
        <w:gridCol w:w="899"/>
        <w:gridCol w:w="2310"/>
        <w:gridCol w:w="5367"/>
      </w:tblGrid>
      <w:tr w14:paraId="0A34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380" w:type="pct"/>
            <w:shd w:val="clear" w:color="auto" w:fill="D7D7D7" w:themeFill="background1" w:themeFillShade="D8"/>
            <w:noWrap w:val="0"/>
            <w:vAlign w:val="center"/>
          </w:tcPr>
          <w:p w14:paraId="58B4F63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1728" w:type="pct"/>
            <w:gridSpan w:val="2"/>
            <w:shd w:val="clear" w:color="auto" w:fill="D7D7D7" w:themeFill="background1" w:themeFillShade="D8"/>
            <w:noWrap w:val="0"/>
            <w:vAlign w:val="center"/>
          </w:tcPr>
          <w:p w14:paraId="384828C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2890" w:type="pct"/>
            <w:shd w:val="clear" w:color="auto" w:fill="D7D7D7" w:themeFill="background1" w:themeFillShade="D8"/>
            <w:noWrap w:val="0"/>
            <w:vAlign w:val="center"/>
          </w:tcPr>
          <w:p w14:paraId="208484D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2ADC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vMerge w:val="restart"/>
            <w:noWrap w:val="0"/>
            <w:vAlign w:val="center"/>
          </w:tcPr>
          <w:p w14:paraId="573AF17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484" w:type="pct"/>
            <w:vMerge w:val="restart"/>
            <w:noWrap w:val="0"/>
            <w:vAlign w:val="center"/>
          </w:tcPr>
          <w:p w14:paraId="4D0FD1E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评标办法</w:t>
            </w:r>
          </w:p>
        </w:tc>
        <w:tc>
          <w:tcPr>
            <w:tcW w:w="1244" w:type="pct"/>
            <w:noWrap w:val="0"/>
            <w:tcMar>
              <w:left w:w="75" w:type="dxa"/>
            </w:tcMar>
            <w:vAlign w:val="center"/>
          </w:tcPr>
          <w:p w14:paraId="5E38B5D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中标候选人排序方法</w:t>
            </w:r>
          </w:p>
        </w:tc>
        <w:tc>
          <w:tcPr>
            <w:tcW w:w="2890" w:type="pct"/>
            <w:noWrap w:val="0"/>
            <w:tcMar>
              <w:left w:w="75" w:type="dxa"/>
            </w:tcMar>
            <w:vAlign w:val="center"/>
          </w:tcPr>
          <w:p w14:paraId="6D9D6173">
            <w:pPr>
              <w:pStyle w:val="79"/>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400" w:lineRule="exact"/>
              <w:ind w:left="0" w:leftChars="0" w:right="0"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按照经评审的投标报价由低到高的顺序依次对投标人的商务文件、报价文件和技术文件进行评审，</w:t>
            </w:r>
            <w:r>
              <w:rPr>
                <w:rFonts w:hint="eastAsia" w:ascii="宋体" w:hAnsi="宋体" w:eastAsia="宋体" w:cs="Times New Roman"/>
                <w:color w:val="000000" w:themeColor="text1"/>
                <w:kern w:val="2"/>
                <w:sz w:val="21"/>
                <w:szCs w:val="21"/>
                <w:highlight w:val="none"/>
                <w:lang w:val="en-US" w:eastAsia="zh-CN" w:bidi="ar"/>
                <w14:textFill>
                  <w14:solidFill>
                    <w14:schemeClr w14:val="tx1"/>
                  </w14:solidFill>
                </w14:textFill>
              </w:rPr>
              <w:t>最先全部通过的即为第一中标候选人，直至推荐出招标文件规定数量的中标候选人</w:t>
            </w:r>
            <w:r>
              <w:rPr>
                <w:rFonts w:hint="eastAsia" w:ascii="Times New Roman" w:hAnsi="Times New Roman"/>
                <w:smallCaps w:val="0"/>
                <w:color w:val="000000" w:themeColor="text1"/>
                <w:highlight w:val="none"/>
                <w:lang w:val="en-US" w:eastAsia="zh-CN"/>
                <w14:textFill>
                  <w14:solidFill>
                    <w14:schemeClr w14:val="tx1"/>
                  </w14:solidFill>
                </w14:textFill>
              </w:rPr>
              <w:t>或根据招标人授权直接确定中标人，但投标报价低于其成本或未通过异常低价评审的除外。</w:t>
            </w:r>
          </w:p>
        </w:tc>
      </w:tr>
      <w:tr w14:paraId="4F36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vMerge w:val="continue"/>
            <w:noWrap w:val="0"/>
            <w:vAlign w:val="center"/>
          </w:tcPr>
          <w:p w14:paraId="7AC6445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1E424A8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44" w:type="pct"/>
            <w:noWrap w:val="0"/>
            <w:tcMar>
              <w:left w:w="75" w:type="dxa"/>
            </w:tcMar>
            <w:vAlign w:val="center"/>
          </w:tcPr>
          <w:p w14:paraId="0DA6912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推荐中标候选人的</w:t>
            </w:r>
            <w:r>
              <w:rPr>
                <w:rFonts w:hint="eastAsia" w:ascii="Times New Roman" w:hAnsi="Times New Roman"/>
                <w:smallCaps w:val="0"/>
                <w:color w:val="000000" w:themeColor="text1"/>
                <w:highlight w:val="none"/>
                <w14:textFill>
                  <w14:solidFill>
                    <w14:schemeClr w14:val="tx1"/>
                  </w14:solidFill>
                </w14:textFill>
              </w:rPr>
              <w:t>先后顺序</w:t>
            </w:r>
            <w:r>
              <w:rPr>
                <w:rStyle w:val="28"/>
                <w:rFonts w:hint="eastAsia" w:ascii="Times New Roman" w:hAnsi="Times New Roman" w:eastAsia="宋体" w:cs="宋体"/>
                <w:b w:val="0"/>
                <w:bCs/>
                <w:smallCaps w:val="0"/>
                <w:color w:val="000000" w:themeColor="text1"/>
                <w:kern w:val="0"/>
                <w:szCs w:val="21"/>
                <w:highlight w:val="none"/>
                <w14:textFill>
                  <w14:solidFill>
                    <w14:schemeClr w14:val="tx1"/>
                  </w14:solidFill>
                </w14:textFill>
              </w:rPr>
              <w:footnoteReference w:id="41"/>
            </w:r>
          </w:p>
        </w:tc>
        <w:tc>
          <w:tcPr>
            <w:tcW w:w="2890" w:type="pct"/>
            <w:noWrap w:val="0"/>
            <w:tcMar>
              <w:left w:w="75" w:type="dxa"/>
            </w:tcMar>
            <w:vAlign w:val="center"/>
          </w:tcPr>
          <w:p w14:paraId="1F1D136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0AAC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vMerge w:val="continue"/>
            <w:noWrap w:val="0"/>
            <w:vAlign w:val="center"/>
          </w:tcPr>
          <w:p w14:paraId="16E0ED7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2A70A7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44" w:type="pct"/>
            <w:noWrap w:val="0"/>
            <w:tcMar>
              <w:left w:w="75" w:type="dxa"/>
            </w:tcMar>
            <w:vAlign w:val="center"/>
          </w:tcPr>
          <w:p w14:paraId="3BDD263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最多可中标段数量</w:t>
            </w:r>
            <w:r>
              <w:rPr>
                <w:rStyle w:val="28"/>
                <w:rFonts w:hint="eastAsia" w:ascii="Times New Roman" w:hAnsi="Times New Roman" w:eastAsia="宋体" w:cs="宋体"/>
                <w:b w:val="0"/>
                <w:bCs/>
                <w:smallCaps w:val="0"/>
                <w:color w:val="000000" w:themeColor="text1"/>
                <w:kern w:val="0"/>
                <w:szCs w:val="21"/>
                <w:highlight w:val="none"/>
                <w:vertAlign w:val="superscript"/>
                <w14:textFill>
                  <w14:solidFill>
                    <w14:schemeClr w14:val="tx1"/>
                  </w14:solidFill>
                </w14:textFill>
              </w:rPr>
              <w:footnoteReference w:id="42"/>
            </w:r>
          </w:p>
        </w:tc>
        <w:tc>
          <w:tcPr>
            <w:tcW w:w="2890" w:type="pct"/>
            <w:noWrap w:val="0"/>
            <w:tcMar>
              <w:left w:w="75" w:type="dxa"/>
            </w:tcMar>
            <w:vAlign w:val="center"/>
          </w:tcPr>
          <w:p w14:paraId="035BD29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3679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6DD60528">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w:t>
            </w:r>
          </w:p>
        </w:tc>
        <w:tc>
          <w:tcPr>
            <w:tcW w:w="1728" w:type="pct"/>
            <w:gridSpan w:val="2"/>
            <w:noWrap w:val="0"/>
            <w:vAlign w:val="center"/>
          </w:tcPr>
          <w:p w14:paraId="73A2D62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异常低价</w:t>
            </w:r>
            <w:r>
              <w:rPr>
                <w:rFonts w:hint="eastAsia" w:ascii="Times New Roman" w:hAnsi="Times New Roman"/>
                <w:smallCaps w:val="0"/>
                <w:color w:val="000000" w:themeColor="text1"/>
                <w:highlight w:val="none"/>
                <w:lang w:val="en-US" w:eastAsia="zh-CN"/>
                <w14:textFill>
                  <w14:solidFill>
                    <w14:schemeClr w14:val="tx1"/>
                  </w14:solidFill>
                </w14:textFill>
              </w:rPr>
              <w:t>评审</w:t>
            </w:r>
            <w:r>
              <w:rPr>
                <w:rStyle w:val="28"/>
                <w:rFonts w:hint="eastAsia" w:ascii="Times New Roman" w:hAnsi="Times New Roman" w:eastAsia="宋体" w:cs="宋体"/>
                <w:b w:val="0"/>
                <w:bCs/>
                <w:smallCaps w:val="0"/>
                <w:color w:val="000000" w:themeColor="text1"/>
                <w:kern w:val="0"/>
                <w:szCs w:val="21"/>
                <w:highlight w:val="none"/>
                <w:vertAlign w:val="superscript"/>
                <w14:textFill>
                  <w14:solidFill>
                    <w14:schemeClr w14:val="tx1"/>
                  </w14:solidFill>
                </w14:textFill>
              </w:rPr>
              <w:footnoteReference w:id="43"/>
            </w:r>
          </w:p>
        </w:tc>
        <w:tc>
          <w:tcPr>
            <w:tcW w:w="2890" w:type="pct"/>
            <w:noWrap w:val="0"/>
            <w:tcMar>
              <w:left w:w="75" w:type="dxa"/>
            </w:tcMar>
            <w:vAlign w:val="center"/>
          </w:tcPr>
          <w:p w14:paraId="6946344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sym w:font="Wingdings 2" w:char="00A3"/>
            </w:r>
            <w:r>
              <w:rPr>
                <w:rFonts w:hint="eastAsia" w:ascii="Times New Roman" w:hAnsi="Times New Roman"/>
                <w:smallCaps w:val="0"/>
                <w:color w:val="000000" w:themeColor="text1"/>
                <w:highlight w:val="none"/>
                <w14:textFill>
                  <w14:solidFill>
                    <w14:schemeClr w14:val="tx1"/>
                  </w14:solidFill>
                </w14:textFill>
              </w:rPr>
              <w:t>不</w:t>
            </w:r>
            <w:r>
              <w:rPr>
                <w:rFonts w:hint="eastAsia" w:ascii="Times New Roman" w:hAnsi="Times New Roman"/>
                <w:smallCaps w:val="0"/>
                <w:color w:val="000000" w:themeColor="text1"/>
                <w:highlight w:val="none"/>
                <w:lang w:eastAsia="zh-CN"/>
                <w14:textFill>
                  <w14:solidFill>
                    <w14:schemeClr w14:val="tx1"/>
                  </w14:solidFill>
                </w14:textFill>
              </w:rPr>
              <w:t>适用</w:t>
            </w:r>
          </w:p>
          <w:p w14:paraId="1E038AB2">
            <w:pPr>
              <w:pStyle w:val="4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sym w:font="Wingdings 2" w:char="00A3"/>
            </w:r>
            <w:r>
              <w:rPr>
                <w:rFonts w:hint="eastAsia" w:ascii="Times New Roman" w:hAnsi="Times New Roman"/>
                <w:smallCaps w:val="0"/>
                <w:color w:val="000000" w:themeColor="text1"/>
                <w:highlight w:val="none"/>
                <w:lang w:eastAsia="zh-CN"/>
                <w14:textFill>
                  <w14:solidFill>
                    <w14:schemeClr w14:val="tx1"/>
                  </w14:solidFill>
                </w14:textFill>
              </w:rPr>
              <w:t>适用</w:t>
            </w:r>
            <w:r>
              <w:rPr>
                <w:rFonts w:hint="eastAsia" w:ascii="Times New Roman" w:hAnsi="Times New Roman"/>
                <w:smallCaps w:val="0"/>
                <w:color w:val="000000" w:themeColor="text1"/>
                <w:highlight w:val="none"/>
                <w14:textFill>
                  <w14:solidFill>
                    <w14:schemeClr w14:val="tx1"/>
                  </w14:solidFill>
                </w14:textFill>
              </w:rPr>
              <w:t>，异常低价规定指标</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。详见对应评审项要求。</w:t>
            </w:r>
          </w:p>
        </w:tc>
      </w:tr>
      <w:tr w14:paraId="7283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477678C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val="en-US" w:eastAsia="zh-CN"/>
                <w14:textFill>
                  <w14:solidFill>
                    <w14:schemeClr w14:val="tx1"/>
                  </w14:solidFill>
                </w14:textFill>
              </w:rPr>
            </w:pPr>
            <w:bookmarkStart w:id="498" w:name="_Toc27843"/>
            <w:bookmarkStart w:id="499" w:name="_Toc18006"/>
            <w:bookmarkStart w:id="500" w:name="_Toc6735"/>
            <w:bookmarkStart w:id="501" w:name="_Toc29788"/>
            <w:bookmarkStart w:id="502" w:name="_Toc10621"/>
            <w:bookmarkStart w:id="503" w:name="_Toc6033"/>
            <w:bookmarkStart w:id="504" w:name="_Toc6430"/>
            <w:r>
              <w:rPr>
                <w:rFonts w:hint="eastAsia" w:ascii="Times New Roman" w:hAnsi="Times New Roman"/>
                <w:smallCaps w:val="0"/>
                <w:color w:val="000000" w:themeColor="text1"/>
                <w:highlight w:val="none"/>
                <w:lang w:val="en-US" w:eastAsia="zh-CN"/>
                <w14:textFill>
                  <w14:solidFill>
                    <w14:schemeClr w14:val="tx1"/>
                  </w14:solidFill>
                </w14:textFill>
              </w:rPr>
              <w:t>3</w:t>
            </w:r>
          </w:p>
        </w:tc>
        <w:tc>
          <w:tcPr>
            <w:tcW w:w="1728" w:type="pct"/>
            <w:gridSpan w:val="2"/>
            <w:noWrap w:val="0"/>
            <w:vAlign w:val="center"/>
          </w:tcPr>
          <w:p w14:paraId="2A2E04A6">
            <w:pPr>
              <w:keepNext w:val="0"/>
              <w:keepLines w:val="0"/>
              <w:pageBreakBefore w:val="0"/>
              <w:suppressLineNumbers w:val="0"/>
              <w:kinsoku/>
              <w:wordWrap w:val="0"/>
              <w:overflowPunct/>
              <w:bidi w:val="0"/>
              <w:spacing w:before="0" w:beforeAutospacing="0" w:after="0" w:afterAutospacing="0" w:line="360" w:lineRule="auto"/>
              <w:ind w:left="0" w:leftChars="0" w:right="0" w:rightChars="0"/>
              <w:jc w:val="center"/>
              <w:rPr>
                <w:rFonts w:hint="eastAsia" w:ascii="Times New Roman" w:hAnsi="Times New Roman"/>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经评审否决不合格投标后有效投标不足3个的处理方式</w:t>
            </w:r>
          </w:p>
        </w:tc>
        <w:tc>
          <w:tcPr>
            <w:tcW w:w="2890" w:type="pct"/>
            <w:noWrap w:val="0"/>
            <w:tcMar>
              <w:left w:w="75" w:type="dxa"/>
            </w:tcMar>
            <w:vAlign w:val="center"/>
          </w:tcPr>
          <w:p w14:paraId="0F25BE7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评标委员会依据《评标委员会和评标方法暂行规定》（七部委第12号令）第二十七条以及《招标投标法》第四十二条进行处理。</w:t>
            </w:r>
          </w:p>
          <w:p w14:paraId="7A03758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textAlignment w:val="auto"/>
              <w:rPr>
                <w:rFonts w:hint="eastAsia" w:ascii="宋体" w:hAnsi="宋体" w:eastAsia="宋体" w:cs="宋体"/>
                <w:b/>
                <w:bCs/>
                <w:color w:val="000000" w:themeColor="text1"/>
                <w:sz w:val="21"/>
                <w:szCs w:val="21"/>
                <w:highlight w:val="none"/>
                <w:u w:val="single"/>
                <w14:textFill>
                  <w14:solidFill>
                    <w14:schemeClr w14:val="tx1"/>
                  </w14:solidFill>
                </w14:textFill>
              </w:rPr>
            </w:pPr>
            <w:r>
              <w:rPr>
                <w:rFonts w:hint="eastAsia" w:ascii="宋体" w:hAnsi="宋体" w:eastAsia="宋体" w:cs="宋体"/>
                <w:b/>
                <w:bCs/>
                <w:color w:val="000000" w:themeColor="text1"/>
                <w:sz w:val="21"/>
                <w:szCs w:val="21"/>
                <w:highlight w:val="none"/>
                <w:u w:val="single"/>
                <w14:textFill>
                  <w14:solidFill>
                    <w14:schemeClr w14:val="tx1"/>
                  </w14:solidFill>
                </w14:textFill>
              </w:rPr>
              <w:t>经评审否决不合格投标后有效投标不足3</w:t>
            </w:r>
            <w:r>
              <w:rPr>
                <w:rFonts w:hint="eastAsia" w:ascii="宋体" w:hAnsi="宋体" w:cs="宋体"/>
                <w:b/>
                <w:bCs/>
                <w:color w:val="000000" w:themeColor="text1"/>
                <w:sz w:val="21"/>
                <w:szCs w:val="21"/>
                <w:highlight w:val="none"/>
                <w:u w:val="single"/>
                <w:lang w:eastAsia="zh-CN"/>
                <w14:textFill>
                  <w14:solidFill>
                    <w14:schemeClr w14:val="tx1"/>
                  </w14:solidFill>
                </w14:textFill>
              </w:rPr>
              <w:t>家</w:t>
            </w:r>
            <w:r>
              <w:rPr>
                <w:rFonts w:hint="eastAsia" w:ascii="宋体" w:hAnsi="宋体" w:eastAsia="宋体" w:cs="宋体"/>
                <w:b/>
                <w:bCs/>
                <w:color w:val="000000" w:themeColor="text1"/>
                <w:sz w:val="21"/>
                <w:szCs w:val="21"/>
                <w:highlight w:val="none"/>
                <w:u w:val="single"/>
                <w14:textFill>
                  <w14:solidFill>
                    <w14:schemeClr w14:val="tx1"/>
                  </w14:solidFill>
                </w14:textFill>
              </w:rPr>
              <w:t>时，评标委员会应判定有效投标人的投标是否“明显缺乏竞争”。</w:t>
            </w:r>
          </w:p>
          <w:p w14:paraId="209650E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有效投标人的投标具备竞争性的，则评标程序继续进行，直至评选出中标候选人或全部投标文件被否决。</w:t>
            </w:r>
          </w:p>
          <w:p w14:paraId="69ECF2F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Times New Roman" w:hAnsi="Times New Roman"/>
                <w:smallCaps w:val="0"/>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有效投标人的投标“明显缺乏竞争”的，评标委员会可以否决全部投标。</w:t>
            </w:r>
            <w:r>
              <w:rPr>
                <w:rFonts w:hint="eastAsia" w:ascii="宋体" w:hAnsi="宋体" w:eastAsia="宋体" w:cs="宋体"/>
                <w:b/>
                <w:bCs/>
                <w:color w:val="000000" w:themeColor="text1"/>
                <w:sz w:val="21"/>
                <w:szCs w:val="21"/>
                <w:highlight w:val="none"/>
                <w:u w:val="single"/>
                <w14:textFill>
                  <w14:solidFill>
                    <w14:schemeClr w14:val="tx1"/>
                  </w14:solidFill>
                </w14:textFill>
              </w:rPr>
              <w:t>否决全部投标的同时必须在评标报告中写出“明显缺乏竞争”的判定理由。</w:t>
            </w:r>
          </w:p>
        </w:tc>
      </w:tr>
      <w:tr w14:paraId="1511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02B4E3D8">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w:t>
            </w:r>
          </w:p>
        </w:tc>
        <w:tc>
          <w:tcPr>
            <w:tcW w:w="1728" w:type="pct"/>
            <w:gridSpan w:val="2"/>
            <w:noWrap w:val="0"/>
            <w:vAlign w:val="center"/>
          </w:tcPr>
          <w:p w14:paraId="6FEC6D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争议解决方案</w:t>
            </w:r>
          </w:p>
        </w:tc>
        <w:tc>
          <w:tcPr>
            <w:tcW w:w="2890" w:type="pct"/>
            <w:noWrap w:val="0"/>
            <w:tcMar>
              <w:left w:w="75" w:type="dxa"/>
            </w:tcMar>
            <w:vAlign w:val="center"/>
          </w:tcPr>
          <w:p w14:paraId="5FE256C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评标委员会在评审过程中产生争议，按照以下方式形成统一意见：</w:t>
            </w:r>
          </w:p>
          <w:p w14:paraId="7E9B342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如因招标文件语言表达不明确导致存在理解偏差，则按照对投标人要求较低的标准统一判定。如因投标文件编制不明确导致存在理解偏差，则按照不利于该投标人中标的标准统一判定。</w:t>
            </w:r>
          </w:p>
          <w:p w14:paraId="2F21450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发生争议时，由评标委员会组长牵头组织评委会成员各自表达自身意见，并对判定意见进行举手表决，以少数服从多数原则进行统一。评标委员会全体成员必须在评标报告中签字，如有不同意见必须在评标报告中写明，如评委会成员未在评审纪要上签字或未提供不同意见的，视为认可评审纪要的全部内容。</w:t>
            </w:r>
          </w:p>
        </w:tc>
      </w:tr>
      <w:tr w14:paraId="6A6C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2DFC5644">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5</w:t>
            </w:r>
          </w:p>
        </w:tc>
        <w:tc>
          <w:tcPr>
            <w:tcW w:w="1728" w:type="pct"/>
            <w:gridSpan w:val="2"/>
            <w:noWrap w:val="0"/>
            <w:vAlign w:val="center"/>
          </w:tcPr>
          <w:p w14:paraId="484406A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询标要求</w:t>
            </w:r>
          </w:p>
        </w:tc>
        <w:tc>
          <w:tcPr>
            <w:tcW w:w="2890" w:type="pct"/>
            <w:noWrap w:val="0"/>
            <w:tcMar>
              <w:left w:w="75" w:type="dxa"/>
            </w:tcMar>
            <w:vAlign w:val="center"/>
          </w:tcPr>
          <w:p w14:paraId="0617877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询标方式：通过评标系统询标。由评标委员会通过开评标系统“质询”功能对投标人进行问询，投标人在系统内进行回复。回复期限为提问发起后30分钟，限期内未回复疑问视同放弃回复，默认投标人认可询标问题情况属实。（如系统询标功能不能正常使用，可采用前附表列明的电话询标方式进行询标）</w:t>
            </w:r>
          </w:p>
          <w:p w14:paraId="6C127B6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审中，评委会发现投标的投标文件中对同类问题表述不一致、前后矛盾、有明显文字和计算错误的内容，或投标文件中找不到相关内容、缺少资料内容、填写错误、内容模糊无法辨认的问题，由评标委员会根据投标文件实际内容结合招标文件要求与争议处理办法进行评审，形成一致意见。</w:t>
            </w:r>
          </w:p>
          <w:p w14:paraId="72EFB9C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遇到以上问题以外的问题，评标委员会可通过评标系统询标。</w:t>
            </w:r>
          </w:p>
          <w:p w14:paraId="408C938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对于询标后判定为不符合招标文件的投标文件，评标委员会要提出充足的否定理由。</w:t>
            </w:r>
          </w:p>
        </w:tc>
      </w:tr>
      <w:tr w14:paraId="5261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72AC0DA0">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w:t>
            </w:r>
          </w:p>
        </w:tc>
        <w:tc>
          <w:tcPr>
            <w:tcW w:w="1728" w:type="pct"/>
            <w:gridSpan w:val="2"/>
            <w:noWrap w:val="0"/>
            <w:vAlign w:val="center"/>
          </w:tcPr>
          <w:p w14:paraId="001472E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报价相同的优先顺序判定</w:t>
            </w:r>
          </w:p>
        </w:tc>
        <w:tc>
          <w:tcPr>
            <w:tcW w:w="2890" w:type="pct"/>
            <w:noWrap w:val="0"/>
            <w:tcMar>
              <w:left w:w="75" w:type="dxa"/>
            </w:tcMar>
            <w:vAlign w:val="center"/>
          </w:tcPr>
          <w:p w14:paraId="142A809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default"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在按照评标办法前附表“</w:t>
            </w:r>
            <w:r>
              <w:rPr>
                <w:rFonts w:hint="eastAsia" w:ascii="宋体" w:hAnsi="宋体" w:eastAsia="宋体" w:cs="宋体"/>
                <w:color w:val="000000" w:themeColor="text1"/>
                <w:sz w:val="21"/>
                <w:szCs w:val="21"/>
                <w:highlight w:val="none"/>
                <w14:textFill>
                  <w14:solidFill>
                    <w14:schemeClr w14:val="tx1"/>
                  </w14:solidFill>
                </w14:textFill>
              </w:rPr>
              <w:t>中标候选人排序方法</w:t>
            </w:r>
            <w:r>
              <w:rPr>
                <w:rFonts w:hint="eastAsia" w:ascii="宋体" w:hAnsi="宋体" w:cs="宋体"/>
                <w:color w:val="000000" w:themeColor="text1"/>
                <w:sz w:val="21"/>
                <w:szCs w:val="21"/>
                <w:highlight w:val="none"/>
                <w:lang w:val="en-US" w:eastAsia="zh-CN"/>
                <w14:textFill>
                  <w14:solidFill>
                    <w14:schemeClr w14:val="tx1"/>
                  </w14:solidFill>
                </w14:textFill>
              </w:rPr>
              <w:t>”仍不能判定优先顺序时，按照以下办法判定优先顺序：</w:t>
            </w:r>
          </w:p>
          <w:p w14:paraId="1C3D2A6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对在规定的投标截止时间前通过电子交易系统</w:t>
            </w:r>
            <w:r>
              <w:rPr>
                <w:rFonts w:hint="eastAsia" w:ascii="宋体" w:hAnsi="宋体" w:cs="宋体"/>
                <w:color w:val="000000" w:themeColor="text1"/>
                <w:sz w:val="21"/>
                <w:szCs w:val="21"/>
                <w:highlight w:val="none"/>
                <w:lang w:val="en-US" w:eastAsia="zh-CN"/>
                <w14:textFill>
                  <w14:solidFill>
                    <w14:schemeClr w14:val="tx1"/>
                  </w14:solidFill>
                </w14:textFill>
              </w:rPr>
              <w:t>最终</w:t>
            </w:r>
            <w:r>
              <w:rPr>
                <w:rFonts w:hint="eastAsia" w:ascii="宋体" w:hAnsi="宋体" w:eastAsia="宋体" w:cs="宋体"/>
                <w:color w:val="000000" w:themeColor="text1"/>
                <w:sz w:val="21"/>
                <w:szCs w:val="21"/>
                <w:highlight w:val="none"/>
                <w14:textFill>
                  <w14:solidFill>
                    <w14:schemeClr w14:val="tx1"/>
                  </w14:solidFill>
                </w14:textFill>
              </w:rPr>
              <w:t>上传投标文件的投标人发放签号。</w:t>
            </w:r>
          </w:p>
          <w:p w14:paraId="28931E2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在遇到</w:t>
            </w:r>
            <w:r>
              <w:rPr>
                <w:rFonts w:hint="eastAsia" w:ascii="宋体" w:hAnsi="宋体" w:eastAsia="宋体" w:cs="宋体"/>
                <w:color w:val="000000" w:themeColor="text1"/>
                <w:kern w:val="0"/>
                <w:sz w:val="21"/>
                <w:szCs w:val="21"/>
                <w:highlight w:val="none"/>
                <w14:textFill>
                  <w14:solidFill>
                    <w14:schemeClr w14:val="tx1"/>
                  </w14:solidFill>
                </w14:textFill>
              </w:rPr>
              <w:t>报价相同</w:t>
            </w:r>
            <w:r>
              <w:rPr>
                <w:rFonts w:hint="eastAsia" w:ascii="宋体" w:hAnsi="宋体" w:cs="宋体"/>
                <w:color w:val="000000" w:themeColor="text1"/>
                <w:kern w:val="0"/>
                <w:sz w:val="21"/>
                <w:szCs w:val="21"/>
                <w:highlight w:val="none"/>
                <w:lang w:val="en-US" w:eastAsia="zh-CN"/>
                <w14:textFill>
                  <w14:solidFill>
                    <w14:schemeClr w14:val="tx1"/>
                  </w14:solidFill>
                </w14:textFill>
              </w:rPr>
              <w:t>需要判断优先顺序时，签号代表单位，先摇出的单位优先，后摇出</w:t>
            </w:r>
            <w:r>
              <w:rPr>
                <w:rFonts w:hint="eastAsia" w:ascii="宋体" w:hAnsi="宋体" w:cs="宋体"/>
                <w:color w:val="000000" w:themeColor="text1"/>
                <w:sz w:val="21"/>
                <w:szCs w:val="21"/>
                <w:highlight w:val="none"/>
                <w:lang w:val="en-US" w:eastAsia="zh-CN"/>
                <w14:textFill>
                  <w14:solidFill>
                    <w14:schemeClr w14:val="tx1"/>
                  </w14:solidFill>
                </w14:textFill>
              </w:rPr>
              <w:t>的单位</w:t>
            </w:r>
            <w:r>
              <w:rPr>
                <w:rFonts w:hint="eastAsia" w:ascii="宋体" w:hAnsi="宋体" w:eastAsia="宋体" w:cs="宋体"/>
                <w:color w:val="000000" w:themeColor="text1"/>
                <w:sz w:val="21"/>
                <w:szCs w:val="21"/>
                <w:highlight w:val="none"/>
                <w14:textFill>
                  <w14:solidFill>
                    <w14:schemeClr w14:val="tx1"/>
                  </w14:solidFill>
                </w14:textFill>
              </w:rPr>
              <w:t>靠后</w:t>
            </w:r>
            <w:r>
              <w:rPr>
                <w:rFonts w:hint="eastAsia" w:ascii="宋体" w:hAnsi="宋体" w:cs="宋体"/>
                <w:color w:val="000000" w:themeColor="text1"/>
                <w:sz w:val="21"/>
                <w:szCs w:val="21"/>
                <w:highlight w:val="none"/>
                <w:lang w:eastAsia="zh-CN"/>
                <w14:textFill>
                  <w14:solidFill>
                    <w14:schemeClr w14:val="tx1"/>
                  </w14:solidFill>
                </w14:textFill>
              </w:rPr>
              <w:t>。</w:t>
            </w:r>
          </w:p>
        </w:tc>
      </w:tr>
      <w:tr w14:paraId="45B5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708BE472">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w:t>
            </w:r>
          </w:p>
        </w:tc>
        <w:tc>
          <w:tcPr>
            <w:tcW w:w="1728" w:type="pct"/>
            <w:gridSpan w:val="2"/>
            <w:noWrap w:val="0"/>
            <w:vAlign w:val="center"/>
          </w:tcPr>
          <w:p w14:paraId="07F8258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流标原因分析会</w:t>
            </w:r>
          </w:p>
        </w:tc>
        <w:tc>
          <w:tcPr>
            <w:tcW w:w="2890" w:type="pct"/>
            <w:noWrap w:val="0"/>
            <w:tcMar>
              <w:left w:w="75" w:type="dxa"/>
            </w:tcMar>
            <w:vAlign w:val="center"/>
          </w:tcPr>
          <w:p w14:paraId="6245B17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当本项目流标，由评标委员会组长牵头组织流标原因分析会，分析此次招标工作交易失败的具体原因，分析招标文件编制是否存在不合理条款、是否符合规范要求、并对本项目重新招标提出意见和建议。</w:t>
            </w:r>
          </w:p>
        </w:tc>
      </w:tr>
      <w:tr w14:paraId="1E74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77214F54">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w:t>
            </w:r>
          </w:p>
        </w:tc>
        <w:tc>
          <w:tcPr>
            <w:tcW w:w="1728" w:type="pct"/>
            <w:gridSpan w:val="2"/>
            <w:noWrap w:val="0"/>
            <w:vAlign w:val="center"/>
          </w:tcPr>
          <w:p w14:paraId="79FD072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建造师证书使用规定</w:t>
            </w:r>
          </w:p>
        </w:tc>
        <w:tc>
          <w:tcPr>
            <w:tcW w:w="2890" w:type="pct"/>
            <w:noWrap w:val="0"/>
            <w:tcMar>
              <w:left w:w="75" w:type="dxa"/>
            </w:tcMar>
            <w:vAlign w:val="center"/>
          </w:tcPr>
          <w:p w14:paraId="5BE6E69E">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一级建造师证书使用要求：</w:t>
            </w:r>
          </w:p>
          <w:p w14:paraId="5743D3E2">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依据</w:t>
            </w:r>
            <w:r>
              <w:rPr>
                <w:rFonts w:hint="eastAsia"/>
                <w:color w:val="000000" w:themeColor="text1"/>
                <w:sz w:val="21"/>
                <w:szCs w:val="21"/>
                <w:highlight w:val="none"/>
                <w14:textFill>
                  <w14:solidFill>
                    <w14:schemeClr w14:val="tx1"/>
                  </w14:solidFill>
                </w14:textFill>
              </w:rPr>
              <w:t>住建部文件《住房和城乡建设部办公厅关于全面实行一级建造师电子注册证书的通知》</w:t>
            </w:r>
          </w:p>
          <w:p w14:paraId="26A3EC85">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级建造师注册专业有效期已过期的，应于2021年12月15日前提出延续注册申请；注册专业仍在有效期内的，应在有效期届满30日前提出延续注册申请；注册专业有效期届满且未提出延续注册申请的，自2022年1月1日起注册专业失效。</w:t>
            </w:r>
          </w:p>
          <w:p w14:paraId="5C5E0B79">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color w:val="000000" w:themeColor="text1"/>
                <w:sz w:val="21"/>
                <w:szCs w:val="21"/>
                <w:highlight w:val="none"/>
                <w:lang w:eastAsia="zh-CN"/>
                <w14:textFill>
                  <w14:solidFill>
                    <w14:schemeClr w14:val="tx1"/>
                  </w14:solidFill>
                </w14:textFill>
              </w:rPr>
            </w:pPr>
            <w:r>
              <w:rPr>
                <w:rFonts w:hint="eastAsia"/>
                <w:color w:val="000000" w:themeColor="text1"/>
                <w:kern w:val="2"/>
                <w:sz w:val="21"/>
                <w:szCs w:val="21"/>
                <w:highlight w:val="none"/>
                <w:lang w:eastAsia="zh-CN"/>
                <w14:textFill>
                  <w14:solidFill>
                    <w14:schemeClr w14:val="tx1"/>
                  </w14:solidFill>
                </w14:textFill>
              </w:rPr>
              <w:t>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距注册专业有效期或建造师满65周岁不足180天的，使用时限截止</w:t>
            </w:r>
            <w:r>
              <w:rPr>
                <w:rFonts w:hint="eastAsia"/>
                <w:color w:val="000000" w:themeColor="text1"/>
                <w:sz w:val="21"/>
                <w:szCs w:val="21"/>
                <w:highlight w:val="none"/>
                <w:lang w:eastAsia="zh-CN"/>
                <w14:textFill>
                  <w14:solidFill>
                    <w14:schemeClr w14:val="tx1"/>
                  </w14:solidFill>
                </w14:textFill>
              </w:rPr>
              <w:t>日期以注册专业有效期截止日期或建造师满65周岁当日为准。超出使用时限的电子证书无效，需重新下载电子证书并再次确认使用时限。</w:t>
            </w:r>
          </w:p>
          <w:p w14:paraId="699F4352">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自 2022年1月1日起，一级建造师统一使用电子证书，纸质注册证书作废。一级建造师打印电子证书后，应在个人签名处手写本人签名，未手写签名或与签名图像笔迹不一致的，该电子证书无效。</w:t>
            </w:r>
          </w:p>
          <w:p w14:paraId="3EC9A2C4">
            <w:pPr>
              <w:keepNext w:val="0"/>
              <w:keepLines w:val="0"/>
              <w:pageBreakBefore w:val="0"/>
              <w:suppressLineNumbers w:val="0"/>
              <w:kinsoku/>
              <w:wordWrap w:val="0"/>
              <w:overflowPunct/>
              <w:bidi w:val="0"/>
              <w:spacing w:before="0" w:beforeAutospacing="0" w:after="0" w:afterAutospacing="0" w:line="360" w:lineRule="auto"/>
              <w:ind w:left="0" w:leftChars="0" w:right="0" w:rightChars="0" w:firstLine="422" w:firstLineChars="200"/>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二级建造师证书使用要求：</w:t>
            </w:r>
          </w:p>
          <w:p w14:paraId="498C70A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根据安徽省住房和城乡建设厅《</w:t>
            </w:r>
            <w:r>
              <w:rPr>
                <w:rFonts w:hint="eastAsia" w:ascii="宋体" w:hAnsi="宋体" w:eastAsia="宋体" w:cs="宋体"/>
                <w:color w:val="000000" w:themeColor="text1"/>
                <w:sz w:val="21"/>
                <w:szCs w:val="21"/>
                <w:highlight w:val="none"/>
                <w:lang w:val="en-US" w:eastAsia="zh-CN"/>
                <w14:textFill>
                  <w14:solidFill>
                    <w14:schemeClr w14:val="tx1"/>
                  </w14:solidFill>
                </w14:textFill>
              </w:rPr>
              <w:t>关于加强二级建造师事中事后监管工作的通知</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建市函〔2024〕137号</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规定。</w:t>
            </w:r>
          </w:p>
          <w:p w14:paraId="5FA4D3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安徽省二级建造师电子证书右上角增加使用时限的标注。</w:t>
            </w:r>
            <w:r>
              <w:rPr>
                <w:rFonts w:hint="eastAsia" w:ascii="宋体" w:hAnsi="宋体" w:eastAsia="宋体" w:cs="宋体"/>
                <w:color w:val="000000" w:themeColor="text1"/>
                <w:sz w:val="21"/>
                <w:szCs w:val="21"/>
                <w:highlight w:val="none"/>
                <w14:textFill>
                  <w14:solidFill>
                    <w14:schemeClr w14:val="tx1"/>
                  </w14:solidFill>
                </w14:textFill>
              </w:rPr>
              <w:t>查看和下载电子证书时，</w:t>
            </w:r>
            <w:r>
              <w:rPr>
                <w:rFonts w:hint="eastAsia" w:ascii="宋体" w:hAnsi="宋体" w:cs="宋体"/>
                <w:color w:val="000000" w:themeColor="text1"/>
                <w:sz w:val="21"/>
                <w:szCs w:val="21"/>
                <w:highlight w:val="none"/>
                <w:lang w:val="en-US" w:eastAsia="zh-CN"/>
                <w14:textFill>
                  <w14:solidFill>
                    <w14:schemeClr w14:val="tx1"/>
                  </w14:solidFill>
                </w14:textFill>
              </w:rPr>
              <w:t>建造师</w:t>
            </w:r>
            <w:r>
              <w:rPr>
                <w:rFonts w:hint="eastAsia" w:ascii="宋体" w:hAnsi="宋体" w:eastAsia="宋体" w:cs="宋体"/>
                <w:color w:val="000000" w:themeColor="text1"/>
                <w:sz w:val="21"/>
                <w:szCs w:val="21"/>
                <w:highlight w:val="none"/>
                <w14:textFill>
                  <w14:solidFill>
                    <w14:schemeClr w14:val="tx1"/>
                  </w14:solidFill>
                </w14:textFill>
              </w:rPr>
              <w:t>本人应确认该证书的使用时限。电子证书使用时限为 180 天,但使用时限距注册专业有效期或建造师满 65 周岁不足 180 天的，使用时限截止日期以注册专业有效期截止日期或建造师满 65 周岁当日为准。</w:t>
            </w:r>
            <w:r>
              <w:rPr>
                <w:rFonts w:hint="eastAsia" w:ascii="宋体" w:hAnsi="宋体" w:eastAsia="宋体" w:cs="宋体"/>
                <w:b/>
                <w:bCs/>
                <w:color w:val="000000" w:themeColor="text1"/>
                <w:sz w:val="21"/>
                <w:szCs w:val="21"/>
                <w:highlight w:val="none"/>
                <w14:textFill>
                  <w14:solidFill>
                    <w14:schemeClr w14:val="tx1"/>
                  </w14:solidFill>
                </w14:textFill>
              </w:rPr>
              <w:t>超出使用时限的电子证书无效，需重新下载电子证书并再次确认使用时限。</w:t>
            </w:r>
          </w:p>
          <w:p w14:paraId="73F0A7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自2024年9月1日起，旧二级建造师电子证书失效。二级建造师打印电子证书后，应在个人签名处手写本人签名，未手写签名或与签名图像笔迹不一致的，该电子证书无效</w:t>
            </w:r>
            <w:r>
              <w:rPr>
                <w:rFonts w:hint="eastAsia" w:ascii="宋体" w:hAnsi="宋体" w:cs="宋体"/>
                <w:b/>
                <w:bCs/>
                <w:color w:val="000000" w:themeColor="text1"/>
                <w:sz w:val="21"/>
                <w:szCs w:val="21"/>
                <w:highlight w:val="none"/>
                <w:lang w:eastAsia="zh-CN"/>
                <w14:textFill>
                  <w14:solidFill>
                    <w14:schemeClr w14:val="tx1"/>
                  </w14:solidFill>
                </w14:textFill>
              </w:rPr>
              <w:t>。</w:t>
            </w:r>
          </w:p>
          <w:p w14:paraId="2286C42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其他省份按各省相关规定执行</w:t>
            </w:r>
          </w:p>
        </w:tc>
      </w:tr>
      <w:tr w14:paraId="3D4B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2DCB0A49">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p>
        </w:tc>
        <w:tc>
          <w:tcPr>
            <w:tcW w:w="1728" w:type="pct"/>
            <w:gridSpan w:val="2"/>
            <w:noWrap w:val="0"/>
            <w:vAlign w:val="center"/>
          </w:tcPr>
          <w:p w14:paraId="5DEA98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联合体资质判定</w:t>
            </w:r>
          </w:p>
        </w:tc>
        <w:tc>
          <w:tcPr>
            <w:tcW w:w="2890" w:type="pct"/>
            <w:noWrap w:val="0"/>
            <w:tcMar>
              <w:left w:w="75" w:type="dxa"/>
            </w:tcMar>
            <w:vAlign w:val="center"/>
          </w:tcPr>
          <w:p w14:paraId="5EB69E1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联合体各方应当具备承担共同投标协议约定的招标项目相应专业工作的能力；国家有关规定或者招标文件对投标人资格条件有规定的，联合体各方应当具备规定的相应资格条件。联合体的各专业资质等级，根据共同投标协议约定的专业分工，分别按照承担相应专业工作的资质等级最低的单位确定。分工后，就其所承担的分工部分要具备相应的资格条件。如其中一方不承担某项工作，则不要求其必须具备该项工作需要的资格条件。</w:t>
            </w:r>
          </w:p>
          <w:p w14:paraId="16EAEBB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即投标人在签订联合体协议书时需要明确好各自分工的范围，各方在承担分工工作的范围内具备招标文件要求的相应资质条件即可。如不承担某一部分的工作，则不需要具备相应的资质条件。对联合体各方共同承担的工作，按照共同承担专业工作的资质等级最低的单位资质确定联合体的资质等级。</w:t>
            </w:r>
          </w:p>
          <w:p w14:paraId="73BE9D58">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以建筑工程为例，某项目要求投标人具备建筑工程施工总承包一级（或以上）资质，接受联合体投标。 </w:t>
            </w:r>
          </w:p>
          <w:p w14:paraId="1C9FD934">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案例 1：</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建筑工程总承包一级企业 A 公司与建筑工程总承包一级企业 AA 公司组成联合体依据《招标投标法》第三十一条，由同一专业的单位组成的联合体，按照资质等级较低的单位确定资质等级。两单位资质等级均为建筑工程总承包一级，故该联合体的资质等级为一级，达到招标文件资格要求。 </w:t>
            </w:r>
          </w:p>
          <w:p w14:paraId="44736A5E">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案例 2：</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建筑工程总承包一级企业 A 公司与建筑工程总承包三级企业 B 公司组成联合体。依据《招标投标法》第三十一条，由同一专业的单位组成的联合体，按照资质等级较低的单位确定资质等级。故该联合体的资质等级二者中较低资质建筑工程总承包三级，未达到招标文件资格要求。 </w:t>
            </w:r>
          </w:p>
          <w:p w14:paraId="146EC4CD">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案例 3：</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建筑工程总承包一级企业 A 公司与不具备建筑工程总承包资质的建筑业企业 C 公司（例：装饰装修专业承包一级资质）或具备建筑工程总承包三级资质的企业 D 组成联合体，并在联合体协议中明确 C 公司（或 D 公司）的分工。其中 C 公司（或 D 公司）负责财务结算，并承担建筑工程项目中的绿化、装饰装修、材料采购工作等，且 C 公司（或 D 公司）具备承担相应工作的能力。因绿化、材料采购不需要专业资质，装饰装修专业承包资质（或建筑工程总承包三级资质）符合其分工范围内的资质要求，该联合体的资质等级按照承担分工为承担建筑主体施工的企业 A 判定，为建筑工程总承包一级，达到招标文件资格要求。 </w:t>
            </w:r>
          </w:p>
          <w:p w14:paraId="5C59751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注：联合组建及履约应当符合国家法律法规及文件规定，依据住房和城乡建设部《建筑工程施工发包与承包违法行为认定查处管理办法》（建市规〔2019)1号）第八条“两个以上的单位组成联合体承包工程，在联合体分工协议中约定或者在项目实际实施过程中，联合体一方不进行施工也未对施工活动进行组织管理的，并且向联合体其他方收取管理费或者其他类似费用的，视为联合体一方将承包的工程转包给联合体其他方。</w:t>
            </w:r>
            <w:r>
              <w:rPr>
                <w:rFonts w:hint="eastAsia" w:ascii="宋体" w:hAnsi="宋体" w:cs="宋体"/>
                <w:b w:val="0"/>
                <w:bCs w:val="0"/>
                <w:color w:val="000000" w:themeColor="text1"/>
                <w:sz w:val="21"/>
                <w:szCs w:val="21"/>
                <w:highlight w:val="none"/>
                <w:lang w:eastAsia="zh-CN"/>
                <w14:textFill>
                  <w14:solidFill>
                    <w14:schemeClr w14:val="tx1"/>
                  </w14:solidFill>
                </w14:textFill>
              </w:rPr>
              <w:t>”</w:t>
            </w:r>
          </w:p>
        </w:tc>
      </w:tr>
      <w:tr w14:paraId="6242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2FBF143D">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10</w:t>
            </w:r>
          </w:p>
        </w:tc>
        <w:tc>
          <w:tcPr>
            <w:tcW w:w="1728" w:type="pct"/>
            <w:gridSpan w:val="2"/>
            <w:noWrap w:val="0"/>
            <w:vAlign w:val="center"/>
          </w:tcPr>
          <w:p w14:paraId="45825065">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分公司、子公司、分支机构</w:t>
            </w:r>
          </w:p>
        </w:tc>
        <w:tc>
          <w:tcPr>
            <w:tcW w:w="2890" w:type="pct"/>
            <w:noWrap w:val="0"/>
            <w:tcMar>
              <w:left w:w="75" w:type="dxa"/>
            </w:tcMar>
            <w:vAlign w:val="center"/>
          </w:tcPr>
          <w:p w14:paraId="1745D6A5">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依据《公司法》第十</w:t>
            </w:r>
            <w:r>
              <w:rPr>
                <w:rFonts w:hint="eastAsia" w:ascii="宋体" w:hAnsi="宋体"/>
                <w:color w:val="000000" w:themeColor="text1"/>
                <w:sz w:val="21"/>
                <w:szCs w:val="21"/>
                <w:highlight w:val="none"/>
                <w:lang w:val="en-US" w:eastAsia="zh-CN"/>
                <w14:textFill>
                  <w14:solidFill>
                    <w14:schemeClr w14:val="tx1"/>
                  </w14:solidFill>
                </w14:textFill>
              </w:rPr>
              <w:t>三</w:t>
            </w:r>
            <w:r>
              <w:rPr>
                <w:rFonts w:hint="eastAsia" w:ascii="宋体" w:hAnsi="宋体"/>
                <w:color w:val="000000" w:themeColor="text1"/>
                <w:sz w:val="21"/>
                <w:szCs w:val="21"/>
                <w:highlight w:val="none"/>
                <w14:textFill>
                  <w14:solidFill>
                    <w14:schemeClr w14:val="tx1"/>
                  </w14:solidFill>
                </w14:textFill>
              </w:rPr>
              <w:t>条 公司可以设立子公司</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子公司具有法人资格，依法独立承担民事责任。</w:t>
            </w:r>
            <w:r>
              <w:rPr>
                <w:rFonts w:hint="eastAsia" w:ascii="宋体" w:hAnsi="宋体"/>
                <w:color w:val="000000" w:themeColor="text1"/>
                <w:sz w:val="21"/>
                <w:szCs w:val="21"/>
                <w:highlight w:val="none"/>
                <w:lang w:val="en-US" w:eastAsia="zh-CN"/>
                <w14:textFill>
                  <w14:solidFill>
                    <w14:schemeClr w14:val="tx1"/>
                  </w14:solidFill>
                </w14:textFill>
              </w:rPr>
              <w:t>公司可以设立分公司，</w:t>
            </w:r>
            <w:r>
              <w:rPr>
                <w:rFonts w:hint="eastAsia" w:ascii="宋体" w:hAnsi="宋体"/>
                <w:color w:val="000000" w:themeColor="text1"/>
                <w:sz w:val="21"/>
                <w:szCs w:val="21"/>
                <w:highlight w:val="none"/>
                <w14:textFill>
                  <w14:solidFill>
                    <w14:schemeClr w14:val="tx1"/>
                  </w14:solidFill>
                </w14:textFill>
              </w:rPr>
              <w:t>分公司不具有法人资格，其民事责任由公司承担。</w:t>
            </w:r>
          </w:p>
          <w:p w14:paraId="69AA367D">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在本项目评标中，分公司（或分支机构）不具备法人资格，视为与总公司为同一个法人主体。子公司与母公司为不同的法人主体。</w:t>
            </w:r>
            <w:r>
              <w:rPr>
                <w:rFonts w:hint="eastAsia"/>
                <w:color w:val="000000" w:themeColor="text1"/>
                <w:sz w:val="21"/>
                <w:szCs w:val="21"/>
                <w:highlight w:val="none"/>
                <w14:textFill>
                  <w14:solidFill>
                    <w14:schemeClr w14:val="tx1"/>
                  </w14:solidFill>
                </w14:textFill>
              </w:rPr>
              <w:t>投标人所属分公司（或分支机构）的人员视同投标人的人员。</w:t>
            </w:r>
          </w:p>
        </w:tc>
      </w:tr>
      <w:tr w14:paraId="17A2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0" w:type="pct"/>
            <w:noWrap w:val="0"/>
            <w:vAlign w:val="center"/>
          </w:tcPr>
          <w:p w14:paraId="2E91FD31">
            <w:pPr>
              <w:keepNext w:val="0"/>
              <w:keepLines w:val="0"/>
              <w:pageBreakBefore w:val="0"/>
              <w:suppressLineNumbers w:val="0"/>
              <w:kinsoku/>
              <w:wordWrap w:val="0"/>
              <w:overflowPunct/>
              <w:bidi w:val="0"/>
              <w:spacing w:before="0" w:beforeAutospacing="0" w:after="0" w:afterAutospacing="0"/>
              <w:ind w:left="0" w:right="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c>
          <w:tcPr>
            <w:tcW w:w="1728" w:type="pct"/>
            <w:gridSpan w:val="2"/>
            <w:noWrap w:val="0"/>
            <w:vAlign w:val="center"/>
          </w:tcPr>
          <w:p w14:paraId="02F44EA5">
            <w:pPr>
              <w:keepNext w:val="0"/>
              <w:keepLines w:val="0"/>
              <w:pageBreakBefore w:val="0"/>
              <w:suppressLineNumbers w:val="0"/>
              <w:kinsoku/>
              <w:wordWrap w:val="0"/>
              <w:overflowPunct/>
              <w:bidi w:val="0"/>
              <w:spacing w:before="0" w:beforeAutospacing="0" w:after="0" w:afterAutospacing="0"/>
              <w:ind w:left="0" w:right="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c>
          <w:tcPr>
            <w:tcW w:w="2890" w:type="pct"/>
            <w:noWrap w:val="0"/>
            <w:tcMar>
              <w:left w:w="75" w:type="dxa"/>
            </w:tcMar>
            <w:vAlign w:val="center"/>
          </w:tcPr>
          <w:p w14:paraId="0251D031">
            <w:pPr>
              <w:keepNext w:val="0"/>
              <w:keepLines w:val="0"/>
              <w:pageBreakBefore w:val="0"/>
              <w:suppressLineNumbers w:val="0"/>
              <w:kinsoku/>
              <w:wordWrap w:val="0"/>
              <w:overflowPunct/>
              <w:bidi w:val="0"/>
              <w:spacing w:before="0" w:beforeAutospacing="0" w:after="0" w:afterAutospacing="0"/>
              <w:ind w:left="0" w:right="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bl>
    <w:p w14:paraId="60B98440">
      <w:pPr>
        <w:pageBreakBefore w:val="0"/>
        <w:kinsoku/>
        <w:wordWrap w:val="0"/>
        <w:overflowPunct/>
        <w:bidi w:val="0"/>
        <w:rPr>
          <w:rFonts w:hint="eastAsia" w:ascii="Times New Roman" w:hAnsi="Times New Roman" w:cs="宋体"/>
          <w:b/>
          <w:bCs/>
          <w:smallCaps w:val="0"/>
          <w:color w:val="000000" w:themeColor="text1"/>
          <w:sz w:val="24"/>
          <w:szCs w:val="24"/>
          <w:highlight w:val="none"/>
          <w14:textFill>
            <w14:solidFill>
              <w14:schemeClr w14:val="tx1"/>
            </w14:solidFill>
          </w14:textFill>
        </w:rPr>
      </w:pPr>
      <w:r>
        <w:rPr>
          <w:rFonts w:hint="eastAsia" w:ascii="Times New Roman" w:hAnsi="Times New Roman" w:cs="宋体"/>
          <w:b/>
          <w:bCs/>
          <w:smallCaps w:val="0"/>
          <w:color w:val="000000" w:themeColor="text1"/>
          <w:sz w:val="24"/>
          <w:szCs w:val="24"/>
          <w:highlight w:val="none"/>
          <w14:textFill>
            <w14:solidFill>
              <w14:schemeClr w14:val="tx1"/>
            </w14:solidFill>
          </w14:textFill>
        </w:rPr>
        <w:br w:type="page"/>
      </w:r>
    </w:p>
    <w:p w14:paraId="73B090E2">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商务文件评审标准</w:t>
      </w:r>
      <w:bookmarkEnd w:id="498"/>
      <w:bookmarkEnd w:id="499"/>
      <w:bookmarkEnd w:id="500"/>
      <w:bookmarkEnd w:id="501"/>
      <w:bookmarkEnd w:id="502"/>
      <w:bookmarkEnd w:id="503"/>
      <w:bookmarkEnd w:id="504"/>
    </w:p>
    <w:tbl>
      <w:tblPr>
        <w:tblStyle w:val="22"/>
        <w:tblW w:w="515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9"/>
        <w:gridCol w:w="898"/>
        <w:gridCol w:w="1529"/>
        <w:gridCol w:w="6118"/>
      </w:tblGrid>
      <w:tr w14:paraId="1F00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trPr>
        <w:tc>
          <w:tcPr>
            <w:tcW w:w="868" w:type="pct"/>
            <w:gridSpan w:val="2"/>
            <w:shd w:val="clear" w:color="auto" w:fill="D7D7D7" w:themeFill="background1" w:themeFillShade="D8"/>
            <w:noWrap w:val="0"/>
            <w:vAlign w:val="center"/>
          </w:tcPr>
          <w:p w14:paraId="7BCE9D7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826" w:type="pct"/>
            <w:shd w:val="clear" w:color="auto" w:fill="D7D7D7" w:themeFill="background1" w:themeFillShade="D8"/>
            <w:noWrap w:val="0"/>
            <w:vAlign w:val="center"/>
          </w:tcPr>
          <w:p w14:paraId="51459BB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3305" w:type="pct"/>
            <w:shd w:val="clear" w:color="auto" w:fill="D7D7D7" w:themeFill="background1" w:themeFillShade="D8"/>
            <w:noWrap w:val="0"/>
            <w:vAlign w:val="center"/>
          </w:tcPr>
          <w:p w14:paraId="3971A83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7261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restart"/>
            <w:noWrap w:val="0"/>
            <w:vAlign w:val="center"/>
          </w:tcPr>
          <w:p w14:paraId="252AF13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w:t>
            </w:r>
          </w:p>
        </w:tc>
        <w:tc>
          <w:tcPr>
            <w:tcW w:w="484" w:type="pct"/>
            <w:vMerge w:val="restart"/>
            <w:noWrap w:val="0"/>
            <w:vAlign w:val="center"/>
          </w:tcPr>
          <w:p w14:paraId="5A92257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形式评审标准</w:t>
            </w:r>
          </w:p>
        </w:tc>
        <w:tc>
          <w:tcPr>
            <w:tcW w:w="826" w:type="pct"/>
            <w:noWrap w:val="0"/>
            <w:tcMar>
              <w:left w:w="75" w:type="dxa"/>
            </w:tcMar>
            <w:vAlign w:val="center"/>
          </w:tcPr>
          <w:p w14:paraId="30B5A02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投标人名称</w:t>
            </w:r>
          </w:p>
        </w:tc>
        <w:tc>
          <w:tcPr>
            <w:tcW w:w="3305" w:type="pct"/>
            <w:noWrap w:val="0"/>
            <w:tcMar>
              <w:left w:w="75" w:type="dxa"/>
            </w:tcMar>
            <w:vAlign w:val="center"/>
          </w:tcPr>
          <w:p w14:paraId="121D0FB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与营业执照、资质证书、安全生产许可证一致</w:t>
            </w:r>
          </w:p>
        </w:tc>
      </w:tr>
      <w:tr w14:paraId="7597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368DD39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2FC39BF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4B781B3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签字盖章</w:t>
            </w:r>
          </w:p>
        </w:tc>
        <w:tc>
          <w:tcPr>
            <w:tcW w:w="3305" w:type="pct"/>
            <w:noWrap w:val="0"/>
            <w:tcMar>
              <w:left w:w="75" w:type="dxa"/>
            </w:tcMar>
            <w:vAlign w:val="center"/>
          </w:tcPr>
          <w:p w14:paraId="1EBDF31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符合第二章“投标人须知”第3.7.3项规定</w:t>
            </w:r>
          </w:p>
        </w:tc>
      </w:tr>
      <w:tr w14:paraId="6F1C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657519C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16AF93D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4048CC6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投标文件格式</w:t>
            </w:r>
          </w:p>
        </w:tc>
        <w:tc>
          <w:tcPr>
            <w:tcW w:w="3305" w:type="pct"/>
            <w:noWrap w:val="0"/>
            <w:tcMar>
              <w:left w:w="75" w:type="dxa"/>
            </w:tcMar>
            <w:vAlign w:val="center"/>
          </w:tcPr>
          <w:p w14:paraId="06EA715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符合第八章“投标文件格式”的规定</w:t>
            </w:r>
          </w:p>
        </w:tc>
      </w:tr>
      <w:tr w14:paraId="3CDA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6D17651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32C4D52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7087FED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联合体投标人</w:t>
            </w:r>
          </w:p>
        </w:tc>
        <w:tc>
          <w:tcPr>
            <w:tcW w:w="3305" w:type="pct"/>
            <w:noWrap w:val="0"/>
            <w:tcMar>
              <w:left w:w="75" w:type="dxa"/>
            </w:tcMar>
            <w:vAlign w:val="center"/>
          </w:tcPr>
          <w:p w14:paraId="3B5E142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提交符合招标文件要求的联合体协议书，明确各方承担连带责任，并明确联合体牵头人</w:t>
            </w:r>
          </w:p>
        </w:tc>
      </w:tr>
      <w:tr w14:paraId="727F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5" w:hRule="atLeast"/>
        </w:trPr>
        <w:tc>
          <w:tcPr>
            <w:tcW w:w="383" w:type="pct"/>
            <w:vMerge w:val="continue"/>
            <w:noWrap w:val="0"/>
            <w:vAlign w:val="center"/>
          </w:tcPr>
          <w:p w14:paraId="08AB51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19096D2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7D24B06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未出现异常</w:t>
            </w:r>
          </w:p>
          <w:p w14:paraId="537D65F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情形</w:t>
            </w:r>
          </w:p>
        </w:tc>
        <w:tc>
          <w:tcPr>
            <w:tcW w:w="3305" w:type="pct"/>
            <w:noWrap w:val="0"/>
            <w:tcMar>
              <w:left w:w="75" w:type="dxa"/>
            </w:tcMar>
            <w:vAlign w:val="center"/>
          </w:tcPr>
          <w:p w14:paraId="5609BBA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不同投标人未出现使用相同的投标文件制作机器码进行投标情形；其他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7161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4E4ED85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2AA96F1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426E23D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未出现投</w:t>
            </w:r>
          </w:p>
          <w:p w14:paraId="73DD57E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标报价</w:t>
            </w:r>
          </w:p>
        </w:tc>
        <w:tc>
          <w:tcPr>
            <w:tcW w:w="3305" w:type="pct"/>
            <w:noWrap w:val="0"/>
            <w:tcMar>
              <w:left w:w="75" w:type="dxa"/>
            </w:tcMar>
            <w:vAlign w:val="center"/>
          </w:tcPr>
          <w:p w14:paraId="6F233FE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商务文件中未出现有关投标报价的内容</w:t>
            </w:r>
          </w:p>
        </w:tc>
      </w:tr>
      <w:tr w14:paraId="054C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restart"/>
            <w:noWrap w:val="0"/>
            <w:vAlign w:val="center"/>
          </w:tcPr>
          <w:p w14:paraId="7D6CA8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2.1.2</w:t>
            </w:r>
          </w:p>
        </w:tc>
        <w:tc>
          <w:tcPr>
            <w:tcW w:w="484" w:type="pct"/>
            <w:vMerge w:val="restart"/>
            <w:noWrap w:val="0"/>
            <w:vAlign w:val="center"/>
          </w:tcPr>
          <w:p w14:paraId="3093DB2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资格评审标准</w:t>
            </w:r>
          </w:p>
        </w:tc>
        <w:tc>
          <w:tcPr>
            <w:tcW w:w="826" w:type="pct"/>
            <w:noWrap w:val="0"/>
            <w:tcMar>
              <w:left w:w="75" w:type="dxa"/>
            </w:tcMar>
            <w:vAlign w:val="center"/>
          </w:tcPr>
          <w:p w14:paraId="34DA441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营业执照</w:t>
            </w:r>
          </w:p>
        </w:tc>
        <w:tc>
          <w:tcPr>
            <w:tcW w:w="3305" w:type="pct"/>
            <w:noWrap w:val="0"/>
            <w:tcMar>
              <w:left w:w="75" w:type="dxa"/>
            </w:tcMar>
            <w:vAlign w:val="center"/>
          </w:tcPr>
          <w:p w14:paraId="096DA3E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具备有效的营业执照，如为联合体投标，联合体各方均须提供</w:t>
            </w:r>
          </w:p>
        </w:tc>
      </w:tr>
      <w:tr w14:paraId="0E6C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6ED21AA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72057CA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2141B0D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资质等级</w:t>
            </w:r>
          </w:p>
        </w:tc>
        <w:tc>
          <w:tcPr>
            <w:tcW w:w="3305" w:type="pct"/>
            <w:noWrap w:val="0"/>
            <w:tcMar>
              <w:left w:w="75" w:type="dxa"/>
            </w:tcMar>
            <w:vAlign w:val="center"/>
          </w:tcPr>
          <w:p w14:paraId="5347C75E">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45E9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524ACF2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6FA6493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61D0412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安全生产</w:t>
            </w:r>
          </w:p>
          <w:p w14:paraId="4BA02CC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许可证</w:t>
            </w:r>
          </w:p>
        </w:tc>
        <w:tc>
          <w:tcPr>
            <w:tcW w:w="3305" w:type="pct"/>
            <w:noWrap w:val="0"/>
            <w:tcMar>
              <w:left w:w="75" w:type="dxa"/>
            </w:tcMar>
            <w:vAlign w:val="center"/>
          </w:tcPr>
          <w:p w14:paraId="5803FAF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具备有效的安全生产许可证</w:t>
            </w:r>
          </w:p>
        </w:tc>
      </w:tr>
      <w:tr w14:paraId="6768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3D2A749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5BC7B18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2DD6471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财务要求</w:t>
            </w:r>
          </w:p>
        </w:tc>
        <w:tc>
          <w:tcPr>
            <w:tcW w:w="3305" w:type="pct"/>
            <w:noWrap w:val="0"/>
            <w:tcMar>
              <w:left w:w="75" w:type="dxa"/>
            </w:tcMar>
            <w:vAlign w:val="center"/>
          </w:tcPr>
          <w:p w14:paraId="08D8B78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6C79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4F9F4E2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2D4864F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4CB987F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w:t>
            </w:r>
          </w:p>
          <w:p w14:paraId="3765ED3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业绩要求</w:t>
            </w:r>
          </w:p>
        </w:tc>
        <w:tc>
          <w:tcPr>
            <w:tcW w:w="3305" w:type="pct"/>
            <w:noWrap w:val="0"/>
            <w:tcMar>
              <w:left w:w="75" w:type="dxa"/>
            </w:tcMar>
            <w:vAlign w:val="center"/>
          </w:tcPr>
          <w:p w14:paraId="18E6862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0376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3C7F0C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0286E25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1BA1128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信誉要求</w:t>
            </w:r>
          </w:p>
        </w:tc>
        <w:tc>
          <w:tcPr>
            <w:tcW w:w="3305" w:type="pct"/>
            <w:noWrap w:val="0"/>
            <w:tcMar>
              <w:left w:w="75" w:type="dxa"/>
            </w:tcMar>
            <w:vAlign w:val="center"/>
          </w:tcPr>
          <w:p w14:paraId="70A247E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符合第二章“投标人须知”第1.4.1项规定。投标人在投标函中承诺，</w:t>
            </w:r>
            <w:r>
              <w:rPr>
                <w:rFonts w:hint="eastAsia" w:ascii="Times New Roman" w:hAnsi="Times New Roman"/>
                <w:smallCaps w:val="0"/>
                <w:color w:val="000000" w:themeColor="text1"/>
                <w:highlight w:val="none"/>
                <w:lang w:val="en-US" w:eastAsia="zh-CN"/>
                <w14:textFill>
                  <w14:solidFill>
                    <w14:schemeClr w14:val="tx1"/>
                  </w14:solidFill>
                </w14:textFill>
              </w:rPr>
              <w:t>并按照投标文件格式要求提供承诺书</w:t>
            </w:r>
            <w:r>
              <w:rPr>
                <w:rFonts w:hint="eastAsia" w:ascii="Times New Roman" w:hAnsi="Times New Roman"/>
                <w:smallCaps w:val="0"/>
                <w:color w:val="000000" w:themeColor="text1"/>
                <w:highlight w:val="none"/>
                <w14:textFill>
                  <w14:solidFill>
                    <w14:schemeClr w14:val="tx1"/>
                  </w14:solidFill>
                </w14:textFill>
              </w:rPr>
              <w:t>。</w:t>
            </w:r>
          </w:p>
        </w:tc>
      </w:tr>
      <w:tr w14:paraId="09FF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6800B40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2F07F94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7ED38F0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tc>
        <w:tc>
          <w:tcPr>
            <w:tcW w:w="3305" w:type="pct"/>
            <w:noWrap w:val="0"/>
            <w:tcMar>
              <w:left w:w="75" w:type="dxa"/>
            </w:tcMar>
            <w:vAlign w:val="center"/>
          </w:tcPr>
          <w:p w14:paraId="6F1B9E2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7A9D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74275C5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3F4E993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433CE23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项目经理业绩要求</w:t>
            </w:r>
          </w:p>
        </w:tc>
        <w:tc>
          <w:tcPr>
            <w:tcW w:w="3305" w:type="pct"/>
            <w:noWrap w:val="0"/>
            <w:tcMar>
              <w:left w:w="75" w:type="dxa"/>
            </w:tcMar>
            <w:vAlign w:val="center"/>
          </w:tcPr>
          <w:p w14:paraId="493B4D9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213D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1619D8B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28DD388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51179C7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其他主要管理人员和技术人员配备</w:t>
            </w:r>
          </w:p>
        </w:tc>
        <w:tc>
          <w:tcPr>
            <w:tcW w:w="3305" w:type="pct"/>
            <w:noWrap w:val="0"/>
            <w:tcMar>
              <w:left w:w="75" w:type="dxa"/>
            </w:tcMar>
            <w:vAlign w:val="center"/>
          </w:tcPr>
          <w:p w14:paraId="19C97DE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24F6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2918B24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72A48F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305A8F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联合体投标人</w:t>
            </w:r>
          </w:p>
        </w:tc>
        <w:tc>
          <w:tcPr>
            <w:tcW w:w="3305" w:type="pct"/>
            <w:noWrap w:val="0"/>
            <w:tcMar>
              <w:left w:w="75" w:type="dxa"/>
            </w:tcMar>
            <w:vAlign w:val="center"/>
          </w:tcPr>
          <w:p w14:paraId="5F31B06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符合第二章“投标人须知”第1.4.2项规定</w:t>
            </w:r>
          </w:p>
        </w:tc>
      </w:tr>
      <w:tr w14:paraId="2B3E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3" w:type="pct"/>
            <w:vMerge w:val="continue"/>
            <w:noWrap w:val="0"/>
            <w:vAlign w:val="center"/>
          </w:tcPr>
          <w:p w14:paraId="69C3FFE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6666A4F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52C42A1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不存在禁止投标的情形</w:t>
            </w:r>
          </w:p>
        </w:tc>
        <w:tc>
          <w:tcPr>
            <w:tcW w:w="3305" w:type="pct"/>
            <w:noWrap w:val="0"/>
            <w:tcMar>
              <w:left w:w="75" w:type="dxa"/>
            </w:tcMar>
            <w:vAlign w:val="center"/>
          </w:tcPr>
          <w:p w14:paraId="4EBB6E4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不存在第二章“投标人须知”第1.4.3项或第1.4.4项规定的任何一种情形</w:t>
            </w:r>
          </w:p>
        </w:tc>
      </w:tr>
      <w:tr w14:paraId="2064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restart"/>
            <w:noWrap w:val="0"/>
            <w:vAlign w:val="center"/>
          </w:tcPr>
          <w:p w14:paraId="2BF9FD8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2.1.3</w:t>
            </w:r>
          </w:p>
        </w:tc>
        <w:tc>
          <w:tcPr>
            <w:tcW w:w="484" w:type="pct"/>
            <w:vMerge w:val="restart"/>
            <w:noWrap w:val="0"/>
            <w:vAlign w:val="center"/>
          </w:tcPr>
          <w:p w14:paraId="0AAD225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响应性评审标准</w:t>
            </w:r>
          </w:p>
        </w:tc>
        <w:tc>
          <w:tcPr>
            <w:tcW w:w="826" w:type="pct"/>
            <w:noWrap w:val="0"/>
            <w:tcMar>
              <w:left w:w="75" w:type="dxa"/>
            </w:tcMar>
            <w:vAlign w:val="center"/>
          </w:tcPr>
          <w:p w14:paraId="2F9607A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投标内容</w:t>
            </w:r>
          </w:p>
        </w:tc>
        <w:tc>
          <w:tcPr>
            <w:tcW w:w="3305" w:type="pct"/>
            <w:noWrap w:val="0"/>
            <w:tcMar>
              <w:left w:w="75" w:type="dxa"/>
            </w:tcMar>
            <w:vAlign w:val="center"/>
          </w:tcPr>
          <w:p w14:paraId="20076F8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符合第二章“投标人须知”第1.3.1项规定</w:t>
            </w:r>
          </w:p>
        </w:tc>
      </w:tr>
      <w:tr w14:paraId="3515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00FDF24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78D68FB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046E86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工期</w:t>
            </w:r>
          </w:p>
        </w:tc>
        <w:tc>
          <w:tcPr>
            <w:tcW w:w="3305" w:type="pct"/>
            <w:noWrap w:val="0"/>
            <w:tcMar>
              <w:left w:w="75" w:type="dxa"/>
            </w:tcMar>
            <w:vAlign w:val="center"/>
          </w:tcPr>
          <w:p w14:paraId="1EC48D7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符合第二章“投标人须知”第1.3.2项规定</w:t>
            </w:r>
          </w:p>
        </w:tc>
      </w:tr>
      <w:tr w14:paraId="3C6B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0F3738F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4DE3866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2E7DBBD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质量要求</w:t>
            </w:r>
          </w:p>
        </w:tc>
        <w:tc>
          <w:tcPr>
            <w:tcW w:w="3305" w:type="pct"/>
            <w:noWrap w:val="0"/>
            <w:tcMar>
              <w:left w:w="75" w:type="dxa"/>
            </w:tcMar>
            <w:vAlign w:val="center"/>
          </w:tcPr>
          <w:p w14:paraId="39A9E17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符合第二章“投标人须知”第1.3.3项规定</w:t>
            </w:r>
          </w:p>
        </w:tc>
      </w:tr>
      <w:tr w14:paraId="45F3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7A76806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7C0AD98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35D2DD4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投标有效期</w:t>
            </w:r>
          </w:p>
        </w:tc>
        <w:tc>
          <w:tcPr>
            <w:tcW w:w="3305" w:type="pct"/>
            <w:noWrap w:val="0"/>
            <w:tcMar>
              <w:left w:w="75" w:type="dxa"/>
            </w:tcMar>
            <w:vAlign w:val="center"/>
          </w:tcPr>
          <w:p w14:paraId="0F83C55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符合第二章“投标人须知”第3.3.1项规定</w:t>
            </w:r>
          </w:p>
        </w:tc>
      </w:tr>
      <w:tr w14:paraId="72C0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0CE2C0C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046A80B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50A17F9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投标保证金</w:t>
            </w:r>
          </w:p>
        </w:tc>
        <w:tc>
          <w:tcPr>
            <w:tcW w:w="3305" w:type="pct"/>
            <w:noWrap w:val="0"/>
            <w:tcMar>
              <w:left w:w="75" w:type="dxa"/>
            </w:tcMar>
            <w:vAlign w:val="center"/>
          </w:tcPr>
          <w:p w14:paraId="7F442B3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符合第二章“投标人须知”第3.4.1项规定</w:t>
            </w:r>
          </w:p>
        </w:tc>
      </w:tr>
      <w:tr w14:paraId="6092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3C5B2F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16A8BA8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2DE3D9D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p w14:paraId="7145F28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承诺</w:t>
            </w:r>
          </w:p>
        </w:tc>
        <w:tc>
          <w:tcPr>
            <w:tcW w:w="3305" w:type="pct"/>
            <w:noWrap w:val="0"/>
            <w:tcMar>
              <w:left w:w="75" w:type="dxa"/>
            </w:tcMar>
            <w:vAlign w:val="center"/>
          </w:tcPr>
          <w:p w14:paraId="05796D3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580D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7C6E390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290DC3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06AA557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招标文件</w:t>
            </w:r>
          </w:p>
          <w:p w14:paraId="5CE949A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的获取</w:t>
            </w:r>
          </w:p>
        </w:tc>
        <w:tc>
          <w:tcPr>
            <w:tcW w:w="3305" w:type="pct"/>
            <w:noWrap w:val="0"/>
            <w:tcMar>
              <w:left w:w="75" w:type="dxa"/>
            </w:tcMar>
            <w:vAlign w:val="center"/>
          </w:tcPr>
          <w:p w14:paraId="4B3FBEE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符合第一章“招标公告”要求</w:t>
            </w:r>
          </w:p>
        </w:tc>
      </w:tr>
      <w:tr w14:paraId="1C43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003B8D2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34D4D7A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5B71A43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分包计划</w:t>
            </w:r>
          </w:p>
        </w:tc>
        <w:tc>
          <w:tcPr>
            <w:tcW w:w="3305" w:type="pct"/>
            <w:noWrap w:val="0"/>
            <w:tcMar>
              <w:left w:w="75" w:type="dxa"/>
            </w:tcMar>
            <w:vAlign w:val="center"/>
          </w:tcPr>
          <w:p w14:paraId="377B229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投标人如有分包计划，符合招标文件第二章“投标人须知”第1.11款规定，且按招标文件第八章“投标文件格式”的要求填写了“拟分包项目情况表”</w:t>
            </w:r>
          </w:p>
        </w:tc>
      </w:tr>
      <w:tr w14:paraId="4352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noWrap w:val="0"/>
            <w:vAlign w:val="center"/>
          </w:tcPr>
          <w:p w14:paraId="33E3BB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1490716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73451F0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其他实质</w:t>
            </w:r>
          </w:p>
          <w:p w14:paraId="7AF2B63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性要求</w:t>
            </w:r>
          </w:p>
        </w:tc>
        <w:tc>
          <w:tcPr>
            <w:tcW w:w="3305" w:type="pct"/>
            <w:noWrap w:val="0"/>
            <w:tcMar>
              <w:left w:w="75" w:type="dxa"/>
            </w:tcMar>
            <w:vAlign w:val="center"/>
          </w:tcPr>
          <w:p w14:paraId="5CAA629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符合招标文件的其他实质性要求和条件</w:t>
            </w:r>
          </w:p>
        </w:tc>
      </w:tr>
    </w:tbl>
    <w:p w14:paraId="7D0D4CC9">
      <w:pPr>
        <w:pageBreakBefore w:val="0"/>
        <w:kinsoku/>
        <w:wordWrap w:val="0"/>
        <w:overflowPunct/>
        <w:bidi w:val="0"/>
        <w:rPr>
          <w:rFonts w:hint="eastAsia" w:ascii="Times New Roman" w:hAnsi="Times New Roman" w:eastAsia="宋体" w:cs="宋体"/>
          <w:b/>
          <w:bCs/>
          <w:smallCaps w:val="0"/>
          <w:color w:val="000000" w:themeColor="text1"/>
          <w:sz w:val="24"/>
          <w:highlight w:val="none"/>
          <w14:textFill>
            <w14:solidFill>
              <w14:schemeClr w14:val="tx1"/>
            </w14:solidFill>
          </w14:textFill>
        </w:rPr>
      </w:pPr>
      <w:bookmarkStart w:id="505" w:name="_Toc14851"/>
      <w:bookmarkStart w:id="506" w:name="_Toc6095"/>
      <w:bookmarkStart w:id="507" w:name="_Toc32048"/>
      <w:bookmarkStart w:id="508" w:name="_Toc17860"/>
      <w:bookmarkStart w:id="509" w:name="_Toc25685"/>
      <w:bookmarkStart w:id="510" w:name="_Toc12790"/>
      <w:bookmarkStart w:id="511" w:name="_Toc32408"/>
      <w:r>
        <w:rPr>
          <w:rFonts w:hint="eastAsia" w:ascii="Times New Roman" w:hAnsi="Times New Roman" w:eastAsia="宋体" w:cs="宋体"/>
          <w:b/>
          <w:bCs/>
          <w:smallCaps w:val="0"/>
          <w:color w:val="000000" w:themeColor="text1"/>
          <w:sz w:val="24"/>
          <w:highlight w:val="none"/>
          <w14:textFill>
            <w14:solidFill>
              <w14:schemeClr w14:val="tx1"/>
            </w14:solidFill>
          </w14:textFill>
        </w:rPr>
        <w:br w:type="page"/>
      </w:r>
    </w:p>
    <w:p w14:paraId="4435656A">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报价文件评审标准</w:t>
      </w:r>
      <w:bookmarkEnd w:id="505"/>
      <w:bookmarkEnd w:id="506"/>
      <w:bookmarkEnd w:id="507"/>
      <w:bookmarkEnd w:id="508"/>
      <w:bookmarkEnd w:id="509"/>
      <w:bookmarkEnd w:id="510"/>
      <w:bookmarkEnd w:id="511"/>
    </w:p>
    <w:tbl>
      <w:tblPr>
        <w:tblStyle w:val="22"/>
        <w:tblW w:w="899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5"/>
        <w:gridCol w:w="993"/>
        <w:gridCol w:w="2329"/>
        <w:gridCol w:w="5093"/>
      </w:tblGrid>
      <w:tr w14:paraId="6026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blHeader/>
        </w:trPr>
        <w:tc>
          <w:tcPr>
            <w:tcW w:w="1568" w:type="dxa"/>
            <w:gridSpan w:val="2"/>
            <w:shd w:val="clear" w:color="auto" w:fill="D7D7D7" w:themeFill="background1" w:themeFillShade="D8"/>
            <w:noWrap w:val="0"/>
            <w:vAlign w:val="center"/>
          </w:tcPr>
          <w:p w14:paraId="13AE2D6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2329" w:type="dxa"/>
            <w:shd w:val="clear" w:color="auto" w:fill="D7D7D7" w:themeFill="background1" w:themeFillShade="D8"/>
            <w:noWrap w:val="0"/>
            <w:vAlign w:val="center"/>
          </w:tcPr>
          <w:p w14:paraId="3E21ECA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5093" w:type="dxa"/>
            <w:shd w:val="clear" w:color="auto" w:fill="D7D7D7" w:themeFill="background1" w:themeFillShade="D8"/>
            <w:noWrap w:val="0"/>
            <w:vAlign w:val="center"/>
          </w:tcPr>
          <w:p w14:paraId="006F581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6031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restart"/>
            <w:noWrap w:val="0"/>
            <w:vAlign w:val="center"/>
          </w:tcPr>
          <w:p w14:paraId="38B62B4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w:t>
            </w:r>
          </w:p>
        </w:tc>
        <w:tc>
          <w:tcPr>
            <w:tcW w:w="993" w:type="dxa"/>
            <w:vMerge w:val="restart"/>
            <w:noWrap w:val="0"/>
            <w:vAlign w:val="center"/>
          </w:tcPr>
          <w:p w14:paraId="0790E90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形式评审标准</w:t>
            </w:r>
          </w:p>
        </w:tc>
        <w:tc>
          <w:tcPr>
            <w:tcW w:w="2329" w:type="dxa"/>
            <w:noWrap w:val="0"/>
            <w:tcMar>
              <w:left w:w="75" w:type="dxa"/>
            </w:tcMar>
            <w:vAlign w:val="center"/>
          </w:tcPr>
          <w:p w14:paraId="62555C3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投标人名称</w:t>
            </w:r>
          </w:p>
        </w:tc>
        <w:tc>
          <w:tcPr>
            <w:tcW w:w="5093" w:type="dxa"/>
            <w:noWrap w:val="0"/>
            <w:tcMar>
              <w:left w:w="75" w:type="dxa"/>
            </w:tcMar>
            <w:vAlign w:val="center"/>
          </w:tcPr>
          <w:p w14:paraId="0953228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与营业执照、资质证书、安全生产许可证一致</w:t>
            </w:r>
          </w:p>
        </w:tc>
      </w:tr>
      <w:tr w14:paraId="6481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5D276177">
            <w:pPr>
              <w:keepNext w:val="0"/>
              <w:keepLines w:val="0"/>
              <w:pageBreakBefore w:val="0"/>
              <w:widowControl/>
              <w:suppressLineNumbers w:val="0"/>
              <w:kinsoku/>
              <w:wordWrap w:val="0"/>
              <w:overflowPunct/>
              <w:bidi w:val="0"/>
              <w:adjustRightInd w:val="0"/>
              <w:snapToGrid w:val="0"/>
              <w:spacing w:before="0" w:beforeAutospacing="0" w:after="0" w:afterAutospacing="0" w:line="300" w:lineRule="auto"/>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93" w:type="dxa"/>
            <w:vMerge w:val="continue"/>
            <w:noWrap w:val="0"/>
            <w:vAlign w:val="center"/>
          </w:tcPr>
          <w:p w14:paraId="18B1EF56">
            <w:pPr>
              <w:keepNext w:val="0"/>
              <w:keepLines w:val="0"/>
              <w:pageBreakBefore w:val="0"/>
              <w:widowControl/>
              <w:suppressLineNumbers w:val="0"/>
              <w:kinsoku/>
              <w:wordWrap w:val="0"/>
              <w:overflowPunct/>
              <w:bidi w:val="0"/>
              <w:adjustRightInd w:val="0"/>
              <w:snapToGrid w:val="0"/>
              <w:spacing w:before="0" w:beforeAutospacing="0" w:after="0" w:afterAutospacing="0" w:line="300" w:lineRule="auto"/>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329" w:type="dxa"/>
            <w:noWrap w:val="0"/>
            <w:tcMar>
              <w:left w:w="75" w:type="dxa"/>
            </w:tcMar>
            <w:vAlign w:val="center"/>
          </w:tcPr>
          <w:p w14:paraId="3E025D1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签字盖章</w:t>
            </w:r>
          </w:p>
        </w:tc>
        <w:tc>
          <w:tcPr>
            <w:tcW w:w="5093" w:type="dxa"/>
            <w:noWrap w:val="0"/>
            <w:tcMar>
              <w:left w:w="75" w:type="dxa"/>
            </w:tcMar>
            <w:vAlign w:val="center"/>
          </w:tcPr>
          <w:p w14:paraId="6FF195B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符合第二章“投标人须知”第3.7.3项规定</w:t>
            </w:r>
          </w:p>
        </w:tc>
      </w:tr>
      <w:tr w14:paraId="1619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3EAD69A8">
            <w:pPr>
              <w:keepNext w:val="0"/>
              <w:keepLines w:val="0"/>
              <w:pageBreakBefore w:val="0"/>
              <w:widowControl/>
              <w:suppressLineNumbers w:val="0"/>
              <w:kinsoku/>
              <w:wordWrap w:val="0"/>
              <w:overflowPunct/>
              <w:bidi w:val="0"/>
              <w:adjustRightInd w:val="0"/>
              <w:snapToGrid w:val="0"/>
              <w:spacing w:before="0" w:beforeAutospacing="0" w:after="0" w:afterAutospacing="0" w:line="300" w:lineRule="auto"/>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93" w:type="dxa"/>
            <w:vMerge w:val="continue"/>
            <w:noWrap w:val="0"/>
            <w:vAlign w:val="center"/>
          </w:tcPr>
          <w:p w14:paraId="7D7170E0">
            <w:pPr>
              <w:keepNext w:val="0"/>
              <w:keepLines w:val="0"/>
              <w:pageBreakBefore w:val="0"/>
              <w:widowControl/>
              <w:suppressLineNumbers w:val="0"/>
              <w:kinsoku/>
              <w:wordWrap w:val="0"/>
              <w:overflowPunct/>
              <w:bidi w:val="0"/>
              <w:adjustRightInd w:val="0"/>
              <w:snapToGrid w:val="0"/>
              <w:spacing w:before="0" w:beforeAutospacing="0" w:after="0" w:afterAutospacing="0" w:line="300" w:lineRule="auto"/>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329" w:type="dxa"/>
            <w:noWrap w:val="0"/>
            <w:tcMar>
              <w:left w:w="75" w:type="dxa"/>
            </w:tcMar>
            <w:vAlign w:val="center"/>
          </w:tcPr>
          <w:p w14:paraId="05C337E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投标文件格式</w:t>
            </w:r>
          </w:p>
        </w:tc>
        <w:tc>
          <w:tcPr>
            <w:tcW w:w="5093" w:type="dxa"/>
            <w:noWrap w:val="0"/>
            <w:tcMar>
              <w:left w:w="75" w:type="dxa"/>
            </w:tcMar>
            <w:vAlign w:val="center"/>
          </w:tcPr>
          <w:p w14:paraId="5B746FD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（1）报价文件电子文件可以正常读取；</w:t>
            </w:r>
          </w:p>
          <w:p w14:paraId="111C526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（2）符合第八章“投标文件格式”的规定，关键字迹清晰可辨</w:t>
            </w:r>
          </w:p>
        </w:tc>
      </w:tr>
      <w:tr w14:paraId="5CEB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71AF4AE9">
            <w:pPr>
              <w:keepNext w:val="0"/>
              <w:keepLines w:val="0"/>
              <w:pageBreakBefore w:val="0"/>
              <w:widowControl/>
              <w:suppressLineNumbers w:val="0"/>
              <w:kinsoku/>
              <w:wordWrap w:val="0"/>
              <w:overflowPunct/>
              <w:bidi w:val="0"/>
              <w:adjustRightInd w:val="0"/>
              <w:snapToGrid w:val="0"/>
              <w:spacing w:before="0" w:beforeAutospacing="0" w:after="0" w:afterAutospacing="0" w:line="300" w:lineRule="auto"/>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93" w:type="dxa"/>
            <w:vMerge w:val="continue"/>
            <w:noWrap w:val="0"/>
            <w:vAlign w:val="center"/>
          </w:tcPr>
          <w:p w14:paraId="0234DDF8">
            <w:pPr>
              <w:keepNext w:val="0"/>
              <w:keepLines w:val="0"/>
              <w:pageBreakBefore w:val="0"/>
              <w:widowControl/>
              <w:suppressLineNumbers w:val="0"/>
              <w:kinsoku/>
              <w:wordWrap w:val="0"/>
              <w:overflowPunct/>
              <w:bidi w:val="0"/>
              <w:adjustRightInd w:val="0"/>
              <w:snapToGrid w:val="0"/>
              <w:spacing w:before="0" w:beforeAutospacing="0" w:after="0" w:afterAutospacing="0" w:line="300" w:lineRule="auto"/>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329" w:type="dxa"/>
            <w:noWrap w:val="0"/>
            <w:tcMar>
              <w:left w:w="75" w:type="dxa"/>
            </w:tcMar>
            <w:vAlign w:val="center"/>
          </w:tcPr>
          <w:p w14:paraId="4CE32CE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备选投标方案</w:t>
            </w:r>
          </w:p>
        </w:tc>
        <w:tc>
          <w:tcPr>
            <w:tcW w:w="5093" w:type="dxa"/>
            <w:noWrap w:val="0"/>
            <w:tcMar>
              <w:left w:w="75" w:type="dxa"/>
            </w:tcMar>
            <w:vAlign w:val="center"/>
          </w:tcPr>
          <w:p w14:paraId="610A38E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除招标文件明确允许备选投标方案外，投标人不得提交备选投标方案</w:t>
            </w:r>
          </w:p>
        </w:tc>
      </w:tr>
      <w:tr w14:paraId="0BFB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525660F7">
            <w:pPr>
              <w:keepNext w:val="0"/>
              <w:keepLines w:val="0"/>
              <w:pageBreakBefore w:val="0"/>
              <w:widowControl/>
              <w:suppressLineNumbers w:val="0"/>
              <w:kinsoku/>
              <w:wordWrap w:val="0"/>
              <w:overflowPunct/>
              <w:bidi w:val="0"/>
              <w:adjustRightInd w:val="0"/>
              <w:snapToGrid w:val="0"/>
              <w:spacing w:before="0" w:beforeAutospacing="0" w:after="0" w:afterAutospacing="0" w:line="300" w:lineRule="auto"/>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93" w:type="dxa"/>
            <w:vMerge w:val="continue"/>
            <w:noWrap w:val="0"/>
            <w:vAlign w:val="center"/>
          </w:tcPr>
          <w:p w14:paraId="622579E9">
            <w:pPr>
              <w:keepNext w:val="0"/>
              <w:keepLines w:val="0"/>
              <w:pageBreakBefore w:val="0"/>
              <w:widowControl/>
              <w:suppressLineNumbers w:val="0"/>
              <w:kinsoku/>
              <w:wordWrap w:val="0"/>
              <w:overflowPunct/>
              <w:bidi w:val="0"/>
              <w:adjustRightInd w:val="0"/>
              <w:snapToGrid w:val="0"/>
              <w:spacing w:before="0" w:beforeAutospacing="0" w:after="0" w:afterAutospacing="0" w:line="300" w:lineRule="auto"/>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329" w:type="dxa"/>
            <w:noWrap w:val="0"/>
            <w:tcMar>
              <w:left w:w="75" w:type="dxa"/>
            </w:tcMar>
            <w:vAlign w:val="center"/>
          </w:tcPr>
          <w:p w14:paraId="58F5E0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未出现异常情形</w:t>
            </w:r>
          </w:p>
        </w:tc>
        <w:tc>
          <w:tcPr>
            <w:tcW w:w="5093" w:type="dxa"/>
            <w:noWrap w:val="0"/>
            <w:tcMar>
              <w:left w:w="75" w:type="dxa"/>
            </w:tcMar>
            <w:vAlign w:val="top"/>
          </w:tcPr>
          <w:p w14:paraId="5CC93A5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不同投标人未出现使用相同的机器识别码进行投标或使用相同加密锁号的造价软件的情形</w:t>
            </w:r>
          </w:p>
          <w:p w14:paraId="403DF41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5D4D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restart"/>
            <w:noWrap w:val="0"/>
            <w:vAlign w:val="center"/>
          </w:tcPr>
          <w:p w14:paraId="49DD2C9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2.1.3</w:t>
            </w:r>
          </w:p>
        </w:tc>
        <w:tc>
          <w:tcPr>
            <w:tcW w:w="993" w:type="dxa"/>
            <w:vMerge w:val="restart"/>
            <w:noWrap w:val="0"/>
            <w:vAlign w:val="center"/>
          </w:tcPr>
          <w:p w14:paraId="6AF049D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响应性评审标准</w:t>
            </w:r>
          </w:p>
        </w:tc>
        <w:tc>
          <w:tcPr>
            <w:tcW w:w="2329" w:type="dxa"/>
            <w:noWrap w:val="0"/>
            <w:tcMar>
              <w:left w:w="75" w:type="dxa"/>
            </w:tcMar>
            <w:vAlign w:val="center"/>
          </w:tcPr>
          <w:p w14:paraId="2DB8E25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投标内容</w:t>
            </w:r>
          </w:p>
        </w:tc>
        <w:tc>
          <w:tcPr>
            <w:tcW w:w="5093" w:type="dxa"/>
            <w:noWrap w:val="0"/>
            <w:tcMar>
              <w:left w:w="75" w:type="dxa"/>
            </w:tcMar>
            <w:vAlign w:val="center"/>
          </w:tcPr>
          <w:p w14:paraId="11CA233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符合第二章“投标人须知”第1.3.1项规定</w:t>
            </w:r>
          </w:p>
        </w:tc>
      </w:tr>
      <w:tr w14:paraId="415D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2E7CB16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93" w:type="dxa"/>
            <w:vMerge w:val="continue"/>
            <w:noWrap w:val="0"/>
            <w:vAlign w:val="center"/>
          </w:tcPr>
          <w:p w14:paraId="26BF629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29" w:type="dxa"/>
            <w:noWrap w:val="0"/>
            <w:tcMar>
              <w:left w:w="75" w:type="dxa"/>
            </w:tcMar>
            <w:vAlign w:val="center"/>
          </w:tcPr>
          <w:p w14:paraId="6E2443A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w:t>
            </w:r>
          </w:p>
        </w:tc>
        <w:tc>
          <w:tcPr>
            <w:tcW w:w="5093" w:type="dxa"/>
            <w:noWrap w:val="0"/>
            <w:tcMar>
              <w:left w:w="75" w:type="dxa"/>
            </w:tcMar>
            <w:vAlign w:val="center"/>
          </w:tcPr>
          <w:p w14:paraId="5C48188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（1）投标报价未超过招标文件设定的最高投标限价（如有）。</w:t>
            </w:r>
          </w:p>
          <w:p w14:paraId="47CA22E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（2）投标报价的大写数值能确定具体数值，未出现数量级错误、报价金额单位错误。</w:t>
            </w:r>
          </w:p>
          <w:p w14:paraId="28004AE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（3）同一投标人未</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两个以上不同的投标报价，但招标文件要求提交备选投标的除外。</w:t>
            </w:r>
          </w:p>
          <w:p w14:paraId="06DA831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（4）已标价工程量清单的分部分项工程的项目编码、项目名称、项目特征描述、计量单位及工程量与招标人提供的工程量清单未出现实质性内容不一致。</w:t>
            </w:r>
          </w:p>
          <w:p w14:paraId="704684B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（5）按清单计价规范要求不应为负值的，已标价工程量清单中的数据未出现该情形。</w:t>
            </w:r>
          </w:p>
        </w:tc>
      </w:tr>
      <w:tr w14:paraId="5FB6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67279FF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93" w:type="dxa"/>
            <w:vMerge w:val="continue"/>
            <w:noWrap w:val="0"/>
            <w:vAlign w:val="center"/>
          </w:tcPr>
          <w:p w14:paraId="7EBF5B3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29" w:type="dxa"/>
            <w:noWrap w:val="0"/>
            <w:tcMar>
              <w:left w:w="75" w:type="dxa"/>
            </w:tcMar>
            <w:vAlign w:val="center"/>
          </w:tcPr>
          <w:p w14:paraId="420C456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投标报价不可竞争内容</w:t>
            </w:r>
          </w:p>
        </w:tc>
        <w:tc>
          <w:tcPr>
            <w:tcW w:w="5093" w:type="dxa"/>
            <w:noWrap w:val="0"/>
            <w:tcMar>
              <w:left w:w="75" w:type="dxa"/>
            </w:tcMar>
            <w:vAlign w:val="center"/>
          </w:tcPr>
          <w:p w14:paraId="6967DBF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（1）安全文明施工费报价符合招标文件要求。</w:t>
            </w:r>
          </w:p>
          <w:p w14:paraId="0F39264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（2）人工费工日单价符合招标文件规定（如有）。</w:t>
            </w:r>
          </w:p>
          <w:p w14:paraId="20B6E83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（3）已标价工程量清单中未更改招标文件确定的暂列金额、暂估价。</w:t>
            </w:r>
          </w:p>
          <w:p w14:paraId="3EE966B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（4）税率符合招标文件规定。</w:t>
            </w:r>
          </w:p>
        </w:tc>
      </w:tr>
      <w:tr w14:paraId="6655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449E4A8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93" w:type="dxa"/>
            <w:vMerge w:val="continue"/>
            <w:noWrap w:val="0"/>
            <w:vAlign w:val="center"/>
          </w:tcPr>
          <w:p w14:paraId="7CC5F91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29" w:type="dxa"/>
            <w:noWrap w:val="0"/>
            <w:tcMar>
              <w:left w:w="75" w:type="dxa"/>
            </w:tcMar>
            <w:vAlign w:val="center"/>
          </w:tcPr>
          <w:p w14:paraId="35143DD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总人工费</w:t>
            </w:r>
          </w:p>
        </w:tc>
        <w:tc>
          <w:tcPr>
            <w:tcW w:w="5093" w:type="dxa"/>
            <w:noWrap w:val="0"/>
            <w:tcMar>
              <w:left w:w="75" w:type="dxa"/>
            </w:tcMar>
            <w:vAlign w:val="center"/>
          </w:tcPr>
          <w:p w14:paraId="6B70048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投标报价中的总人工费与技术文件中的劳动力安排计划相比，不得明显过低。</w:t>
            </w:r>
            <w:r>
              <w:rPr>
                <w:rFonts w:hint="eastAsia"/>
                <w:color w:val="000000" w:themeColor="text1"/>
                <w:highlight w:val="none"/>
                <w:lang w:eastAsia="zh-CN"/>
                <w14:textFill>
                  <w14:solidFill>
                    <w14:schemeClr w14:val="tx1"/>
                  </w14:solidFill>
                </w14:textFill>
              </w:rPr>
              <w:t>（建筑工程不低于20%，装配式建筑不低于15%，市政工程不低于 12%）</w:t>
            </w:r>
          </w:p>
        </w:tc>
      </w:tr>
      <w:tr w14:paraId="4C88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5FB7999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93" w:type="dxa"/>
            <w:vMerge w:val="continue"/>
            <w:noWrap w:val="0"/>
            <w:vAlign w:val="center"/>
          </w:tcPr>
          <w:p w14:paraId="4284122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29" w:type="dxa"/>
            <w:noWrap w:val="0"/>
            <w:tcMar>
              <w:left w:w="75" w:type="dxa"/>
            </w:tcMar>
            <w:vAlign w:val="center"/>
          </w:tcPr>
          <w:p w14:paraId="10430C0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投标报价偏差</w:t>
            </w:r>
          </w:p>
        </w:tc>
        <w:tc>
          <w:tcPr>
            <w:tcW w:w="5093" w:type="dxa"/>
            <w:noWrap w:val="0"/>
            <w:tcMar>
              <w:left w:w="75" w:type="dxa"/>
            </w:tcMar>
            <w:vAlign w:val="center"/>
          </w:tcPr>
          <w:p w14:paraId="15AB221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（1）因投标人原因造成投标报价缺漏的价格累计缺漏总额（高估冒算、多报价格不得抵消缺漏费用，缺漏金额计算时按照最高投标限价相应数据计算）占投标报价未超过3%，也未影响各投标人排序。</w:t>
            </w:r>
          </w:p>
          <w:p w14:paraId="471C03A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凡招标文件要求或者工程量清单计价规范规定应计算的费用而投标人未报，且投标文件未阐明充分理由，并不能提供足够证据者，均视为缺漏项目或费用。</w:t>
            </w:r>
          </w:p>
          <w:p w14:paraId="1DBE7B9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（2）对投标报价存在计算错误的，按本章第3.</w:t>
            </w: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hint="eastAsia" w:ascii="Times New Roman" w:hAnsi="Times New Roman"/>
                <w:smallCaps w:val="0"/>
                <w:color w:val="000000" w:themeColor="text1"/>
                <w:highlight w:val="none"/>
                <w14:textFill>
                  <w14:solidFill>
                    <w14:schemeClr w14:val="tx1"/>
                  </w14:solidFill>
                </w14:textFill>
              </w:rPr>
              <w:t>.4项规定的标准对投标报价进行修正，修正后的投标报价与修正前投标报价的偏差未超过3%，也未影响各投标人排序。</w:t>
            </w:r>
          </w:p>
          <w:p w14:paraId="65BD2DC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（3）投标报价中减少实体材料消耗量指标的，符合计量计价规范或实际情况。</w:t>
            </w:r>
          </w:p>
        </w:tc>
      </w:tr>
      <w:tr w14:paraId="5E14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2DACF98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93" w:type="dxa"/>
            <w:vMerge w:val="continue"/>
            <w:noWrap w:val="0"/>
            <w:vAlign w:val="center"/>
          </w:tcPr>
          <w:p w14:paraId="37EECDD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29" w:type="dxa"/>
            <w:noWrap w:val="0"/>
            <w:tcMar>
              <w:left w:w="75" w:type="dxa"/>
            </w:tcMar>
            <w:vAlign w:val="center"/>
          </w:tcPr>
          <w:p w14:paraId="575A062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其他情形</w:t>
            </w:r>
          </w:p>
        </w:tc>
        <w:tc>
          <w:tcPr>
            <w:tcW w:w="5093" w:type="dxa"/>
            <w:noWrap w:val="0"/>
            <w:tcMar>
              <w:left w:w="75" w:type="dxa"/>
            </w:tcMar>
            <w:vAlign w:val="center"/>
          </w:tcPr>
          <w:p w14:paraId="11756ED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（1）清标结果未显示投标人的投标文件存在以下情形之一</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DD0C4F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①不同投标人的投标文件存在异常一致的情形；</w:t>
            </w:r>
          </w:p>
          <w:p w14:paraId="1B4220A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②投标报价呈规律性差异等招投标相关法律法规明确规定为串通投标的情形；</w:t>
            </w:r>
          </w:p>
          <w:p w14:paraId="2C6E5D7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③弄虚作假的情形；</w:t>
            </w:r>
          </w:p>
          <w:p w14:paraId="3F9227F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④有其他违法行为的情形。</w:t>
            </w:r>
          </w:p>
          <w:p w14:paraId="6618A63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（2）投标文件中不得存在招标人不能接受的其他实质性条件。</w:t>
            </w:r>
          </w:p>
          <w:p w14:paraId="5D20987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（3）法律、法规规定的其他情形。</w:t>
            </w:r>
          </w:p>
        </w:tc>
      </w:tr>
      <w:tr w14:paraId="4192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restart"/>
            <w:noWrap w:val="0"/>
            <w:vAlign w:val="center"/>
          </w:tcPr>
          <w:p w14:paraId="41503BA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w:t>
            </w:r>
          </w:p>
        </w:tc>
        <w:tc>
          <w:tcPr>
            <w:tcW w:w="993" w:type="dxa"/>
            <w:vMerge w:val="restart"/>
            <w:noWrap w:val="0"/>
            <w:vAlign w:val="center"/>
          </w:tcPr>
          <w:p w14:paraId="10FA65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详细评审</w:t>
            </w:r>
          </w:p>
        </w:tc>
        <w:tc>
          <w:tcPr>
            <w:tcW w:w="2329" w:type="dxa"/>
            <w:noWrap w:val="0"/>
            <w:tcMar>
              <w:left w:w="75" w:type="dxa"/>
            </w:tcMar>
            <w:vAlign w:val="center"/>
          </w:tcPr>
          <w:p w14:paraId="0A00A67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报价规范性评审</w:t>
            </w:r>
          </w:p>
        </w:tc>
        <w:tc>
          <w:tcPr>
            <w:tcW w:w="5093" w:type="dxa"/>
            <w:noWrap w:val="0"/>
            <w:tcMar>
              <w:left w:w="75" w:type="dxa"/>
            </w:tcMar>
            <w:vAlign w:val="center"/>
          </w:tcPr>
          <w:p w14:paraId="1FEA158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已标价工程量清单“分部分项工程量清单综合单价分析表”中的综合单价、主要材料价格、人工费（含工日数量及工日单价）、机械费，“措施项目清单与计价表”中的措施费及“不可竞争项目清单与计价表”的不可竞争费等进行规范性评审，对明显相互冲突、自相矛盾或不合理的，或未按照工程量清单计价规范要求计价的，可否决其投标（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“分部分项工程量清单综合单价分析表”中的综合单价低于主材价格等情况）。</w:t>
            </w:r>
          </w:p>
        </w:tc>
      </w:tr>
      <w:tr w14:paraId="6043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1512D3A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93" w:type="dxa"/>
            <w:vMerge w:val="continue"/>
            <w:noWrap w:val="0"/>
            <w:vAlign w:val="center"/>
          </w:tcPr>
          <w:p w14:paraId="3DA6035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29" w:type="dxa"/>
            <w:noWrap w:val="0"/>
            <w:tcMar>
              <w:left w:w="75" w:type="dxa"/>
            </w:tcMar>
            <w:vAlign w:val="center"/>
          </w:tcPr>
          <w:p w14:paraId="71D807B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不平衡报价评审</w:t>
            </w:r>
          </w:p>
        </w:tc>
        <w:tc>
          <w:tcPr>
            <w:tcW w:w="5093" w:type="dxa"/>
            <w:noWrap w:val="0"/>
            <w:tcMar>
              <w:left w:w="75" w:type="dxa"/>
            </w:tcMar>
            <w:vAlign w:val="center"/>
          </w:tcPr>
          <w:p w14:paraId="08ECCF2B">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对已标价工程量清单中</w:t>
            </w:r>
            <w:r>
              <w:rPr>
                <w:rFonts w:hint="eastAsia" w:ascii="Times New Roman" w:hAnsi="Times New Roman"/>
                <w:smallCaps w:val="0"/>
                <w:color w:val="000000" w:themeColor="text1"/>
                <w:highlight w:val="none"/>
                <w14:textFill>
                  <w14:solidFill>
                    <w14:schemeClr w14:val="tx1"/>
                  </w14:solidFill>
                </w14:textFill>
              </w:rPr>
              <w:t>“单位工程报价金额”</w:t>
            </w:r>
            <w:r>
              <w:rPr>
                <w:rFonts w:hint="eastAsia" w:ascii="Times New Roman" w:hAnsi="Times New Roman"/>
                <w:smallCaps w:val="0"/>
                <w:color w:val="000000" w:themeColor="text1"/>
                <w:highlight w:val="none"/>
                <w14:textFill>
                  <w14:solidFill>
                    <w14:schemeClr w14:val="tx1"/>
                  </w14:solidFill>
                </w14:textFill>
              </w:rPr>
              <w:t>高于最高投标限价对应金额的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5%～10%</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由招标人根据项目投资情况在范围中选择可允许的偏差比例，可选范围5%～10%，整数百分比</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或低于最高投标限价对应“单位工程最高投标限价金额”的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20%～55%</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由招标人根据项目投资情况在范围中选择可允许的偏差比例，可选范围20%～55%，整数百分比</w:t>
            </w:r>
            <w:r>
              <w:rPr>
                <w:rFonts w:hint="eastAsia" w:ascii="Times New Roman" w:hAnsi="Times New Roman"/>
                <w:smallCaps w:val="0"/>
                <w:color w:val="000000" w:themeColor="text1"/>
                <w:highlight w:val="none"/>
                <w:lang w:eastAsia="zh-CN"/>
                <w14:textFill>
                  <w14:solidFill>
                    <w14:schemeClr w14:val="tx1"/>
                  </w14:solidFill>
                </w14:textFill>
              </w:rPr>
              <w:t>）</w:t>
            </w:r>
            <w:r>
              <w:rPr>
                <w:rStyle w:val="28"/>
                <w:rFonts w:hint="eastAsia" w:ascii="Times New Roman" w:hAnsi="Times New Roman" w:cs="宋体"/>
                <w:smallCaps w:val="0"/>
                <w:color w:val="000000" w:themeColor="text1"/>
                <w:szCs w:val="21"/>
                <w:highlight w:val="none"/>
                <w:u w:val="none"/>
                <w14:textFill>
                  <w14:solidFill>
                    <w14:schemeClr w14:val="tx1"/>
                  </w14:solidFill>
                </w14:textFill>
              </w:rPr>
              <w:footnoteReference w:id="44"/>
            </w:r>
          </w:p>
          <w:p w14:paraId="23F7A836">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项目各单位工程价格信息如下表：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254"/>
              <w:gridCol w:w="1255"/>
              <w:gridCol w:w="1255"/>
            </w:tblGrid>
            <w:tr w14:paraId="704A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54BAE3B2">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单位工程名称</w:t>
                  </w:r>
                </w:p>
              </w:tc>
              <w:tc>
                <w:tcPr>
                  <w:tcW w:w="1254" w:type="dxa"/>
                  <w:vAlign w:val="center"/>
                </w:tcPr>
                <w:p w14:paraId="28868482">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最高投标限价明细</w:t>
                  </w:r>
                </w:p>
                <w:p w14:paraId="59AF2BB4">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（元）</w:t>
                  </w:r>
                </w:p>
              </w:tc>
              <w:tc>
                <w:tcPr>
                  <w:tcW w:w="1255" w:type="dxa"/>
                  <w:vAlign w:val="center"/>
                </w:tcPr>
                <w:p w14:paraId="10D870D1">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上指标</w:t>
                  </w:r>
                </w:p>
                <w:p w14:paraId="113904DA">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（元）</w:t>
                  </w:r>
                </w:p>
              </w:tc>
              <w:tc>
                <w:tcPr>
                  <w:tcW w:w="1255" w:type="dxa"/>
                  <w:vAlign w:val="center"/>
                </w:tcPr>
                <w:p w14:paraId="298C71A5">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下指标</w:t>
                  </w:r>
                </w:p>
                <w:p w14:paraId="5D288473">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（元）</w:t>
                  </w:r>
                </w:p>
              </w:tc>
            </w:tr>
            <w:tr w14:paraId="2E0D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0B845AC7">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w:t>
                  </w:r>
                </w:p>
              </w:tc>
              <w:tc>
                <w:tcPr>
                  <w:tcW w:w="1254" w:type="dxa"/>
                  <w:vAlign w:val="center"/>
                </w:tcPr>
                <w:p w14:paraId="5AA0F4E2">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7CB1FBD4">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6637E65F">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r>
            <w:tr w14:paraId="07B3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4D3B81AA">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w:t>
                  </w:r>
                </w:p>
              </w:tc>
              <w:tc>
                <w:tcPr>
                  <w:tcW w:w="1254" w:type="dxa"/>
                  <w:vAlign w:val="center"/>
                </w:tcPr>
                <w:p w14:paraId="7D37E714">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3B43A26C">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7D534F9F">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r>
            <w:tr w14:paraId="73B1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2B219351">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w:t>
                  </w:r>
                </w:p>
              </w:tc>
              <w:tc>
                <w:tcPr>
                  <w:tcW w:w="1254" w:type="dxa"/>
                  <w:vAlign w:val="center"/>
                </w:tcPr>
                <w:p w14:paraId="1904ED44">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08CB5717">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2E7DE461">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r>
          </w:tbl>
          <w:p w14:paraId="7C1C0511">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p>
          <w:p w14:paraId="121CAEB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对报价金额</w:t>
            </w:r>
            <w:r>
              <w:rPr>
                <w:rFonts w:hint="eastAsia" w:ascii="Times New Roman" w:hAnsi="Times New Roman" w:cs="Times New Roman"/>
                <w:bCs w:val="0"/>
                <w:smallCaps w:val="0"/>
                <w:snapToGrid/>
                <w:color w:val="000000" w:themeColor="text1"/>
                <w:kern w:val="2"/>
                <w:sz w:val="21"/>
                <w:szCs w:val="21"/>
                <w:highlight w:val="none"/>
                <w:lang w:val="en-US" w:eastAsia="zh-CN" w:bidi="ar-SA"/>
                <w14:textFill>
                  <w14:solidFill>
                    <w14:schemeClr w14:val="tx1"/>
                  </w14:solidFill>
                </w14:textFill>
              </w:rPr>
              <w:t>超出</w:t>
            </w: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上述指标的投标人，评标委员会需要对其报价合理性与诚信履约能力进行研判。评标委员会应当要求相关投标人在评审现场合理的时间内（30分钟）提供书面说明及必要的证明材料，对投标价格作出解释。书面说明、证明材料主要是项目具体成本测算等与报价合理性相关的说明、材料。</w:t>
            </w:r>
          </w:p>
          <w:p w14:paraId="0E44A1AB">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评审委员会应当结合同类项目成交价格、该行业当地薪资水平等情况，依据专业经验对报价合理性进行判断。如果投标人不提供书面说明、证明材料，或者提供的书面说明、证明材料不能证明其报价合理性的，应当将认定为恶意不平衡报价，否决其投标。</w:t>
            </w:r>
          </w:p>
          <w:p w14:paraId="667E6CA1">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审查相关情况应当在评审报告中记录。</w:t>
            </w:r>
          </w:p>
        </w:tc>
      </w:tr>
      <w:tr w14:paraId="1C19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75" w:type="dxa"/>
            <w:vMerge w:val="continue"/>
            <w:noWrap w:val="0"/>
            <w:vAlign w:val="center"/>
          </w:tcPr>
          <w:p w14:paraId="0A9D33D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93" w:type="dxa"/>
            <w:vMerge w:val="continue"/>
            <w:noWrap w:val="0"/>
            <w:vAlign w:val="center"/>
          </w:tcPr>
          <w:p w14:paraId="5264E83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29" w:type="dxa"/>
            <w:noWrap w:val="0"/>
            <w:tcMar>
              <w:left w:w="75" w:type="dxa"/>
            </w:tcMar>
            <w:vAlign w:val="center"/>
          </w:tcPr>
          <w:p w14:paraId="7A70320F">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中小企业优惠条款</w:t>
            </w:r>
          </w:p>
        </w:tc>
        <w:tc>
          <w:tcPr>
            <w:tcW w:w="5093" w:type="dxa"/>
            <w:noWrap w:val="0"/>
            <w:tcMar>
              <w:left w:w="75" w:type="dxa"/>
            </w:tcMar>
            <w:vAlign w:val="center"/>
          </w:tcPr>
          <w:p w14:paraId="0343F158">
            <w:pPr>
              <w:pStyle w:val="4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执行政府采购政策的价格折价</w:t>
            </w:r>
          </w:p>
          <w:p w14:paraId="17BEA2B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未预留份额专门面向中小企业采购的工程项目，以及预留份额项目中的非预留部分采购包采购时，小微企业报价</w:t>
            </w:r>
            <w:r>
              <w:rPr>
                <w:rFonts w:hint="eastAsia" w:ascii="Times New Roman" w:hAnsi="Times New Roman"/>
                <w:smallCaps w:val="0"/>
                <w:color w:val="000000" w:themeColor="text1"/>
                <w:highlight w:val="none"/>
                <w:lang w:val="en-US" w:eastAsia="zh-CN"/>
                <w14:textFill>
                  <w14:solidFill>
                    <w14:schemeClr w14:val="tx1"/>
                  </w14:solidFill>
                </w14:textFill>
              </w:rPr>
              <w:t>折价率</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5F585E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（1）小型和微型企业</w:t>
            </w:r>
            <w:r>
              <w:rPr>
                <w:rFonts w:hint="eastAsia" w:ascii="Times New Roman" w:hAnsi="Times New Roman"/>
                <w:smallCaps w:val="0"/>
                <w:color w:val="000000" w:themeColor="text1"/>
                <w:highlight w:val="none"/>
                <w:lang w:val="en-US" w:eastAsia="zh-CN"/>
                <w14:textFill>
                  <w14:solidFill>
                    <w14:schemeClr w14:val="tx1"/>
                  </w14:solidFill>
                </w14:textFill>
              </w:rPr>
              <w:t>折价率</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折价率为</w:t>
            </w:r>
            <w:r>
              <w:rPr>
                <w:rFonts w:hint="eastAsia" w:ascii="Times New Roman" w:hAnsi="Times New Roman"/>
                <w:smallCaps w:val="0"/>
                <w:color w:val="000000" w:themeColor="text1"/>
                <w:highlight w:val="none"/>
                <w14:textFill>
                  <w14:solidFill>
                    <w14:schemeClr w14:val="tx1"/>
                  </w14:solidFill>
                </w14:textFill>
              </w:rPr>
              <w:t>3%-5%）</w:t>
            </w:r>
          </w:p>
          <w:p w14:paraId="2FDA5DC3">
            <w:pPr>
              <w:pStyle w:val="4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（2）对于联合协议或者分包意向协议约定小微企业的合同份额占到合同总金额30%时，对联合体或者大中型企业的报价的</w:t>
            </w:r>
            <w:r>
              <w:rPr>
                <w:rFonts w:hint="eastAsia" w:ascii="Times New Roman" w:hAnsi="Times New Roman"/>
                <w:smallCaps w:val="0"/>
                <w:color w:val="000000" w:themeColor="text1"/>
                <w:highlight w:val="none"/>
                <w:lang w:val="en-US" w:eastAsia="zh-CN"/>
                <w14:textFill>
                  <w14:solidFill>
                    <w14:schemeClr w14:val="tx1"/>
                  </w14:solidFill>
                </w14:textFill>
              </w:rPr>
              <w:t>折价率</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折价率为</w:t>
            </w:r>
            <w:r>
              <w:rPr>
                <w:rFonts w:hint="eastAsia" w:ascii="Times New Roman" w:hAnsi="Times New Roman"/>
                <w:smallCaps w:val="0"/>
                <w:color w:val="000000" w:themeColor="text1"/>
                <w:highlight w:val="none"/>
                <w14:textFill>
                  <w14:solidFill>
                    <w14:schemeClr w14:val="tx1"/>
                  </w14:solidFill>
                </w14:textFill>
              </w:rPr>
              <w:t>1%-2%）</w:t>
            </w:r>
          </w:p>
        </w:tc>
      </w:tr>
    </w:tbl>
    <w:p w14:paraId="03659735">
      <w:pPr>
        <w:pageBreakBefore w:val="0"/>
        <w:kinsoku/>
        <w:wordWrap w:val="0"/>
        <w:overflowPunct/>
        <w:bidi w:val="0"/>
        <w:spacing w:after="0" w:afterLines="0" w:line="240" w:lineRule="auto"/>
        <w:jc w:val="left"/>
        <w:rPr>
          <w:rFonts w:hint="eastAsia" w:ascii="Times New Roman" w:hAnsi="Times New Roman"/>
          <w:smallCaps w:val="0"/>
          <w:color w:val="000000" w:themeColor="text1"/>
          <w:highlight w:val="none"/>
          <w14:textFill>
            <w14:solidFill>
              <w14:schemeClr w14:val="tx1"/>
            </w14:solidFill>
          </w14:textFill>
        </w:rPr>
      </w:pPr>
    </w:p>
    <w:p w14:paraId="40965530">
      <w:pPr>
        <w:pageBreakBefore w:val="0"/>
        <w:kinsoku/>
        <w:wordWrap w:val="0"/>
        <w:overflowPunct/>
        <w:bidi w:val="0"/>
        <w:rPr>
          <w:rFonts w:hint="eastAsia" w:ascii="Times New Roman" w:hAnsi="Times New Roman" w:eastAsia="宋体" w:cs="宋体"/>
          <w:b/>
          <w:bCs/>
          <w:smallCaps w:val="0"/>
          <w:color w:val="000000" w:themeColor="text1"/>
          <w:sz w:val="24"/>
          <w:highlight w:val="none"/>
          <w14:textFill>
            <w14:solidFill>
              <w14:schemeClr w14:val="tx1"/>
            </w14:solidFill>
          </w14:textFill>
        </w:rPr>
      </w:pPr>
      <w:bookmarkStart w:id="512" w:name="_Toc22938"/>
      <w:bookmarkStart w:id="513" w:name="_Toc28907"/>
      <w:bookmarkStart w:id="514" w:name="_Toc17323"/>
      <w:bookmarkStart w:id="515" w:name="_Toc29715"/>
      <w:bookmarkStart w:id="516" w:name="_Toc31264"/>
      <w:bookmarkStart w:id="517" w:name="_Toc14165"/>
      <w:bookmarkStart w:id="518" w:name="_Toc28815"/>
      <w:r>
        <w:rPr>
          <w:rFonts w:hint="eastAsia" w:ascii="Times New Roman" w:hAnsi="Times New Roman" w:eastAsia="宋体" w:cs="宋体"/>
          <w:b/>
          <w:bCs/>
          <w:smallCaps w:val="0"/>
          <w:color w:val="000000" w:themeColor="text1"/>
          <w:sz w:val="24"/>
          <w:highlight w:val="none"/>
          <w14:textFill>
            <w14:solidFill>
              <w14:schemeClr w14:val="tx1"/>
            </w14:solidFill>
          </w14:textFill>
        </w:rPr>
        <w:br w:type="page"/>
      </w:r>
    </w:p>
    <w:p w14:paraId="7F1EB096">
      <w:pPr>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r>
        <w:rPr>
          <w:rStyle w:val="39"/>
          <w:rFonts w:hint="eastAsia" w:ascii="Times New Roman" w:hAnsi="Times New Roman" w:eastAsia="黑体"/>
          <w:smallCaps w:val="0"/>
          <w:color w:val="000000" w:themeColor="text1"/>
          <w:highlight w:val="none"/>
          <w:lang w:val="en-US" w:eastAsia="zh-CN"/>
          <w14:textFill>
            <w14:solidFill>
              <w14:schemeClr w14:val="tx1"/>
            </w14:solidFill>
          </w14:textFill>
        </w:rPr>
        <w:t>异常低价</w:t>
      </w:r>
      <w:r>
        <w:rPr>
          <w:rStyle w:val="39"/>
          <w:rFonts w:hint="eastAsia" w:ascii="Times New Roman" w:hAnsi="Times New Roman"/>
          <w:smallCaps w:val="0"/>
          <w:color w:val="000000" w:themeColor="text1"/>
          <w:highlight w:val="none"/>
          <w14:textFill>
            <w14:solidFill>
              <w14:schemeClr w14:val="tx1"/>
            </w14:solidFill>
          </w14:textFill>
        </w:rPr>
        <w:t>评审标准</w:t>
      </w:r>
    </w:p>
    <w:p w14:paraId="669B5F16">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tbl>
      <w:tblPr>
        <w:tblStyle w:val="23"/>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7576"/>
      </w:tblGrid>
      <w:tr w14:paraId="345A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blHeader/>
          <w:jc w:val="center"/>
        </w:trPr>
        <w:tc>
          <w:tcPr>
            <w:tcW w:w="1274" w:type="dxa"/>
            <w:shd w:val="clear" w:color="auto" w:fill="D7D7D7"/>
            <w:noWrap w:val="0"/>
            <w:vAlign w:val="center"/>
          </w:tcPr>
          <w:p w14:paraId="6688853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b/>
                <w:bCs/>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b/>
                <w:bCs/>
                <w:smallCaps w:val="0"/>
                <w:snapToGrid w:val="0"/>
                <w:color w:val="000000" w:themeColor="text1"/>
                <w:sz w:val="21"/>
                <w:szCs w:val="21"/>
                <w:highlight w:val="none"/>
                <w:vertAlign w:val="baseline"/>
                <w:lang w:val="en-US" w:eastAsia="zh-CN"/>
                <w14:textFill>
                  <w14:solidFill>
                    <w14:schemeClr w14:val="tx1"/>
                  </w14:solidFill>
                </w14:textFill>
              </w:rPr>
              <w:t>评审因素</w:t>
            </w:r>
          </w:p>
        </w:tc>
        <w:tc>
          <w:tcPr>
            <w:tcW w:w="7576" w:type="dxa"/>
            <w:shd w:val="clear" w:color="auto" w:fill="D7D7D7"/>
            <w:noWrap w:val="0"/>
            <w:vAlign w:val="center"/>
          </w:tcPr>
          <w:p w14:paraId="12B0373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b/>
                <w:bCs/>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b/>
                <w:bCs/>
                <w:smallCaps w:val="0"/>
                <w:snapToGrid w:val="0"/>
                <w:color w:val="000000" w:themeColor="text1"/>
                <w:sz w:val="21"/>
                <w:szCs w:val="21"/>
                <w:highlight w:val="none"/>
                <w:vertAlign w:val="baseline"/>
                <w:lang w:val="en-US" w:eastAsia="zh-CN"/>
                <w14:textFill>
                  <w14:solidFill>
                    <w14:schemeClr w14:val="tx1"/>
                  </w14:solidFill>
                </w14:textFill>
              </w:rPr>
              <w:t>评审标准</w:t>
            </w:r>
          </w:p>
        </w:tc>
      </w:tr>
      <w:tr w14:paraId="4181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 w:type="dxa"/>
            <w:noWrap w:val="0"/>
            <w:vAlign w:val="center"/>
          </w:tcPr>
          <w:p w14:paraId="281E0196">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snapToGrid w:val="0"/>
                <w:color w:val="000000" w:themeColor="text1"/>
                <w:sz w:val="21"/>
                <w:szCs w:val="18"/>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18"/>
                <w:highlight w:val="none"/>
                <w:vertAlign w:val="baseline"/>
                <w:lang w:val="en-US" w:eastAsia="zh-CN"/>
                <w14:textFill>
                  <w14:solidFill>
                    <w14:schemeClr w14:val="tx1"/>
                  </w14:solidFill>
                </w14:textFill>
              </w:rPr>
              <w:t>异常低价</w:t>
            </w:r>
          </w:p>
          <w:p w14:paraId="00F17D48">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18"/>
                <w:highlight w:val="none"/>
                <w:vertAlign w:val="baseline"/>
                <w:lang w:val="en-US" w:eastAsia="zh-CN"/>
                <w14:textFill>
                  <w14:solidFill>
                    <w14:schemeClr w14:val="tx1"/>
                  </w14:solidFill>
                </w14:textFill>
              </w:rPr>
              <w:t>评审</w:t>
            </w:r>
          </w:p>
        </w:tc>
        <w:tc>
          <w:tcPr>
            <w:tcW w:w="7576" w:type="dxa"/>
            <w:noWrap w:val="0"/>
            <w:vAlign w:val="top"/>
          </w:tcPr>
          <w:p w14:paraId="0DBB503F">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smallCap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smallCaps w:val="0"/>
                <w:color w:val="000000" w:themeColor="text1"/>
                <w:sz w:val="21"/>
                <w:szCs w:val="21"/>
                <w:highlight w:val="none"/>
                <w:u w:val="none"/>
                <w:lang w:val="en-US" w:eastAsia="zh-CN"/>
                <w14:textFill>
                  <w14:solidFill>
                    <w14:schemeClr w14:val="tx1"/>
                  </w14:solidFill>
                </w14:textFill>
              </w:rPr>
              <w:t>通过“商务及技术文件初步评审”以及“报价文件初步评审”的单位进入此评审环节。</w:t>
            </w:r>
          </w:p>
          <w:p w14:paraId="6A29706F">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w:t>
            </w:r>
            <w:r>
              <w:rPr>
                <w:rFonts w:hint="eastAsia" w:ascii="宋体" w:hAnsi="宋体" w:eastAsia="宋体" w:cs="宋体"/>
                <w:smallCaps w:val="0"/>
                <w:color w:val="000000" w:themeColor="text1"/>
                <w:highlight w:val="none"/>
                <w:lang w:val="en-US" w:eastAsia="zh-CN"/>
                <w14:textFill>
                  <w14:solidFill>
                    <w14:schemeClr w14:val="tx1"/>
                  </w14:solidFill>
                </w14:textFill>
              </w:rPr>
              <w:t>1</w:t>
            </w:r>
            <w:r>
              <w:rPr>
                <w:rFonts w:hint="eastAsia" w:ascii="宋体" w:hAnsi="宋体" w:eastAsia="宋体" w:cs="宋体"/>
                <w:smallCaps w:val="0"/>
                <w:color w:val="000000" w:themeColor="text1"/>
                <w:highlight w:val="none"/>
                <w14:textFill>
                  <w14:solidFill>
                    <w14:schemeClr w14:val="tx1"/>
                  </w14:solidFill>
                </w14:textFill>
              </w:rPr>
              <w:t>）</w:t>
            </w:r>
            <w:r>
              <w:rPr>
                <w:rFonts w:hint="eastAsia" w:ascii="宋体" w:hAnsi="宋体" w:eastAsia="宋体" w:cs="宋体"/>
                <w:smallCaps w:val="0"/>
                <w:color w:val="000000" w:themeColor="text1"/>
                <w:highlight w:val="none"/>
                <w14:textFill>
                  <w14:solidFill>
                    <w14:schemeClr w14:val="tx1"/>
                  </w14:solidFill>
                </w14:textFill>
              </w:rPr>
              <w:t>异常低价评审具体要求如下</w:t>
            </w:r>
            <w:r>
              <w:rPr>
                <w:rFonts w:hint="eastAsia" w:ascii="宋体" w:hAnsi="宋体" w:eastAsia="宋体" w:cs="宋体"/>
                <w:smallCaps w:val="0"/>
                <w:color w:val="000000" w:themeColor="text1"/>
                <w:highlight w:val="none"/>
                <w:u w:val="none"/>
                <w:lang w:eastAsia="zh-CN"/>
                <w14:textFill>
                  <w14:solidFill>
                    <w14:schemeClr w14:val="tx1"/>
                  </w14:solidFill>
                </w14:textFill>
              </w:rPr>
              <w:t>：</w:t>
            </w:r>
          </w:p>
          <w:p w14:paraId="49E088BE">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投标报价同时满足以下两项判定指标的视为异常低价，评标委员会将进行异常低价评审</w:t>
            </w:r>
            <w:r>
              <w:rPr>
                <w:rFonts w:hint="eastAsia" w:ascii="宋体" w:hAnsi="宋体" w:eastAsia="宋体" w:cs="宋体"/>
                <w:smallCaps w:val="0"/>
                <w:color w:val="000000" w:themeColor="text1"/>
                <w:highlight w:val="none"/>
                <w:lang w:eastAsia="zh-CN"/>
                <w14:textFill>
                  <w14:solidFill>
                    <w14:schemeClr w14:val="tx1"/>
                  </w14:solidFill>
                </w14:textFill>
              </w:rPr>
              <w:t>。</w:t>
            </w:r>
          </w:p>
          <w:p w14:paraId="171C1A6C">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条件一：投标报价低于最高投标限价的异常低价规定指标（见评标办法前附表）。</w:t>
            </w:r>
          </w:p>
          <w:p w14:paraId="4D85C04F">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snapToGrid w:val="0"/>
                <w:color w:val="000000" w:themeColor="text1"/>
                <w:highlight w:val="none"/>
                <w14:textFill>
                  <w14:solidFill>
                    <w14:schemeClr w14:val="tx1"/>
                  </w14:solidFill>
                </w14:textFill>
              </w:rPr>
            </w:pPr>
            <w:r>
              <w:rPr>
                <w:rFonts w:hint="eastAsia" w:ascii="Times New Roman" w:hAnsi="Times New Roman"/>
                <w:smallCaps w:val="0"/>
                <w:snapToGrid w:val="0"/>
                <w:color w:val="000000" w:themeColor="text1"/>
                <w:highlight w:val="none"/>
                <w:lang w:val="en-US" w:eastAsia="zh-CN"/>
                <w14:textFill>
                  <w14:solidFill>
                    <w14:schemeClr w14:val="tx1"/>
                  </w14:solidFill>
                </w14:textFill>
              </w:rPr>
              <w:t>百分比</w:t>
            </w:r>
            <w:r>
              <w:rPr>
                <w:rFonts w:hint="eastAsia" w:ascii="Times New Roman" w:hAnsi="Times New Roman"/>
                <w:smallCaps w:val="0"/>
                <w:snapToGrid w:val="0"/>
                <w:color w:val="000000" w:themeColor="text1"/>
                <w:highlight w:val="none"/>
                <w14:textFill>
                  <w14:solidFill>
                    <w14:schemeClr w14:val="tx1"/>
                  </w14:solidFill>
                </w14:textFill>
              </w:rPr>
              <w:t>计算方式：按照以下公式代入计算，排除暂列金额</w:t>
            </w:r>
            <w:r>
              <w:rPr>
                <w:rFonts w:hint="eastAsia" w:ascii="Times New Roman" w:hAnsi="Times New Roman"/>
                <w:smallCaps w:val="0"/>
                <w:snapToGrid w:val="0"/>
                <w:color w:val="000000" w:themeColor="text1"/>
                <w:highlight w:val="none"/>
                <w:lang w:eastAsia="zh-CN"/>
                <w14:textFill>
                  <w14:solidFill>
                    <w14:schemeClr w14:val="tx1"/>
                  </w14:solidFill>
                </w14:textFill>
              </w:rPr>
              <w:t>（</w:t>
            </w:r>
            <w:r>
              <w:rPr>
                <w:rFonts w:hint="eastAsia" w:ascii="Times New Roman" w:hAnsi="Times New Roman"/>
                <w:smallCaps w:val="0"/>
                <w:snapToGrid w:val="0"/>
                <w:color w:val="000000" w:themeColor="text1"/>
                <w:highlight w:val="none"/>
                <w:lang w:val="en-US" w:eastAsia="zh-CN"/>
                <w14:textFill>
                  <w14:solidFill>
                    <w14:schemeClr w14:val="tx1"/>
                  </w14:solidFill>
                </w14:textFill>
              </w:rPr>
              <w:t>如有</w:t>
            </w:r>
            <w:r>
              <w:rPr>
                <w:rFonts w:hint="eastAsia" w:ascii="Times New Roman" w:hAnsi="Times New Roman"/>
                <w:smallCaps w:val="0"/>
                <w:snapToGrid w:val="0"/>
                <w:color w:val="000000" w:themeColor="text1"/>
                <w:highlight w:val="none"/>
                <w:lang w:eastAsia="zh-CN"/>
                <w14:textFill>
                  <w14:solidFill>
                    <w14:schemeClr w14:val="tx1"/>
                  </w14:solidFill>
                </w14:textFill>
              </w:rPr>
              <w:t>）</w:t>
            </w:r>
            <w:r>
              <w:rPr>
                <w:rFonts w:hint="eastAsia" w:ascii="Times New Roman" w:hAnsi="Times New Roman"/>
                <w:smallCaps w:val="0"/>
                <w:snapToGrid w:val="0"/>
                <w:color w:val="000000" w:themeColor="text1"/>
                <w:highlight w:val="none"/>
                <w:lang w:val="en-US" w:eastAsia="zh-CN"/>
                <w14:textFill>
                  <w14:solidFill>
                    <w14:schemeClr w14:val="tx1"/>
                  </w14:solidFill>
                </w14:textFill>
              </w:rPr>
              <w:t>与暂估价（如有）</w:t>
            </w:r>
            <w:r>
              <w:rPr>
                <w:rFonts w:hint="eastAsia" w:ascii="Times New Roman" w:hAnsi="Times New Roman"/>
                <w:smallCaps w:val="0"/>
                <w:snapToGrid w:val="0"/>
                <w:color w:val="000000" w:themeColor="text1"/>
                <w:highlight w:val="none"/>
                <w14:textFill>
                  <w14:solidFill>
                    <w14:schemeClr w14:val="tx1"/>
                  </w14:solidFill>
                </w14:textFill>
              </w:rPr>
              <w:t>的影响。</w:t>
            </w:r>
          </w:p>
          <w:p w14:paraId="114D3C89">
            <w:pPr>
              <w:pStyle w:val="41"/>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360" w:lineRule="auto"/>
              <w:ind w:left="0" w:right="0"/>
              <w:jc w:val="center"/>
              <w:textAlignment w:val="auto"/>
              <w:rPr>
                <w:rFonts w:hint="default" w:ascii="Times New Roman" w:hAnsi="Times New Roman" w:eastAsia="宋体"/>
                <w:smallCaps w:val="0"/>
                <w:snapToGrid w:val="0"/>
                <w:color w:val="000000" w:themeColor="text1"/>
                <w:highlight w:val="no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lang w:val="en-US" w:eastAsia="zh-CN"/>
                <w14:textFill>
                  <w14:solidFill>
                    <w14:schemeClr w14:val="tx1"/>
                  </w14:solidFill>
                </w14:textFill>
              </w:rPr>
              <w:t xml:space="preserve">百分比= </w:t>
            </w:r>
            <m:oMath>
              <m:f>
                <m:fPr>
                  <m:ctrlPr>
                    <w:rPr>
                      <w:rFonts w:hint="default" w:ascii="Cambria Math" w:hAnsi="Cambria Math"/>
                      <w:i/>
                      <w:smallCaps w:val="0"/>
                      <w:snapToGrid w:val="0"/>
                      <w:color w:val="000000" w:themeColor="text1"/>
                      <w:sz w:val="28"/>
                      <w:szCs w:val="28"/>
                      <w:highlight w:val="none"/>
                      <w:lang w:val="en-US"/>
                      <w14:textFill>
                        <w14:solidFill>
                          <w14:schemeClr w14:val="tx1"/>
                        </w14:solidFill>
                      </w14:textFill>
                    </w:rPr>
                  </m:ctrlPr>
                </m:fPr>
                <m:num>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 xml:space="preserve">（投标报价 – 暂列金额 – </m:t>
                  </m:r>
                  <m:r>
                    <m:rPr>
                      <m:sty m:val="p"/>
                    </m:rPr>
                    <w:rPr>
                      <w:rFonts w:hint="eastAsia" w:ascii="Times New Roman" w:hAnsi="Times New Roman"/>
                      <w:smallCaps w:val="0"/>
                      <w:snapToGrid w:val="0"/>
                      <w:color w:val="000000" w:themeColor="text1"/>
                      <w:sz w:val="28"/>
                      <w:szCs w:val="28"/>
                      <w:highlight w:val="none"/>
                      <w:lang w:val="en-US" w:eastAsia="zh-CN"/>
                      <w14:textFill>
                        <w14:solidFill>
                          <w14:schemeClr w14:val="tx1"/>
                        </w14:solidFill>
                      </w14:textFill>
                    </w:rPr>
                    <m:t>暂估价</m:t>
                  </m:r>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m:t>
                  </m:r>
                  <m:ctrlPr>
                    <w:rPr>
                      <w:rFonts w:hint="default" w:ascii="Cambria Math" w:hAnsi="Cambria Math"/>
                      <w:i/>
                      <w:smallCaps w:val="0"/>
                      <w:snapToGrid w:val="0"/>
                      <w:color w:val="000000" w:themeColor="text1"/>
                      <w:sz w:val="28"/>
                      <w:szCs w:val="28"/>
                      <w:highlight w:val="none"/>
                      <w:lang w:val="en-US"/>
                      <w14:textFill>
                        <w14:solidFill>
                          <w14:schemeClr w14:val="tx1"/>
                        </w14:solidFill>
                      </w14:textFill>
                    </w:rPr>
                  </m:ctrlPr>
                </m:num>
                <m:den>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m:t>
                  </m:r>
                  <m:r>
                    <m:rPr>
                      <m:sty m:val="p"/>
                    </m:rPr>
                    <w:rPr>
                      <w:rFonts w:hint="eastAsia" w:ascii="Times New Roman" w:hAnsi="Times New Roman"/>
                      <w:smallCaps w:val="0"/>
                      <w:snapToGrid w:val="0"/>
                      <w:color w:val="000000" w:themeColor="text1"/>
                      <w:sz w:val="28"/>
                      <w:szCs w:val="28"/>
                      <w:highlight w:val="none"/>
                      <w:lang w:val="en-US" w:eastAsia="zh-CN"/>
                      <w14:textFill>
                        <w14:solidFill>
                          <w14:schemeClr w14:val="tx1"/>
                        </w14:solidFill>
                      </w14:textFill>
                    </w:rPr>
                    <m:t>最高投标限</m:t>
                  </m:r>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 xml:space="preserve">价 – 暂列金额 – </m:t>
                  </m:r>
                  <m:r>
                    <m:rPr>
                      <m:sty m:val="p"/>
                    </m:rPr>
                    <w:rPr>
                      <w:rFonts w:hint="eastAsia" w:ascii="Times New Roman" w:hAnsi="Times New Roman"/>
                      <w:smallCaps w:val="0"/>
                      <w:snapToGrid w:val="0"/>
                      <w:color w:val="000000" w:themeColor="text1"/>
                      <w:sz w:val="28"/>
                      <w:szCs w:val="28"/>
                      <w:highlight w:val="none"/>
                      <w:lang w:val="en-US" w:eastAsia="zh-CN"/>
                      <w14:textFill>
                        <w14:solidFill>
                          <w14:schemeClr w14:val="tx1"/>
                        </w14:solidFill>
                      </w14:textFill>
                    </w:rPr>
                    <m:t>暂估价</m:t>
                  </m:r>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m:t>
                  </m:r>
                  <m:ctrlPr>
                    <w:rPr>
                      <w:rFonts w:hint="default" w:ascii="Cambria Math" w:hAnsi="Cambria Math"/>
                      <w:i/>
                      <w:smallCaps w:val="0"/>
                      <w:snapToGrid w:val="0"/>
                      <w:color w:val="000000" w:themeColor="text1"/>
                      <w:sz w:val="28"/>
                      <w:szCs w:val="28"/>
                      <w:highlight w:val="none"/>
                      <w:lang w:val="en-US"/>
                      <w14:textFill>
                        <w14:solidFill>
                          <w14:schemeClr w14:val="tx1"/>
                        </w14:solidFill>
                      </w14:textFill>
                    </w:rPr>
                  </m:ctrlPr>
                </m:den>
              </m:f>
            </m:oMath>
            <w:r>
              <w:rPr>
                <w:rFonts w:hint="eastAsia" w:hAnsi="Cambria Math"/>
                <w:i w:val="0"/>
                <w:smallCaps w:val="0"/>
                <w:snapToGrid w:val="0"/>
                <w:color w:val="000000" w:themeColor="text1"/>
                <w:sz w:val="28"/>
                <w:szCs w:val="28"/>
                <w:highlight w:val="none"/>
                <w:lang w:val="en-US" w:eastAsia="zh-CN"/>
                <w14:textFill>
                  <w14:solidFill>
                    <w14:schemeClr w14:val="tx1"/>
                  </w14:solidFill>
                </w14:textFill>
              </w:rPr>
              <w:t xml:space="preserve"> </w:t>
            </w:r>
            <w:r>
              <w:rPr>
                <w:rFonts w:hint="eastAsia" w:ascii="Times New Roman" w:hAnsi="Times New Roman"/>
                <w:smallCaps w:val="0"/>
                <w:snapToGrid w:val="0"/>
                <w:color w:val="000000" w:themeColor="text1"/>
                <w:highlight w:val="none"/>
                <w14:textFill>
                  <w14:solidFill>
                    <w14:schemeClr w14:val="tx1"/>
                  </w14:solidFill>
                </w14:textFill>
              </w:rPr>
              <w:t>× 100%</w:t>
            </w:r>
          </w:p>
          <w:p w14:paraId="60DBC300">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注：上述计算公式中的“最高投标限价”为建筑安装工程费</w:t>
            </w:r>
            <w:r>
              <w:rPr>
                <w:rFonts w:hint="eastAsia" w:ascii="Times New Roman" w:hAnsi="Times New Roman"/>
                <w:smallCaps w:val="0"/>
                <w:color w:val="000000" w:themeColor="text1"/>
                <w:highlight w:val="none"/>
                <w14:textFill>
                  <w14:solidFill>
                    <w14:schemeClr w14:val="tx1"/>
                  </w14:solidFill>
                </w14:textFill>
              </w:rPr>
              <w:t>最高投标限价</w:t>
            </w:r>
            <w:r>
              <w:rPr>
                <w:rFonts w:hint="eastAsia" w:ascii="Times New Roman" w:hAnsi="Times New Roman"/>
                <w:smallCaps w:val="0"/>
                <w:color w:val="000000" w:themeColor="text1"/>
                <w:highlight w:val="none"/>
                <w:lang w:val="en-US" w:eastAsia="zh-CN"/>
                <w14:textFill>
                  <w14:solidFill>
                    <w14:schemeClr w14:val="tx1"/>
                  </w14:solidFill>
                </w14:textFill>
              </w:rPr>
              <w:t>对应的金额。承包人范围的工程建设其他费最高投标限价（如有）不纳入计算。</w:t>
            </w:r>
          </w:p>
          <w:p w14:paraId="272FF001">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条件二：</w:t>
            </w:r>
            <w:r>
              <w:rPr>
                <w:rFonts w:hint="eastAsia"/>
                <w:color w:val="000000" w:themeColor="text1"/>
                <w:highlight w:val="none"/>
                <w:lang w:val="en-US" w:eastAsia="zh-CN"/>
                <w14:textFill>
                  <w14:solidFill>
                    <w14:schemeClr w14:val="tx1"/>
                  </w14:solidFill>
                </w14:textFill>
              </w:rPr>
              <w:t>进入“异常低价评审”阶段的全部单位的投标报价平均值为本工程的“有效投标报价平均值”，计算结果保留两位小数，第三位四舍五入。投标人的报价低于“有效投标报价平均值”10%以上（不含10%）。</w:t>
            </w:r>
          </w:p>
          <w:p w14:paraId="16F82E1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低于有效投标报价平均值比例的计算方式 = （1-</w:t>
            </w:r>
            <m:oMath>
              <m:r>
                <m:rPr>
                  <m:sty m:val="p"/>
                </m:rPr>
                <w:rPr>
                  <w:rFonts w:hint="eastAsia" w:ascii="Cambria Math" w:hAnsi="Cambria Math" w:eastAsia="宋体" w:cs="宋体"/>
                  <w:snapToGrid w:val="0"/>
                  <w:color w:val="000000" w:themeColor="text1"/>
                  <w:sz w:val="21"/>
                  <w:szCs w:val="21"/>
                  <w:highlight w:val="none"/>
                  <w:lang w:val="en-US" w:eastAsia="zh-CN"/>
                  <w14:textFill>
                    <w14:solidFill>
                      <w14:schemeClr w14:val="tx1"/>
                    </w14:solidFill>
                  </w14:textFill>
                </w:rPr>
                <m:t xml:space="preserve"> </m:t>
              </m:r>
              <m:f>
                <m:fPr>
                  <m:ctrlPr>
                    <w:rPr>
                      <w:rFonts w:hint="eastAsia" w:ascii="Cambria Math" w:hAnsi="Cambria Math" w:eastAsia="宋体" w:cs="宋体"/>
                      <w:i w:val="0"/>
                      <w:iCs/>
                      <w:snapToGrid w:val="0"/>
                      <w:color w:val="000000" w:themeColor="text1"/>
                      <w:sz w:val="21"/>
                      <w:szCs w:val="21"/>
                      <w:highlight w:val="none"/>
                      <w:lang w:val="en-US"/>
                      <w14:textFill>
                        <w14:solidFill>
                          <w14:schemeClr w14:val="tx1"/>
                        </w14:solidFill>
                      </w14:textFill>
                    </w:rPr>
                  </m:ctrlPr>
                </m:fPr>
                <m:num>
                  <m:r>
                    <m:rPr>
                      <m:sty m:val="p"/>
                    </m:rPr>
                    <w:rPr>
                      <w:rFonts w:hint="eastAsia" w:ascii="Cambria Math" w:hAnsi="Cambria Math" w:eastAsia="宋体" w:cs="宋体"/>
                      <w:snapToGrid w:val="0"/>
                      <w:color w:val="000000" w:themeColor="text1"/>
                      <w:sz w:val="21"/>
                      <w:szCs w:val="21"/>
                      <w:highlight w:val="none"/>
                      <w:lang w:val="en-US" w:eastAsia="zh-CN"/>
                      <w14:textFill>
                        <w14:solidFill>
                          <w14:schemeClr w14:val="tx1"/>
                        </w14:solidFill>
                      </w14:textFill>
                    </w:rPr>
                    <m:t>投标报价</m:t>
                  </m:r>
                  <m:ctrlPr>
                    <w:rPr>
                      <w:rFonts w:hint="eastAsia" w:ascii="Cambria Math" w:hAnsi="Cambria Math" w:eastAsia="宋体" w:cs="宋体"/>
                      <w:i w:val="0"/>
                      <w:iCs/>
                      <w:snapToGrid w:val="0"/>
                      <w:color w:val="000000" w:themeColor="text1"/>
                      <w:sz w:val="21"/>
                      <w:szCs w:val="21"/>
                      <w:highlight w:val="none"/>
                      <w:lang w:val="en-US"/>
                      <w14:textFill>
                        <w14:solidFill>
                          <w14:schemeClr w14:val="tx1"/>
                        </w14:solidFill>
                      </w14:textFill>
                    </w:rPr>
                  </m:ctrlPr>
                </m:num>
                <m:den>
                  <m:r>
                    <m:rPr>
                      <m:sty m:val="p"/>
                    </m:rPr>
                    <w:rPr>
                      <w:rFonts w:hint="eastAsia" w:ascii="Cambria Math" w:hAnsi="Cambria Math" w:eastAsia="宋体" w:cs="宋体"/>
                      <w:snapToGrid w:val="0"/>
                      <w:color w:val="000000" w:themeColor="text1"/>
                      <w:sz w:val="21"/>
                      <w:szCs w:val="21"/>
                      <w:highlight w:val="none"/>
                      <w:lang w:val="en-US" w:eastAsia="zh-CN"/>
                      <w14:textFill>
                        <w14:solidFill>
                          <w14:schemeClr w14:val="tx1"/>
                        </w14:solidFill>
                      </w14:textFill>
                    </w:rPr>
                    <m:t>有效投标报价平均值</m:t>
                  </m:r>
                  <m:ctrlPr>
                    <w:rPr>
                      <w:rFonts w:hint="eastAsia" w:ascii="Cambria Math" w:hAnsi="Cambria Math" w:eastAsia="宋体" w:cs="宋体"/>
                      <w:i w:val="0"/>
                      <w:iCs/>
                      <w:snapToGrid w:val="0"/>
                      <w:color w:val="000000" w:themeColor="text1"/>
                      <w:sz w:val="21"/>
                      <w:szCs w:val="21"/>
                      <w:highlight w:val="none"/>
                      <w:lang w:val="en-US"/>
                      <w14:textFill>
                        <w14:solidFill>
                          <w14:schemeClr w14:val="tx1"/>
                        </w14:solidFill>
                      </w14:textFill>
                    </w:rPr>
                  </m:ctrlPr>
                </m:den>
              </m:f>
            </m:oMath>
            <w:r>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t xml:space="preserve"> ×100%  </w:t>
            </w:r>
          </w:p>
          <w:p w14:paraId="02B496F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t>注：计算结果采用精确值，不适用四舍五入。</w:t>
            </w:r>
          </w:p>
          <w:p w14:paraId="1EC9E60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例：经计算有效投标报价平均值为1000万元，某投标单位的报价为895.87万元。带入计算得该投标人的投标报价低于有效投标报价平均值10.413%，高于10%，符合判定条件二。</w:t>
            </w:r>
          </w:p>
          <w:p w14:paraId="706BC443">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val="en-US"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（2）证明材料要求</w:t>
            </w:r>
            <w:r>
              <w:rPr>
                <w:rFonts w:hint="eastAsia" w:ascii="宋体" w:hAnsi="宋体" w:eastAsia="宋体" w:cs="宋体"/>
                <w:smallCaps w:val="0"/>
                <w:color w:val="000000" w:themeColor="text1"/>
                <w:highlight w:val="none"/>
                <w:u w:val="none"/>
                <w:lang w:eastAsia="zh-CN"/>
                <w14:textFill>
                  <w14:solidFill>
                    <w14:schemeClr w14:val="tx1"/>
                  </w14:solidFill>
                </w14:textFill>
              </w:rPr>
              <w:t>：</w:t>
            </w:r>
            <w:r>
              <w:rPr>
                <w:rFonts w:hint="eastAsia" w:ascii="宋体" w:hAnsi="宋体" w:eastAsia="宋体" w:cs="宋体"/>
                <w:smallCaps w:val="0"/>
                <w:color w:val="000000" w:themeColor="text1"/>
                <w:highlight w:val="none"/>
                <w14:textFill>
                  <w14:solidFill>
                    <w14:schemeClr w14:val="tx1"/>
                  </w14:solidFill>
                </w14:textFill>
              </w:rPr>
              <w:t>投标人填报的单位工程投标报价金额低于该招标项目最高投标限价中对应单位工程最高投标限价金额规定比例（见评标办法前附表异常低价规定指标）的，</w:t>
            </w:r>
            <w:r>
              <w:rPr>
                <w:rFonts w:hint="eastAsia" w:ascii="宋体" w:hAnsi="宋体" w:eastAsia="宋体" w:cs="宋体"/>
                <w:smallCaps w:val="0"/>
                <w:color w:val="000000" w:themeColor="text1"/>
                <w:highlight w:val="none"/>
                <w:lang w:val="en-US" w:eastAsia="zh-CN"/>
                <w14:textFill>
                  <w14:solidFill>
                    <w14:schemeClr w14:val="tx1"/>
                  </w14:solidFill>
                </w14:textFill>
              </w:rPr>
              <w:t>应当自主准备报价说明材料与佐证文件。</w:t>
            </w:r>
          </w:p>
          <w:p w14:paraId="7007643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（3）以下情形不得作为异常低价投标说明的依据</w:t>
            </w:r>
            <w:r>
              <w:rPr>
                <w:rFonts w:hint="eastAsia" w:ascii="宋体" w:hAnsi="宋体" w:eastAsia="宋体" w:cs="宋体"/>
                <w:smallCaps w:val="0"/>
                <w:color w:val="000000" w:themeColor="text1"/>
                <w:highlight w:val="none"/>
                <w:u w:val="none"/>
                <w:lang w:eastAsia="zh-CN"/>
                <w14:textFill>
                  <w14:solidFill>
                    <w14:schemeClr w14:val="tx1"/>
                  </w14:solidFill>
                </w14:textFill>
              </w:rPr>
              <w:t>：</w:t>
            </w:r>
          </w:p>
          <w:p w14:paraId="646FE522">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①机械、材料自有或闲置；</w:t>
            </w:r>
          </w:p>
          <w:p w14:paraId="421A9C86">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②自有弃土场土源或与邻近项目签订的土方倒运协议；</w:t>
            </w:r>
          </w:p>
          <w:p w14:paraId="2EB08B50">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③人员闲置；</w:t>
            </w:r>
          </w:p>
          <w:p w14:paraId="6735A26F">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④亏本让利；</w:t>
            </w:r>
          </w:p>
          <w:p w14:paraId="120798A7">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⑤企业市场拓展或品牌宣传；</w:t>
            </w:r>
          </w:p>
          <w:p w14:paraId="34F9359D">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⑥降低或改变原设计方案、技术工艺、施工标准的；</w:t>
            </w:r>
          </w:p>
          <w:p w14:paraId="6D4EEDBD">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⑦类似项目业绩；</w:t>
            </w:r>
          </w:p>
          <w:p w14:paraId="1C02B534">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⑧评标委员会认为不得作为降低投标报价依据的情形。</w:t>
            </w:r>
          </w:p>
          <w:p w14:paraId="776988D1">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mallCaps w:val="0"/>
                <w:color w:val="000000" w:themeColor="text1"/>
                <w:sz w:val="21"/>
                <w:szCs w:val="21"/>
                <w:highlight w:val="none"/>
                <w:lang w:eastAsia="zh-CN"/>
                <w14:textFill>
                  <w14:solidFill>
                    <w14:schemeClr w14:val="tx1"/>
                  </w14:solidFill>
                </w14:textFill>
              </w:rPr>
            </w:pPr>
            <w:r>
              <w:rPr>
                <w:rFonts w:hint="eastAsia" w:ascii="宋体" w:hAnsi="宋体" w:eastAsia="宋体" w:cs="宋体"/>
                <w:smallCaps w:val="0"/>
                <w:color w:val="000000" w:themeColor="text1"/>
                <w:sz w:val="21"/>
                <w:szCs w:val="21"/>
                <w:highlight w:val="none"/>
                <w14:textFill>
                  <w14:solidFill>
                    <w14:schemeClr w14:val="tx1"/>
                  </w14:solidFill>
                </w14:textFill>
              </w:rPr>
              <w:t>（</w:t>
            </w:r>
            <w:r>
              <w:rPr>
                <w:rFonts w:hint="eastAsia" w:ascii="宋体" w:hAnsi="宋体" w:eastAsia="宋体" w:cs="宋体"/>
                <w:smallCap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smallCaps w:val="0"/>
                <w:color w:val="000000" w:themeColor="text1"/>
                <w:sz w:val="21"/>
                <w:szCs w:val="21"/>
                <w:highlight w:val="none"/>
                <w14:textFill>
                  <w14:solidFill>
                    <w14:schemeClr w14:val="tx1"/>
                  </w14:solidFill>
                </w14:textFill>
              </w:rPr>
              <w:t>）以下情形</w:t>
            </w:r>
            <w:r>
              <w:rPr>
                <w:rFonts w:hint="eastAsia" w:ascii="宋体" w:hAnsi="宋体" w:eastAsia="宋体" w:cs="宋体"/>
                <w:smallCaps w:val="0"/>
                <w:color w:val="000000" w:themeColor="text1"/>
                <w:sz w:val="21"/>
                <w:szCs w:val="21"/>
                <w:highlight w:val="none"/>
                <w:lang w:val="en-US" w:eastAsia="zh-CN"/>
                <w14:textFill>
                  <w14:solidFill>
                    <w14:schemeClr w14:val="tx1"/>
                  </w14:solidFill>
                </w14:textFill>
              </w:rPr>
              <w:t>可以</w:t>
            </w:r>
            <w:r>
              <w:rPr>
                <w:rFonts w:hint="eastAsia" w:ascii="宋体" w:hAnsi="宋体" w:eastAsia="宋体" w:cs="宋体"/>
                <w:smallCaps w:val="0"/>
                <w:color w:val="000000" w:themeColor="text1"/>
                <w:sz w:val="21"/>
                <w:szCs w:val="21"/>
                <w:highlight w:val="none"/>
                <w14:textFill>
                  <w14:solidFill>
                    <w14:schemeClr w14:val="tx1"/>
                  </w14:solidFill>
                </w14:textFill>
              </w:rPr>
              <w:t>作为异常低价投标说明的依据</w:t>
            </w:r>
            <w:r>
              <w:rPr>
                <w:rFonts w:hint="eastAsia" w:ascii="宋体" w:hAnsi="宋体" w:eastAsia="宋体" w:cs="宋体"/>
                <w:smallCaps w:val="0"/>
                <w:color w:val="000000" w:themeColor="text1"/>
                <w:sz w:val="21"/>
                <w:szCs w:val="21"/>
                <w:highlight w:val="none"/>
                <w:u w:val="none"/>
                <w:lang w:eastAsia="zh-CN"/>
                <w14:textFill>
                  <w14:solidFill>
                    <w14:schemeClr w14:val="tx1"/>
                  </w14:solidFill>
                </w14:textFill>
              </w:rPr>
              <w:t>：</w:t>
            </w:r>
          </w:p>
          <w:p w14:paraId="75D1868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1）以往中标且验收合格的同类型项目业绩，中标下浮比例不低于本项目报价的下浮比例。</w:t>
            </w:r>
          </w:p>
          <w:p w14:paraId="11A6608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同时提供以往项目的以下证明材料作为佐证：</w:t>
            </w:r>
          </w:p>
          <w:p w14:paraId="0711076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①最高投标限价（招标控制价）通知单，有项目招标人盖章；</w:t>
            </w:r>
          </w:p>
          <w:p w14:paraId="2005929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②中标通知书；</w:t>
            </w:r>
          </w:p>
          <w:p w14:paraId="1276D3B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③竣工验收报告或竣工验收备案表；</w:t>
            </w:r>
          </w:p>
          <w:p w14:paraId="7937BB1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④本项目的成本与合理利润分析说明材料，由本单位一级注册造价工程师签字并盖章。</w:t>
            </w:r>
          </w:p>
          <w:p w14:paraId="16DCB96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⑤提供关于合同履行能力及工程质量安全控制的承诺。</w:t>
            </w:r>
          </w:p>
          <w:p w14:paraId="6B58EFD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2）</w:t>
            </w:r>
            <w:r>
              <w:rPr>
                <w:rFonts w:hint="eastAsia" w:ascii="宋体" w:hAnsi="宋体" w:cs="宋体"/>
                <w:snapToGrid w:val="0"/>
                <w:color w:val="000000" w:themeColor="text1"/>
                <w:sz w:val="21"/>
                <w:szCs w:val="21"/>
                <w:highlight w:val="none"/>
                <w:lang w:val="en-US" w:eastAsia="zh-CN"/>
                <w14:textFill>
                  <w14:solidFill>
                    <w14:schemeClr w14:val="tx1"/>
                  </w14:solidFill>
                </w14:textFill>
              </w:rPr>
              <w:t>在保障</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原设计方案、技术工艺、施工标准的</w:t>
            </w:r>
            <w:r>
              <w:rPr>
                <w:rFonts w:hint="eastAsia" w:ascii="宋体" w:hAnsi="宋体" w:cs="宋体"/>
                <w:snapToGrid w:val="0"/>
                <w:color w:val="000000" w:themeColor="text1"/>
                <w:sz w:val="21"/>
                <w:szCs w:val="21"/>
                <w:highlight w:val="none"/>
                <w:lang w:val="en-US" w:eastAsia="zh-CN"/>
                <w14:textFill>
                  <w14:solidFill>
                    <w14:schemeClr w14:val="tx1"/>
                  </w14:solidFill>
                </w14:textFill>
              </w:rPr>
              <w:t>前提下，</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本项目</w:t>
            </w:r>
            <w:r>
              <w:rPr>
                <w:rFonts w:hint="eastAsia" w:ascii="宋体" w:hAnsi="宋体" w:cs="宋体"/>
                <w:snapToGrid w:val="0"/>
                <w:color w:val="000000" w:themeColor="text1"/>
                <w:sz w:val="21"/>
                <w:szCs w:val="21"/>
                <w:highlight w:val="none"/>
                <w:lang w:val="en-US" w:eastAsia="zh-CN"/>
                <w14:textFill>
                  <w14:solidFill>
                    <w14:schemeClr w14:val="tx1"/>
                  </w14:solidFill>
                </w14:textFill>
              </w:rPr>
              <w:t>通过</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采用新技术、</w:t>
            </w:r>
            <w:r>
              <w:rPr>
                <w:rFonts w:hint="eastAsia" w:ascii="宋体" w:hAnsi="宋体" w:cs="宋体"/>
                <w:snapToGrid w:val="0"/>
                <w:color w:val="000000" w:themeColor="text1"/>
                <w:sz w:val="21"/>
                <w:szCs w:val="21"/>
                <w:highlight w:val="none"/>
                <w:lang w:val="en-US" w:eastAsia="zh-CN"/>
                <w14:textFill>
                  <w14:solidFill>
                    <w14:schemeClr w14:val="tx1"/>
                  </w14:solidFill>
                </w14:textFill>
              </w:rPr>
              <w:t>新工艺</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、新设备</w:t>
            </w:r>
            <w:r>
              <w:rPr>
                <w:rFonts w:hint="eastAsia" w:ascii="宋体" w:hAnsi="宋体" w:cs="宋体"/>
                <w:snapToGrid w:val="0"/>
                <w:color w:val="000000" w:themeColor="text1"/>
                <w:sz w:val="21"/>
                <w:szCs w:val="21"/>
                <w:highlight w:val="none"/>
                <w:lang w:val="en-US" w:eastAsia="zh-CN"/>
                <w14:textFill>
                  <w14:solidFill>
                    <w14:schemeClr w14:val="tx1"/>
                  </w14:solidFill>
                </w14:textFill>
              </w:rPr>
              <w:t>等</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合理</w:t>
            </w:r>
            <w:r>
              <w:rPr>
                <w:rFonts w:hint="eastAsia" w:ascii="宋体" w:hAnsi="宋体" w:cs="宋体"/>
                <w:snapToGrid w:val="0"/>
                <w:color w:val="000000" w:themeColor="text1"/>
                <w:sz w:val="21"/>
                <w:szCs w:val="21"/>
                <w:highlight w:val="none"/>
                <w:lang w:val="en-US" w:eastAsia="zh-CN"/>
                <w14:textFill>
                  <w14:solidFill>
                    <w14:schemeClr w14:val="tx1"/>
                  </w14:solidFill>
                </w14:textFill>
              </w:rPr>
              <w:t>措施</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降低成本。</w:t>
            </w:r>
          </w:p>
          <w:p w14:paraId="3593D73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同时提供以下证明材料作为佐证：</w:t>
            </w:r>
          </w:p>
          <w:p w14:paraId="30AD4B3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①拟在本项目中采用新技术、新工艺、新设备类型，类似项目经验介绍、优势分析，与传统工艺的成本对比。</w:t>
            </w:r>
          </w:p>
          <w:p w14:paraId="4B72097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②基于以上的成本数据写明本项目的成本与合理利润分析说明材料，由本单位一级注册造价工程师签字并盖章。</w:t>
            </w:r>
          </w:p>
          <w:p w14:paraId="23EC86D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提供关于合同履行能力及工程质量安全控制的承诺。</w:t>
            </w:r>
          </w:p>
          <w:p w14:paraId="0D28E7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3）施工单位的原材料或供应链优势。</w:t>
            </w:r>
          </w:p>
          <w:p w14:paraId="4A2895C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同时提供以下证明材料作为佐证：</w:t>
            </w:r>
          </w:p>
          <w:p w14:paraId="4078519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①投标人与原材料供应商签订的在有效期内的长期供货协议，至少体现产品类型、价格指标信息，且该原材料与本项目适配；</w:t>
            </w:r>
          </w:p>
          <w:p w14:paraId="1A3EA9F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②基于以上原材料价格信息编制的成本与合理利润分析说明材料，由本单位一级注册造价工程师签字并盖章。</w:t>
            </w:r>
          </w:p>
          <w:p w14:paraId="7122D52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提供关于合同履行能力及工程质量安全控制的承诺。</w:t>
            </w:r>
          </w:p>
          <w:p w14:paraId="2C058CA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4）采用先进的信息化施工管理系统或先进的管理方法，实现施工各个过程的精细化管理，达到成本优化的目的。</w:t>
            </w:r>
          </w:p>
          <w:p w14:paraId="6316C83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同时提供以下证明材料作为佐证：</w:t>
            </w:r>
          </w:p>
          <w:p w14:paraId="7E9E94A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①提供相关信息化系统或先进管理方法的持有证明和成功应用的项目经验</w:t>
            </w:r>
          </w:p>
          <w:p w14:paraId="46246EC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②基于先进管理方法的成本优化额度以及本项目的成本与合理利润分析说明材料，由本单位一级注册造价工程师签字并盖章。</w:t>
            </w:r>
          </w:p>
          <w:p w14:paraId="4C9871E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提供关于合同履行能力及工程质量安全控制的承诺。</w:t>
            </w:r>
          </w:p>
          <w:p w14:paraId="33A7834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5）其他经评标委员会认可的有关成本的分析说明材料。</w:t>
            </w:r>
          </w:p>
          <w:p w14:paraId="5F2BEBA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不限于在人工、材料、机械消耗量、价格、施工措施、方案及其他方面。并同时提供关于合同履行能力及工程质量安全控制的承诺。</w:t>
            </w:r>
          </w:p>
          <w:p w14:paraId="1F965C08">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smallCaps w:val="0"/>
                <w:color w:val="000000" w:themeColor="text1"/>
                <w:szCs w:val="24"/>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）评审标准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对</w:t>
            </w:r>
            <w:r>
              <w:rPr>
                <w:rFonts w:hint="eastAsia" w:ascii="Times New Roman" w:hAnsi="Times New Roman"/>
                <w:smallCaps w:val="0"/>
                <w:color w:val="000000" w:themeColor="text1"/>
                <w:highlight w:val="none"/>
                <w:lang w:val="en-US" w:eastAsia="zh-CN"/>
                <w14:textFill>
                  <w14:solidFill>
                    <w14:schemeClr w14:val="tx1"/>
                  </w14:solidFill>
                </w14:textFill>
              </w:rPr>
              <w:t>判定为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异常低价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的投标人，评标委员会需要对其</w:t>
            </w:r>
            <w:r>
              <w:rPr>
                <w:rFonts w:hint="eastAsia" w:ascii="Times New Roman" w:hAnsi="Times New Roman"/>
                <w:smallCaps w:val="0"/>
                <w:color w:val="000000" w:themeColor="text1"/>
                <w:highlight w:val="none"/>
                <w14:textFill>
                  <w14:solidFill>
                    <w14:schemeClr w14:val="tx1"/>
                  </w14:solidFill>
                </w14:textFill>
              </w:rPr>
              <w:t>合同履行能力及工程质量安全等风险进行全面评估，</w:t>
            </w:r>
            <w:r>
              <w:rPr>
                <w:rFonts w:hint="eastAsia" w:ascii="Times New Roman" w:hAnsi="Times New Roman"/>
                <w:smallCaps w:val="0"/>
                <w:color w:val="000000" w:themeColor="text1"/>
                <w:highlight w:val="none"/>
                <w:lang w:val="en-US" w:eastAsia="zh-CN"/>
                <w14:textFill>
                  <w14:solidFill>
                    <w14:schemeClr w14:val="tx1"/>
                  </w14:solidFill>
                </w14:textFill>
              </w:rPr>
              <w:t>通过或否决意见作为</w:t>
            </w:r>
            <w:r>
              <w:rPr>
                <w:rFonts w:hint="eastAsia" w:ascii="Times New Roman" w:hAnsi="Times New Roman"/>
                <w:smallCaps w:val="0"/>
                <w:color w:val="000000" w:themeColor="text1"/>
                <w:highlight w:val="none"/>
                <w14:textFill>
                  <w14:solidFill>
                    <w14:schemeClr w14:val="tx1"/>
                  </w14:solidFill>
                </w14:textFill>
              </w:rPr>
              <w:t>评标结果的附件提交给招标人。投标人在投标文件中未作出有效澄清、说明或评标委员会认定（按照少数服从多数的原则）其存</w:t>
            </w:r>
            <w:r>
              <w:rPr>
                <w:rFonts w:hint="eastAsia" w:ascii="Times New Roman" w:hAnsi="Times New Roman"/>
                <w:smallCaps w:val="0"/>
                <w:color w:val="000000" w:themeColor="text1"/>
                <w:szCs w:val="24"/>
                <w:highlight w:val="none"/>
                <w14:textFill>
                  <w14:solidFill>
                    <w14:schemeClr w14:val="tx1"/>
                  </w14:solidFill>
                </w14:textFill>
              </w:rPr>
              <w:t>在履约及质量安全风险的，评标委员会应否决其投标</w:t>
            </w:r>
            <w:r>
              <w:rPr>
                <w:rFonts w:hint="eastAsia" w:ascii="Times New Roman" w:hAnsi="Times New Roman"/>
                <w:smallCaps w:val="0"/>
                <w:color w:val="000000" w:themeColor="text1"/>
                <w:szCs w:val="24"/>
                <w:highlight w:val="none"/>
                <w:lang w:eastAsia="zh-CN"/>
                <w14:textFill>
                  <w14:solidFill>
                    <w14:schemeClr w14:val="tx1"/>
                  </w14:solidFill>
                </w14:textFill>
              </w:rPr>
              <w:t>，</w:t>
            </w:r>
            <w:r>
              <w:rPr>
                <w:rFonts w:hint="eastAsia" w:ascii="Times New Roman" w:hAnsi="Times New Roman"/>
                <w:smallCaps w:val="0"/>
                <w:color w:val="000000" w:themeColor="text1"/>
                <w:szCs w:val="24"/>
                <w:highlight w:val="none"/>
                <w:lang w:val="en-US" w:eastAsia="zh-CN"/>
                <w14:textFill>
                  <w14:solidFill>
                    <w14:schemeClr w14:val="tx1"/>
                  </w14:solidFill>
                </w14:textFill>
              </w:rPr>
              <w:t>并在评标报告中写明否决投标的原因</w:t>
            </w:r>
            <w:r>
              <w:rPr>
                <w:rFonts w:hint="eastAsia" w:ascii="Times New Roman" w:hAnsi="Times New Roman"/>
                <w:smallCaps w:val="0"/>
                <w:color w:val="000000" w:themeColor="text1"/>
                <w:szCs w:val="24"/>
                <w:highlight w:val="none"/>
                <w14:textFill>
                  <w14:solidFill>
                    <w14:schemeClr w14:val="tx1"/>
                  </w14:solidFill>
                </w14:textFill>
              </w:rPr>
              <w:t>。</w:t>
            </w:r>
          </w:p>
          <w:p w14:paraId="39C0690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smallCaps w:val="0"/>
                <w:color w:val="000000" w:themeColor="text1"/>
                <w:highlight w:val="none"/>
                <w:vertAlign w:val="baseli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评标委员会对</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异常低价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投标人的</w:t>
            </w:r>
            <w:r>
              <w:rPr>
                <w:rFonts w:hint="eastAsia" w:ascii="Times New Roman" w:hAnsi="Times New Roman"/>
                <w:smallCaps w:val="0"/>
                <w:color w:val="000000" w:themeColor="text1"/>
                <w:highlight w:val="none"/>
                <w14:textFill>
                  <w14:solidFill>
                    <w14:schemeClr w14:val="tx1"/>
                  </w14:solidFill>
                </w14:textFill>
              </w:rPr>
              <w:t>合同履行能力及工程质量安全等风险进行全面评估，并</w:t>
            </w:r>
            <w:r>
              <w:rPr>
                <w:rFonts w:hint="eastAsia" w:ascii="Times New Roman" w:hAnsi="Times New Roman"/>
                <w:smallCaps w:val="0"/>
                <w:color w:val="000000" w:themeColor="text1"/>
                <w:highlight w:val="none"/>
                <w:lang w:val="en-US" w:eastAsia="zh-CN"/>
                <w14:textFill>
                  <w14:solidFill>
                    <w14:schemeClr w14:val="tx1"/>
                  </w14:solidFill>
                </w14:textFill>
              </w:rPr>
              <w:t>将审查意见</w:t>
            </w:r>
            <w:r>
              <w:rPr>
                <w:rFonts w:hint="eastAsia" w:ascii="Times New Roman" w:hAnsi="Times New Roman"/>
                <w:smallCaps w:val="0"/>
                <w:color w:val="000000" w:themeColor="text1"/>
                <w:highlight w:val="none"/>
                <w14:textFill>
                  <w14:solidFill>
                    <w14:schemeClr w14:val="tx1"/>
                  </w14:solidFill>
                </w14:textFill>
              </w:rPr>
              <w:t>作为评标结果的附件提交给招标人。投标人在投标文件中未作出有效澄清、说明或评标委员会认定（按照少数服从多数的原则）其存在履约及质量安全风险的，评标委员会应否决其投标，不推荐其为中标候选人。</w:t>
            </w:r>
          </w:p>
        </w:tc>
      </w:tr>
    </w:tbl>
    <w:p w14:paraId="50332B38">
      <w:pPr>
        <w:pageBreakBefore w:val="0"/>
        <w:kinsoku/>
        <w:wordWrap w:val="0"/>
        <w:overflowPunct/>
        <w:bidi w:val="0"/>
        <w:rPr>
          <w:rFonts w:hint="eastAsia" w:ascii="Times New Roman" w:hAnsi="Times New Roman" w:eastAsia="宋体" w:cs="宋体"/>
          <w:b/>
          <w:bCs/>
          <w:smallCaps w:val="0"/>
          <w:color w:val="000000" w:themeColor="text1"/>
          <w:sz w:val="24"/>
          <w:highlight w:val="none"/>
          <w14:textFill>
            <w14:solidFill>
              <w14:schemeClr w14:val="tx1"/>
            </w14:solidFill>
          </w14:textFill>
        </w:rPr>
      </w:pPr>
      <w:r>
        <w:rPr>
          <w:rFonts w:hint="eastAsia" w:ascii="Times New Roman" w:hAnsi="Times New Roman" w:eastAsia="宋体" w:cs="宋体"/>
          <w:b/>
          <w:bCs/>
          <w:smallCaps w:val="0"/>
          <w:color w:val="000000" w:themeColor="text1"/>
          <w:sz w:val="24"/>
          <w:highlight w:val="none"/>
          <w14:textFill>
            <w14:solidFill>
              <w14:schemeClr w14:val="tx1"/>
            </w14:solidFill>
          </w14:textFill>
        </w:rPr>
        <w:br w:type="page"/>
      </w:r>
    </w:p>
    <w:p w14:paraId="4F1F0DCA">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技术文件评审表</w:t>
      </w:r>
      <w:bookmarkEnd w:id="512"/>
      <w:bookmarkEnd w:id="513"/>
      <w:bookmarkEnd w:id="514"/>
      <w:bookmarkEnd w:id="515"/>
      <w:bookmarkEnd w:id="516"/>
      <w:bookmarkEnd w:id="517"/>
      <w:bookmarkEnd w:id="518"/>
    </w:p>
    <w:tbl>
      <w:tblPr>
        <w:tblStyle w:val="22"/>
        <w:tblW w:w="0" w:type="auto"/>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702"/>
        <w:gridCol w:w="909"/>
        <w:gridCol w:w="1266"/>
        <w:gridCol w:w="5433"/>
      </w:tblGrid>
      <w:tr w14:paraId="52F2BBD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39" w:hRule="atLeast"/>
          <w:tblHeader/>
          <w:jc w:val="center"/>
        </w:trPr>
        <w:tc>
          <w:tcPr>
            <w:tcW w:w="1611" w:type="dxa"/>
            <w:gridSpan w:val="2"/>
            <w:tcBorders>
              <w:top w:val="outset" w:color="auto" w:sz="6" w:space="0"/>
              <w:left w:val="outset" w:color="auto" w:sz="6" w:space="0"/>
              <w:bottom w:val="outset" w:color="auto" w:sz="6" w:space="0"/>
              <w:right w:val="single" w:color="auto" w:sz="4" w:space="0"/>
            </w:tcBorders>
            <w:shd w:val="clear" w:color="auto" w:fill="D7D7D7" w:themeFill="background1" w:themeFillShade="D8"/>
            <w:noWrap w:val="0"/>
            <w:vAlign w:val="center"/>
          </w:tcPr>
          <w:p w14:paraId="7A29900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1266" w:type="dxa"/>
            <w:tcBorders>
              <w:top w:val="outset" w:color="auto" w:sz="6" w:space="0"/>
              <w:left w:val="single" w:color="auto" w:sz="4" w:space="0"/>
              <w:bottom w:val="outset" w:color="auto" w:sz="6" w:space="0"/>
              <w:right w:val="single" w:color="auto" w:sz="4" w:space="0"/>
            </w:tcBorders>
            <w:shd w:val="clear" w:color="auto" w:fill="D7D7D7" w:themeFill="background1" w:themeFillShade="D8"/>
            <w:noWrap w:val="0"/>
            <w:vAlign w:val="center"/>
          </w:tcPr>
          <w:p w14:paraId="6CD0554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5433" w:type="dxa"/>
            <w:tcBorders>
              <w:top w:val="outset" w:color="auto" w:sz="6" w:space="0"/>
              <w:left w:val="single" w:color="auto" w:sz="4" w:space="0"/>
              <w:bottom w:val="outset" w:color="auto" w:sz="6" w:space="0"/>
              <w:right w:val="outset" w:color="auto" w:sz="6" w:space="0"/>
            </w:tcBorders>
            <w:shd w:val="clear" w:color="auto" w:fill="D7D7D7" w:themeFill="background1" w:themeFillShade="D8"/>
            <w:noWrap w:val="0"/>
            <w:vAlign w:val="center"/>
          </w:tcPr>
          <w:p w14:paraId="5905163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588F458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702" w:type="dxa"/>
            <w:vMerge w:val="restart"/>
            <w:tcBorders>
              <w:top w:val="outset" w:color="auto" w:sz="6" w:space="0"/>
              <w:left w:val="outset" w:color="auto" w:sz="6" w:space="0"/>
              <w:bottom w:val="outset" w:color="auto" w:sz="6" w:space="0"/>
              <w:right w:val="outset" w:color="auto" w:sz="6" w:space="0"/>
            </w:tcBorders>
            <w:noWrap w:val="0"/>
            <w:vAlign w:val="center"/>
          </w:tcPr>
          <w:p w14:paraId="3FA284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w:t>
            </w:r>
          </w:p>
        </w:tc>
        <w:tc>
          <w:tcPr>
            <w:tcW w:w="909" w:type="dxa"/>
            <w:vMerge w:val="restart"/>
            <w:tcBorders>
              <w:top w:val="outset" w:color="auto" w:sz="6" w:space="0"/>
              <w:left w:val="outset" w:color="auto" w:sz="6" w:space="0"/>
              <w:bottom w:val="outset" w:color="auto" w:sz="6" w:space="0"/>
              <w:right w:val="single" w:color="auto" w:sz="4" w:space="0"/>
            </w:tcBorders>
            <w:noWrap w:val="0"/>
            <w:vAlign w:val="center"/>
          </w:tcPr>
          <w:p w14:paraId="5A3F9C9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形式评审标准</w:t>
            </w:r>
          </w:p>
        </w:tc>
        <w:tc>
          <w:tcPr>
            <w:tcW w:w="1266" w:type="dxa"/>
            <w:tcBorders>
              <w:top w:val="outset" w:color="auto" w:sz="6" w:space="0"/>
              <w:left w:val="single" w:color="auto" w:sz="4" w:space="0"/>
              <w:right w:val="single" w:color="auto" w:sz="4" w:space="0"/>
            </w:tcBorders>
            <w:noWrap w:val="0"/>
            <w:tcMar>
              <w:left w:w="75" w:type="dxa"/>
            </w:tcMar>
            <w:vAlign w:val="center"/>
          </w:tcPr>
          <w:p w14:paraId="25921C9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投标人名称</w:t>
            </w:r>
          </w:p>
        </w:tc>
        <w:tc>
          <w:tcPr>
            <w:tcW w:w="5433" w:type="dxa"/>
            <w:tcBorders>
              <w:top w:val="outset" w:color="auto" w:sz="6" w:space="0"/>
              <w:left w:val="single" w:color="auto" w:sz="4" w:space="0"/>
              <w:right w:val="outset" w:color="auto" w:sz="6" w:space="0"/>
            </w:tcBorders>
            <w:noWrap w:val="0"/>
            <w:vAlign w:val="center"/>
          </w:tcPr>
          <w:p w14:paraId="197CDDC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与营业执照、资质证书、安全生产许可证一致</w:t>
            </w:r>
          </w:p>
        </w:tc>
      </w:tr>
      <w:tr w14:paraId="477F606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2A9F886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2C36CDD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right w:val="single" w:color="auto" w:sz="4" w:space="0"/>
            </w:tcBorders>
            <w:noWrap w:val="0"/>
            <w:tcMar>
              <w:left w:w="75" w:type="dxa"/>
            </w:tcMar>
            <w:vAlign w:val="center"/>
          </w:tcPr>
          <w:p w14:paraId="35FA541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签字盖章</w:t>
            </w:r>
          </w:p>
        </w:tc>
        <w:tc>
          <w:tcPr>
            <w:tcW w:w="5433" w:type="dxa"/>
            <w:tcBorders>
              <w:top w:val="outset" w:color="auto" w:sz="6" w:space="0"/>
              <w:left w:val="single" w:color="auto" w:sz="4" w:space="0"/>
              <w:right w:val="outset" w:color="auto" w:sz="6" w:space="0"/>
            </w:tcBorders>
            <w:noWrap w:val="0"/>
            <w:vAlign w:val="center"/>
          </w:tcPr>
          <w:p w14:paraId="7E1E03A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符合第二章“投标人须知”第3.7.3项规定</w:t>
            </w:r>
          </w:p>
        </w:tc>
      </w:tr>
      <w:tr w14:paraId="3F4F90F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34AA110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2809E8B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right w:val="single" w:color="auto" w:sz="4" w:space="0"/>
            </w:tcBorders>
            <w:noWrap w:val="0"/>
            <w:tcMar>
              <w:left w:w="75" w:type="dxa"/>
            </w:tcMar>
            <w:vAlign w:val="center"/>
          </w:tcPr>
          <w:p w14:paraId="2F6387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w:t>
            </w:r>
          </w:p>
          <w:p w14:paraId="19A8453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格式</w:t>
            </w:r>
          </w:p>
        </w:tc>
        <w:tc>
          <w:tcPr>
            <w:tcW w:w="5433" w:type="dxa"/>
            <w:tcBorders>
              <w:top w:val="outset" w:color="auto" w:sz="6" w:space="0"/>
              <w:left w:val="single" w:color="auto" w:sz="4" w:space="0"/>
              <w:right w:val="outset" w:color="auto" w:sz="6" w:space="0"/>
            </w:tcBorders>
            <w:noWrap w:val="0"/>
            <w:vAlign w:val="center"/>
          </w:tcPr>
          <w:p w14:paraId="77007DB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符合第八章“投标文件格式”的规定，关键字迹清晰可辨</w:t>
            </w:r>
          </w:p>
        </w:tc>
      </w:tr>
      <w:tr w14:paraId="3C6A183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702" w:type="dxa"/>
            <w:vMerge w:val="continue"/>
            <w:tcBorders>
              <w:top w:val="outset" w:color="auto" w:sz="6" w:space="0"/>
              <w:left w:val="outset" w:color="auto" w:sz="6" w:space="0"/>
              <w:bottom w:val="single" w:color="auto" w:sz="4" w:space="0"/>
              <w:right w:val="outset" w:color="auto" w:sz="6" w:space="0"/>
            </w:tcBorders>
            <w:noWrap w:val="0"/>
            <w:vAlign w:val="center"/>
          </w:tcPr>
          <w:p w14:paraId="2F930FB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single" w:color="auto" w:sz="4" w:space="0"/>
              <w:right w:val="single" w:color="auto" w:sz="4" w:space="0"/>
            </w:tcBorders>
            <w:noWrap w:val="0"/>
            <w:vAlign w:val="center"/>
          </w:tcPr>
          <w:p w14:paraId="2A93D65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single" w:color="auto" w:sz="4" w:space="0"/>
              <w:right w:val="single" w:color="auto" w:sz="4" w:space="0"/>
            </w:tcBorders>
            <w:noWrap w:val="0"/>
            <w:tcMar>
              <w:left w:w="75" w:type="dxa"/>
            </w:tcMar>
            <w:vAlign w:val="center"/>
          </w:tcPr>
          <w:p w14:paraId="78B7D95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备选投</w:t>
            </w:r>
          </w:p>
          <w:p w14:paraId="3E5A1EA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标方案</w:t>
            </w:r>
          </w:p>
        </w:tc>
        <w:tc>
          <w:tcPr>
            <w:tcW w:w="5433" w:type="dxa"/>
            <w:tcBorders>
              <w:top w:val="outset" w:color="auto" w:sz="6" w:space="0"/>
              <w:left w:val="single" w:color="auto" w:sz="4" w:space="0"/>
              <w:right w:val="outset" w:color="auto" w:sz="6" w:space="0"/>
            </w:tcBorders>
            <w:noWrap w:val="0"/>
            <w:vAlign w:val="center"/>
          </w:tcPr>
          <w:p w14:paraId="0C06656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除招标文件明确允许备选投标方案外，投标人不得提交备选投标方案</w:t>
            </w:r>
          </w:p>
        </w:tc>
      </w:tr>
      <w:tr w14:paraId="6FFBEFF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702" w:type="dxa"/>
            <w:vMerge w:val="restart"/>
            <w:tcBorders>
              <w:top w:val="single" w:color="auto" w:sz="4" w:space="0"/>
              <w:left w:val="outset" w:color="auto" w:sz="6" w:space="0"/>
              <w:right w:val="outset" w:color="auto" w:sz="6" w:space="0"/>
            </w:tcBorders>
            <w:noWrap w:val="0"/>
            <w:vAlign w:val="center"/>
          </w:tcPr>
          <w:p w14:paraId="62E04EC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2.1.3</w:t>
            </w:r>
          </w:p>
        </w:tc>
        <w:tc>
          <w:tcPr>
            <w:tcW w:w="909" w:type="dxa"/>
            <w:vMerge w:val="restart"/>
            <w:tcBorders>
              <w:top w:val="single" w:color="auto" w:sz="4" w:space="0"/>
              <w:left w:val="outset" w:color="auto" w:sz="6" w:space="0"/>
              <w:right w:val="single" w:color="auto" w:sz="4" w:space="0"/>
            </w:tcBorders>
            <w:noWrap w:val="0"/>
            <w:vAlign w:val="center"/>
          </w:tcPr>
          <w:p w14:paraId="119101E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响应性评审标准</w:t>
            </w:r>
          </w:p>
        </w:tc>
        <w:tc>
          <w:tcPr>
            <w:tcW w:w="1266" w:type="dxa"/>
            <w:tcBorders>
              <w:top w:val="single" w:color="auto" w:sz="4" w:space="0"/>
              <w:left w:val="single" w:color="auto" w:sz="4" w:space="0"/>
              <w:right w:val="single" w:color="auto" w:sz="4" w:space="0"/>
            </w:tcBorders>
            <w:noWrap w:val="0"/>
            <w:tcMar>
              <w:left w:w="75" w:type="dxa"/>
            </w:tcMar>
            <w:vAlign w:val="center"/>
          </w:tcPr>
          <w:p w14:paraId="25993B7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投标内容</w:t>
            </w:r>
          </w:p>
        </w:tc>
        <w:tc>
          <w:tcPr>
            <w:tcW w:w="5433" w:type="dxa"/>
            <w:tcBorders>
              <w:top w:val="outset" w:color="auto" w:sz="6" w:space="0"/>
              <w:left w:val="single" w:color="auto" w:sz="4" w:space="0"/>
              <w:right w:val="outset" w:color="auto" w:sz="6" w:space="0"/>
            </w:tcBorders>
            <w:noWrap w:val="0"/>
            <w:vAlign w:val="center"/>
          </w:tcPr>
          <w:p w14:paraId="38978A2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符合第二章“投标人须知”第1.3.1项规定</w:t>
            </w:r>
          </w:p>
        </w:tc>
      </w:tr>
      <w:tr w14:paraId="2D1B5DF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702" w:type="dxa"/>
            <w:vMerge w:val="continue"/>
            <w:tcBorders>
              <w:left w:val="outset" w:color="auto" w:sz="6" w:space="0"/>
              <w:right w:val="outset" w:color="auto" w:sz="6" w:space="0"/>
            </w:tcBorders>
            <w:noWrap w:val="0"/>
            <w:vAlign w:val="center"/>
          </w:tcPr>
          <w:p w14:paraId="3A696DB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left w:val="outset" w:color="auto" w:sz="6" w:space="0"/>
              <w:right w:val="single" w:color="auto" w:sz="4" w:space="0"/>
            </w:tcBorders>
            <w:noWrap w:val="0"/>
            <w:vAlign w:val="center"/>
          </w:tcPr>
          <w:p w14:paraId="467D045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single" w:color="auto" w:sz="4" w:space="0"/>
              <w:left w:val="single" w:color="auto" w:sz="4" w:space="0"/>
              <w:right w:val="single" w:color="auto" w:sz="4" w:space="0"/>
            </w:tcBorders>
            <w:noWrap w:val="0"/>
            <w:tcMar>
              <w:left w:w="75" w:type="dxa"/>
            </w:tcMar>
            <w:vAlign w:val="center"/>
          </w:tcPr>
          <w:p w14:paraId="6766991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偏差</w:t>
            </w:r>
          </w:p>
        </w:tc>
        <w:tc>
          <w:tcPr>
            <w:tcW w:w="5433" w:type="dxa"/>
            <w:tcBorders>
              <w:top w:val="outset" w:color="auto" w:sz="6" w:space="0"/>
              <w:left w:val="single" w:color="auto" w:sz="4" w:space="0"/>
              <w:right w:val="outset" w:color="auto" w:sz="6" w:space="0"/>
            </w:tcBorders>
            <w:noWrap w:val="0"/>
            <w:vAlign w:val="center"/>
          </w:tcPr>
          <w:p w14:paraId="0F9668B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符合第二章“投标人须知”第1.12.1项规定，投标文件中没有招标人不能接受的条件</w:t>
            </w:r>
          </w:p>
        </w:tc>
      </w:tr>
      <w:tr w14:paraId="08E8E71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702" w:type="dxa"/>
            <w:vMerge w:val="continue"/>
            <w:tcBorders>
              <w:left w:val="outset" w:color="auto" w:sz="6" w:space="0"/>
              <w:right w:val="outset" w:color="auto" w:sz="6" w:space="0"/>
            </w:tcBorders>
            <w:noWrap w:val="0"/>
            <w:vAlign w:val="center"/>
          </w:tcPr>
          <w:p w14:paraId="6E52968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left w:val="outset" w:color="auto" w:sz="6" w:space="0"/>
              <w:right w:val="single" w:color="auto" w:sz="4" w:space="0"/>
            </w:tcBorders>
            <w:noWrap w:val="0"/>
            <w:vAlign w:val="center"/>
          </w:tcPr>
          <w:p w14:paraId="1B2B49A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right w:val="single" w:color="auto" w:sz="4" w:space="0"/>
            </w:tcBorders>
            <w:noWrap w:val="0"/>
            <w:tcMar>
              <w:left w:w="75" w:type="dxa"/>
            </w:tcMar>
            <w:vAlign w:val="center"/>
          </w:tcPr>
          <w:p w14:paraId="6FEFC2A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其他实质</w:t>
            </w:r>
          </w:p>
          <w:p w14:paraId="555ABE2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性要求</w:t>
            </w:r>
          </w:p>
        </w:tc>
        <w:tc>
          <w:tcPr>
            <w:tcW w:w="5433" w:type="dxa"/>
            <w:tcBorders>
              <w:top w:val="outset" w:color="auto" w:sz="6" w:space="0"/>
              <w:left w:val="single" w:color="auto" w:sz="4" w:space="0"/>
              <w:right w:val="outset" w:color="auto" w:sz="6" w:space="0"/>
            </w:tcBorders>
            <w:noWrap w:val="0"/>
            <w:vAlign w:val="center"/>
          </w:tcPr>
          <w:p w14:paraId="27EE1A4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符合招标文件的其他实质性要求和条件</w:t>
            </w:r>
          </w:p>
        </w:tc>
      </w:tr>
      <w:tr w14:paraId="5573411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702" w:type="dxa"/>
            <w:vMerge w:val="continue"/>
            <w:tcBorders>
              <w:left w:val="outset" w:color="auto" w:sz="6" w:space="0"/>
              <w:bottom w:val="outset" w:color="auto" w:sz="6" w:space="0"/>
              <w:right w:val="outset" w:color="auto" w:sz="6" w:space="0"/>
            </w:tcBorders>
            <w:noWrap w:val="0"/>
            <w:vAlign w:val="center"/>
          </w:tcPr>
          <w:p w14:paraId="27695A3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left w:val="outset" w:color="auto" w:sz="6" w:space="0"/>
              <w:bottom w:val="outset" w:color="auto" w:sz="6" w:space="0"/>
              <w:right w:val="single" w:color="auto" w:sz="4" w:space="0"/>
            </w:tcBorders>
            <w:noWrap w:val="0"/>
            <w:vAlign w:val="center"/>
          </w:tcPr>
          <w:p w14:paraId="1848252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right w:val="single" w:color="auto" w:sz="4" w:space="0"/>
            </w:tcBorders>
            <w:noWrap w:val="0"/>
            <w:tcMar>
              <w:left w:w="75" w:type="dxa"/>
            </w:tcMar>
            <w:vAlign w:val="center"/>
          </w:tcPr>
          <w:p w14:paraId="516AA38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BIM</w:t>
            </w:r>
          </w:p>
          <w:p w14:paraId="7075065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技术要求</w:t>
            </w:r>
          </w:p>
          <w:p w14:paraId="16283DF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（如有）</w:t>
            </w:r>
          </w:p>
        </w:tc>
        <w:tc>
          <w:tcPr>
            <w:tcW w:w="5433" w:type="dxa"/>
            <w:tcBorders>
              <w:top w:val="outset" w:color="auto" w:sz="6" w:space="0"/>
              <w:left w:val="single" w:color="auto" w:sz="4" w:space="0"/>
              <w:right w:val="outset" w:color="auto" w:sz="6" w:space="0"/>
            </w:tcBorders>
            <w:noWrap w:val="0"/>
            <w:vAlign w:val="center"/>
          </w:tcPr>
          <w:p w14:paraId="2CBB5B3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参照</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安徽省房屋建筑和市政基础设施工程施工应用BIM技术招标投标评标办法实施导则</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174B0EA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restart"/>
            <w:tcBorders>
              <w:top w:val="single" w:color="auto" w:sz="4" w:space="0"/>
              <w:left w:val="outset" w:color="auto" w:sz="6" w:space="0"/>
              <w:bottom w:val="outset" w:color="auto" w:sz="6" w:space="0"/>
              <w:right w:val="outset" w:color="auto" w:sz="6" w:space="0"/>
            </w:tcBorders>
            <w:noWrap w:val="0"/>
            <w:vAlign w:val="center"/>
          </w:tcPr>
          <w:p w14:paraId="6D6065A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2.1.4</w:t>
            </w:r>
          </w:p>
        </w:tc>
        <w:tc>
          <w:tcPr>
            <w:tcW w:w="909" w:type="dxa"/>
            <w:vMerge w:val="restart"/>
            <w:tcBorders>
              <w:top w:val="single" w:color="auto" w:sz="4" w:space="0"/>
              <w:left w:val="outset" w:color="auto" w:sz="6" w:space="0"/>
              <w:bottom w:val="outset" w:color="auto" w:sz="6" w:space="0"/>
              <w:right w:val="single" w:color="auto" w:sz="4" w:space="0"/>
            </w:tcBorders>
            <w:noWrap w:val="0"/>
            <w:vAlign w:val="center"/>
          </w:tcPr>
          <w:p w14:paraId="3F34567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施工组织设计评审标准</w:t>
            </w:r>
            <w:r>
              <w:rPr>
                <w:rStyle w:val="28"/>
                <w:rFonts w:hint="eastAsia" w:ascii="Times New Roman" w:hAnsi="Times New Roman" w:eastAsia="宋体" w:cs="宋体"/>
                <w:b w:val="0"/>
                <w:bCs w:val="0"/>
                <w:smallCaps w:val="0"/>
                <w:color w:val="000000" w:themeColor="text1"/>
                <w:kern w:val="0"/>
                <w:szCs w:val="21"/>
                <w:highlight w:val="none"/>
                <w14:textFill>
                  <w14:solidFill>
                    <w14:schemeClr w14:val="tx1"/>
                  </w14:solidFill>
                </w14:textFill>
              </w:rPr>
              <w:footnoteReference w:id="45"/>
            </w:r>
          </w:p>
        </w:tc>
        <w:tc>
          <w:tcPr>
            <w:tcW w:w="1266" w:type="dxa"/>
            <w:tcBorders>
              <w:top w:val="outset" w:color="auto" w:sz="6" w:space="0"/>
              <w:left w:val="single" w:color="auto" w:sz="4" w:space="0"/>
              <w:bottom w:val="outset" w:color="auto" w:sz="6" w:space="0"/>
              <w:right w:val="single" w:color="auto" w:sz="4" w:space="0"/>
            </w:tcBorders>
            <w:noWrap w:val="0"/>
            <w:tcMar>
              <w:left w:w="75" w:type="dxa"/>
            </w:tcMar>
            <w:vAlign w:val="center"/>
          </w:tcPr>
          <w:p w14:paraId="1FC3F26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1.工程概况</w:t>
            </w:r>
          </w:p>
        </w:tc>
        <w:tc>
          <w:tcPr>
            <w:tcW w:w="5433"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254A779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描述准确。</w:t>
            </w:r>
          </w:p>
        </w:tc>
      </w:tr>
      <w:tr w14:paraId="6B87C6A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3933C5F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6029095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67AB130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2.主要施工方案与技术措施</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4D3F589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各主要分部施工方法符合项目实际，须有详尽的施工方案与技术措施，工艺先进、方法科学合理、可行，能指导具体施工并确保安全。</w:t>
            </w:r>
          </w:p>
        </w:tc>
      </w:tr>
      <w:tr w14:paraId="07C79CD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8"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5DC979A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4C304A4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70D70E6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3.主要物资供应计划</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6E24FCB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投入的施工材料有详细计划且计划周密，数量、选型配置、进场数量、时间安排合理，满足施工需要。</w:t>
            </w:r>
          </w:p>
        </w:tc>
      </w:tr>
      <w:tr w14:paraId="4615D5F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2C0ED45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2EEFC21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086D9C9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4.主要施工机械、设备进场计划</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729C07D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投入的施工机械、设备、机具有详细计划且计划周密，设备数量、选型配置、进场数量、时间安排合理，满足施工需要。</w:t>
            </w:r>
          </w:p>
        </w:tc>
      </w:tr>
      <w:tr w14:paraId="6A8B024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2D70B0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1CEF99E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1CD8CFC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5.劳动力安排计划</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21C0253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各主要施工工序应有详细周密的劳动力安排计划明细，有各工种劳动力安排计划，劳动力投入经济合理，满足施工需要。</w:t>
            </w:r>
          </w:p>
        </w:tc>
      </w:tr>
      <w:tr w14:paraId="099311D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703C113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7BED170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5E5D3A5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6.确保工程质量的技术组织措施</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75C3DF8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施工项目应有专门的质量技术管理班子和制度，且人员配备合理，制度健全。主要工序应有质量技术保证措施和手段，自控体系完整，能有效保证技术质量，达到承诺的质量标准。</w:t>
            </w:r>
          </w:p>
        </w:tc>
      </w:tr>
      <w:tr w14:paraId="2833819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3C78ECB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02FFFBC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62C5C2D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7.确保安全生产的技术组织措施</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1A50534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施工项目应有专门的安全管理人员和制度，且人员配备合理，制度健全，各道工序安全技术措施针对性强，符合实际且满足有关安全技术标准要求。现场防火、社会治安安全措施得力。</w:t>
            </w:r>
          </w:p>
        </w:tc>
      </w:tr>
      <w:tr w14:paraId="1512AF7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2D5BC3A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38F8DEA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54158B9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8.确保工期的技术组织措施</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720502B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p>
        </w:tc>
      </w:tr>
      <w:tr w14:paraId="5FC65F5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1A76C15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4912241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733733C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9.确保文明施工的技术组织措施</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4D9C2F5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针对本工程项目特点，应有现场文明施工计划，环境保护措施，且计划措施内容应达到“安全文明示范工地”标准。各项措施周全、具体、有效。有具体实现现场文明施工目标的承诺。</w:t>
            </w:r>
          </w:p>
        </w:tc>
      </w:tr>
      <w:tr w14:paraId="1F49367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2B374BF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6409BDD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07379B3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10.施工总平面布置图</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0A5B8B6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应有施工总平面布置图，安排科学合理，符合本项目施工实际要求。</w:t>
            </w:r>
          </w:p>
        </w:tc>
      </w:tr>
      <w:tr w14:paraId="0F5F6D7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5B4AA89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6428FED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2A2DC3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11.重点、难点</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2F9F401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满足招标文件前附表重难点要求，应单独成章，可以根据投标人理解另行增加内容。</w:t>
            </w:r>
          </w:p>
        </w:tc>
      </w:tr>
      <w:tr w14:paraId="4EB4F51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00CFAA1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30B77EB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6352074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12.危大工程安全管理</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75216BE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根据招标人在招标文件中列明的危大工程清单及结合招标项目实际情况补充完善危大工程清单，编制专项施工方案并明确相应的安全管理措施。</w:t>
            </w:r>
          </w:p>
        </w:tc>
      </w:tr>
      <w:tr w14:paraId="7F9DF9A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4F006E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79875D5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40EAFB4A">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13.BIM技术要求</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014B57C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参照</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安徽省房屋建筑和市政基础设施工程施工应用BIM技术招标投标评标办法实施导则</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71204FE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5E5155D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6A35F0C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6" w:type="dxa"/>
            <w:tcBorders>
              <w:top w:val="outset" w:color="auto" w:sz="6" w:space="0"/>
              <w:left w:val="single" w:color="auto" w:sz="4" w:space="0"/>
              <w:bottom w:val="outset" w:color="auto" w:sz="6" w:space="0"/>
              <w:right w:val="outset" w:color="auto" w:sz="6" w:space="0"/>
            </w:tcBorders>
            <w:noWrap w:val="0"/>
            <w:tcMar>
              <w:left w:w="75" w:type="dxa"/>
            </w:tcMar>
            <w:vAlign w:val="center"/>
          </w:tcPr>
          <w:p w14:paraId="28EA756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5433" w:type="dxa"/>
            <w:tcBorders>
              <w:top w:val="outset" w:color="auto" w:sz="6" w:space="0"/>
              <w:left w:val="outset" w:color="auto" w:sz="6" w:space="0"/>
              <w:bottom w:val="outset" w:color="auto" w:sz="6" w:space="0"/>
              <w:right w:val="outset" w:color="auto" w:sz="6" w:space="0"/>
            </w:tcBorders>
            <w:noWrap w:val="0"/>
            <w:tcMar>
              <w:left w:w="75" w:type="dxa"/>
            </w:tcMar>
            <w:vAlign w:val="center"/>
          </w:tcPr>
          <w:p w14:paraId="7D3CB28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41689EF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102" w:hRule="atLeast"/>
          <w:jc w:val="center"/>
        </w:trPr>
        <w:tc>
          <w:tcPr>
            <w:tcW w:w="702" w:type="dxa"/>
            <w:vMerge w:val="continue"/>
            <w:tcBorders>
              <w:top w:val="outset" w:color="auto" w:sz="6" w:space="0"/>
              <w:left w:val="outset" w:color="auto" w:sz="6" w:space="0"/>
              <w:bottom w:val="outset" w:color="auto" w:sz="6" w:space="0"/>
              <w:right w:val="outset" w:color="auto" w:sz="6" w:space="0"/>
            </w:tcBorders>
            <w:noWrap w:val="0"/>
            <w:vAlign w:val="center"/>
          </w:tcPr>
          <w:p w14:paraId="229B3462">
            <w:pPr>
              <w:keepNext w:val="0"/>
              <w:keepLines w:val="0"/>
              <w:pageBreakBefore w:val="0"/>
              <w:widowControl/>
              <w:suppressLineNumbers w:val="0"/>
              <w:kinsoku/>
              <w:wordWrap w:val="0"/>
              <w:overflowPunct/>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09" w:type="dxa"/>
            <w:vMerge w:val="continue"/>
            <w:tcBorders>
              <w:top w:val="outset" w:color="auto" w:sz="6" w:space="0"/>
              <w:left w:val="outset" w:color="auto" w:sz="6" w:space="0"/>
              <w:bottom w:val="outset" w:color="auto" w:sz="6" w:space="0"/>
              <w:right w:val="single" w:color="auto" w:sz="4" w:space="0"/>
            </w:tcBorders>
            <w:noWrap w:val="0"/>
            <w:vAlign w:val="center"/>
          </w:tcPr>
          <w:p w14:paraId="7CC8A8B2">
            <w:pPr>
              <w:keepNext w:val="0"/>
              <w:keepLines w:val="0"/>
              <w:pageBreakBefore w:val="0"/>
              <w:widowControl/>
              <w:suppressLineNumbers w:val="0"/>
              <w:kinsoku/>
              <w:wordWrap w:val="0"/>
              <w:overflowPunct/>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699" w:type="dxa"/>
            <w:gridSpan w:val="2"/>
            <w:tcBorders>
              <w:top w:val="outset" w:color="auto" w:sz="6" w:space="0"/>
              <w:left w:val="single" w:color="auto" w:sz="4" w:space="0"/>
              <w:bottom w:val="outset" w:color="auto" w:sz="6" w:space="0"/>
              <w:right w:val="outset" w:color="auto" w:sz="6" w:space="0"/>
            </w:tcBorders>
            <w:noWrap w:val="0"/>
            <w:tcMar>
              <w:left w:w="75" w:type="dxa"/>
            </w:tcMar>
            <w:vAlign w:val="center"/>
          </w:tcPr>
          <w:p w14:paraId="0B20CDD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以上评审因素中第</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项必须通过，且全部评审因素通过率在70%以上，技术文件方为通过。</w:t>
            </w:r>
          </w:p>
        </w:tc>
      </w:tr>
    </w:tbl>
    <w:p w14:paraId="10532CA4">
      <w:pPr>
        <w:pageBreakBefore w:val="0"/>
        <w:kinsoku/>
        <w:wordWrap w:val="0"/>
        <w:overflowPunct/>
        <w:bidi w:val="0"/>
        <w:rPr>
          <w:rFonts w:hint="eastAsia" w:ascii="Times New Roman" w:hAnsi="Times New Roman" w:cs="宋体"/>
          <w:b/>
          <w:bCs/>
          <w:smallCaps w:val="0"/>
          <w:color w:val="000000" w:themeColor="text1"/>
          <w:sz w:val="32"/>
          <w:szCs w:val="32"/>
          <w:highlight w:val="none"/>
          <w14:textFill>
            <w14:solidFill>
              <w14:schemeClr w14:val="tx1"/>
            </w14:solidFill>
          </w14:textFill>
        </w:rPr>
      </w:pPr>
      <w:bookmarkStart w:id="519" w:name="_Toc5956"/>
      <w:bookmarkStart w:id="520" w:name="_Toc9722"/>
      <w:r>
        <w:rPr>
          <w:rFonts w:hint="eastAsia" w:ascii="Times New Roman" w:hAnsi="Times New Roman" w:cs="宋体"/>
          <w:b/>
          <w:bCs/>
          <w:smallCaps w:val="0"/>
          <w:color w:val="000000" w:themeColor="text1"/>
          <w:sz w:val="32"/>
          <w:szCs w:val="32"/>
          <w:highlight w:val="none"/>
          <w14:textFill>
            <w14:solidFill>
              <w14:schemeClr w14:val="tx1"/>
            </w14:solidFill>
          </w14:textFill>
        </w:rPr>
        <w:br w:type="page"/>
      </w:r>
    </w:p>
    <w:p w14:paraId="349B7D90">
      <w:pPr>
        <w:pStyle w:val="77"/>
        <w:pageBreakBefore w:val="0"/>
        <w:widowControl w:val="0"/>
        <w:kinsoku/>
        <w:wordWrap w:val="0"/>
        <w:overflowPunct/>
        <w:topLinePunct w:val="0"/>
        <w:autoSpaceDE/>
        <w:autoSpaceDN/>
        <w:bidi w:val="0"/>
        <w:snapToGrid/>
        <w:spacing w:before="0" w:line="400" w:lineRule="exact"/>
        <w:textAlignment w:val="auto"/>
        <w:rPr>
          <w:rStyle w:val="78"/>
          <w:rFonts w:hint="eastAsia" w:ascii="Times New Roman" w:hAnsi="Times New Roman"/>
          <w:bCs w:val="0"/>
          <w:smallCaps w:val="0"/>
          <w:color w:val="000000" w:themeColor="text1"/>
          <w:kern w:val="2"/>
          <w:highlight w:val="none"/>
          <w:lang w:val="en-US" w:eastAsia="zh-CN" w:bidi="ar-SA"/>
          <w14:textFill>
            <w14:solidFill>
              <w14:schemeClr w14:val="tx1"/>
            </w14:solidFill>
          </w14:textFill>
        </w:rPr>
      </w:pPr>
      <w:bookmarkStart w:id="521" w:name="_Toc11875"/>
      <w:r>
        <w:rPr>
          <w:rStyle w:val="78"/>
          <w:rFonts w:hint="eastAsia" w:ascii="Times New Roman" w:hAnsi="Times New Roman"/>
          <w:bCs w:val="0"/>
          <w:smallCaps w:val="0"/>
          <w:color w:val="000000" w:themeColor="text1"/>
          <w:kern w:val="2"/>
          <w:highlight w:val="none"/>
          <w:lang w:val="en-US" w:eastAsia="zh-CN" w:bidi="ar-SA"/>
          <w14:textFill>
            <w14:solidFill>
              <w14:schemeClr w14:val="tx1"/>
            </w14:solidFill>
          </w14:textFill>
        </w:rPr>
        <w:t>1. 评标方法</w:t>
      </w:r>
      <w:bookmarkEnd w:id="519"/>
      <w:bookmarkEnd w:id="520"/>
      <w:bookmarkEnd w:id="521"/>
    </w:p>
    <w:p w14:paraId="501F8AC6">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本次评标采用经评审的最低投标价法，即评标委员会按照经评审的投标报价由低到高的顺序依次对投标人的商务文件、报价文件和技术文件进行评审，</w:t>
      </w:r>
      <w:r>
        <w:rPr>
          <w:rFonts w:hint="eastAsia" w:ascii="宋体" w:hAnsi="宋体" w:eastAsia="宋体" w:cs="Times New Roman"/>
          <w:color w:val="000000" w:themeColor="text1"/>
          <w:kern w:val="2"/>
          <w:sz w:val="21"/>
          <w:szCs w:val="21"/>
          <w:highlight w:val="none"/>
          <w:lang w:val="en-US" w:eastAsia="zh-CN" w:bidi="ar"/>
          <w14:textFill>
            <w14:solidFill>
              <w14:schemeClr w14:val="tx1"/>
            </w14:solidFill>
          </w14:textFill>
        </w:rPr>
        <w:t>最先全部通过的即为第一中标候选人，直至推荐出招标文件规定数量的中标候选人</w:t>
      </w:r>
      <w:r>
        <w:rPr>
          <w:rFonts w:hint="eastAsia" w:ascii="Times New Roman" w:hAnsi="Times New Roman"/>
          <w:smallCaps w:val="0"/>
          <w:color w:val="000000" w:themeColor="text1"/>
          <w:highlight w:val="none"/>
          <w:lang w:val="en-US" w:eastAsia="zh-CN"/>
          <w14:textFill>
            <w14:solidFill>
              <w14:schemeClr w14:val="tx1"/>
            </w14:solidFill>
          </w14:textFill>
        </w:rPr>
        <w:t>或根据招标人授权直接确定中标人，但投标报价低于其成本或未通过异常低价评审的除外。</w:t>
      </w:r>
    </w:p>
    <w:p w14:paraId="12DC677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次评标的先后顺序及最多可中标段数量详见评标办法前附表。投标人使用相同的项目经理或主要管理人员投多个标段的，最多只能中一个标段。被推荐为第一中标候选人的标段个数已达到最多允许中标的标段个数的投标人，在后续标段不再被推荐为中标候选人，但仍参与评审</w:t>
      </w:r>
      <w:r>
        <w:rPr>
          <w:rStyle w:val="28"/>
          <w:rFonts w:hint="eastAsia" w:ascii="Times New Roman" w:hAnsi="Times New Roman" w:eastAsia="宋体" w:cs="宋体"/>
          <w:b w:val="0"/>
          <w:bCs/>
          <w:smallCaps w:val="0"/>
          <w:snapToGrid w:val="0"/>
          <w:color w:val="000000" w:themeColor="text1"/>
          <w:kern w:val="0"/>
          <w:szCs w:val="21"/>
          <w:highlight w:val="none"/>
          <w14:textFill>
            <w14:solidFill>
              <w14:schemeClr w14:val="tx1"/>
            </w14:solidFill>
          </w14:textFill>
        </w:rPr>
        <w:footnoteReference w:id="46"/>
      </w:r>
      <w:r>
        <w:rPr>
          <w:rFonts w:hint="eastAsia" w:ascii="Times New Roman" w:hAnsi="Times New Roman"/>
          <w:smallCaps w:val="0"/>
          <w:color w:val="000000" w:themeColor="text1"/>
          <w:highlight w:val="none"/>
          <w14:textFill>
            <w14:solidFill>
              <w14:schemeClr w14:val="tx1"/>
            </w14:solidFill>
          </w14:textFill>
        </w:rPr>
        <w:t>。</w:t>
      </w:r>
    </w:p>
    <w:p w14:paraId="4205413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评标结束后如有某标段的第一中标候选人发生变化的情况，不影响其他标段排序。</w:t>
      </w:r>
    </w:p>
    <w:p w14:paraId="5106E157">
      <w:pPr>
        <w:pStyle w:val="77"/>
        <w:pageBreakBefore w:val="0"/>
        <w:widowControl w:val="0"/>
        <w:kinsoku/>
        <w:wordWrap w:val="0"/>
        <w:overflowPunct/>
        <w:topLinePunct w:val="0"/>
        <w:autoSpaceDE/>
        <w:autoSpaceDN/>
        <w:bidi w:val="0"/>
        <w:snapToGrid/>
        <w:spacing w:before="0" w:line="400" w:lineRule="exact"/>
        <w:textAlignment w:val="auto"/>
        <w:rPr>
          <w:rFonts w:hint="eastAsia" w:ascii="Times New Roman" w:hAnsi="Times New Roman"/>
          <w:smallCaps w:val="0"/>
          <w:color w:val="000000" w:themeColor="text1"/>
          <w:highlight w:val="none"/>
          <w14:textFill>
            <w14:solidFill>
              <w14:schemeClr w14:val="tx1"/>
            </w14:solidFill>
          </w14:textFill>
        </w:rPr>
      </w:pPr>
      <w:bookmarkStart w:id="522" w:name="_Toc8911"/>
      <w:bookmarkStart w:id="523" w:name="_Toc19842"/>
      <w:bookmarkStart w:id="524" w:name="_Toc23088"/>
      <w:r>
        <w:rPr>
          <w:rFonts w:hint="eastAsia" w:ascii="Times New Roman" w:hAnsi="Times New Roman"/>
          <w:smallCaps w:val="0"/>
          <w:color w:val="000000" w:themeColor="text1"/>
          <w:highlight w:val="none"/>
          <w14:textFill>
            <w14:solidFill>
              <w14:schemeClr w14:val="tx1"/>
            </w14:solidFill>
          </w14:textFill>
        </w:rPr>
        <w:t>2. 评审标准</w:t>
      </w:r>
      <w:bookmarkEnd w:id="522"/>
      <w:bookmarkEnd w:id="523"/>
      <w:bookmarkEnd w:id="524"/>
    </w:p>
    <w:p w14:paraId="22149EDD">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525" w:name="_Toc21541"/>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2.1 初步评审标准</w:t>
      </w:r>
    </w:p>
    <w:bookmarkEnd w:id="525"/>
    <w:p w14:paraId="42584DDE">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2.1.1 形式评审标准</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见评标办法前附表。</w:t>
      </w:r>
    </w:p>
    <w:p w14:paraId="1885766B">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2.1.2 资格评审标准</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见评标办法前附表。</w:t>
      </w:r>
    </w:p>
    <w:p w14:paraId="1A27A4F2">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2.1.3 响应性评审标准</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见评标办法前附表。</w:t>
      </w:r>
    </w:p>
    <w:p w14:paraId="64DA94CD">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2.1.4 施工组织设计评审标准</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见评标办法前附表。</w:t>
      </w:r>
    </w:p>
    <w:p w14:paraId="6C4B7FBB">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526" w:name="_Toc24558"/>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2.2 详细评审标准</w:t>
      </w:r>
    </w:p>
    <w:bookmarkEnd w:id="526"/>
    <w:p w14:paraId="316ED98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详细评审标准</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见评标办法前附表。</w:t>
      </w:r>
    </w:p>
    <w:p w14:paraId="30E722D6">
      <w:pPr>
        <w:pStyle w:val="77"/>
        <w:pageBreakBefore w:val="0"/>
        <w:kinsoku/>
        <w:wordWrap w:val="0"/>
        <w:overflowPunct/>
        <w:bidi w:val="0"/>
        <w:rPr>
          <w:rFonts w:hint="eastAsia"/>
          <w:color w:val="000000" w:themeColor="text1"/>
          <w:highlight w:val="none"/>
          <w14:textFill>
            <w14:solidFill>
              <w14:schemeClr w14:val="tx1"/>
            </w14:solidFill>
          </w14:textFill>
        </w:rPr>
      </w:pPr>
      <w:bookmarkStart w:id="527" w:name="_Toc22510"/>
      <w:bookmarkStart w:id="528" w:name="_Toc14954"/>
      <w:bookmarkStart w:id="529" w:name="_Toc15045"/>
      <w:r>
        <w:rPr>
          <w:rFonts w:hint="eastAsia"/>
          <w:color w:val="000000" w:themeColor="text1"/>
          <w:highlight w:val="none"/>
          <w14:textFill>
            <w14:solidFill>
              <w14:schemeClr w14:val="tx1"/>
            </w14:solidFill>
          </w14:textFill>
        </w:rPr>
        <w:t>3. 评标程序</w:t>
      </w:r>
      <w:bookmarkEnd w:id="527"/>
      <w:bookmarkEnd w:id="528"/>
      <w:bookmarkEnd w:id="529"/>
    </w:p>
    <w:p w14:paraId="2F3C8F21">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530" w:name="_Toc23197"/>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3.1 商务文件评审</w:t>
      </w:r>
    </w:p>
    <w:bookmarkEnd w:id="530"/>
    <w:p w14:paraId="0925D6AF">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评标委员会依据本章第2.1.1项、第2.1.2项、第2.1.3项规定的标准对商务文件进行评审。有一项不符合评审标准的，评标委员会应否决其投标。</w:t>
      </w:r>
    </w:p>
    <w:p w14:paraId="579B4731">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531" w:name="_Toc12160"/>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3.2 报价文件初步评审</w:t>
      </w:r>
    </w:p>
    <w:bookmarkEnd w:id="531"/>
    <w:p w14:paraId="74C672F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3.2.1 评标委员会依据本章第2.1.1项、第2.1.3项规定的评审标准对报价文件进行初步评审。有一项不符合评审标准的，评标委员会应否决其投标。</w:t>
      </w:r>
    </w:p>
    <w:p w14:paraId="42FF082B">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3.2.2 初步评审时，评标委员会应对报价文件进行分析和整理工作（简称“清标”），从而发现并提取其中可能存在的对招标范围理解的偏差、投标报价的算术性错误、缺漏项、投标报价构成不合理、不平衡报价等存在明显异常的问题，并就这些问题整理形成清标成果。评标委员会对清标成果审议后，决定需要投标人进行书面澄清、说明的问题，向投标人发出问题澄清通知。清标工作可以使用计算机评标系统辅助评标委员会完成。</w:t>
      </w:r>
    </w:p>
    <w:p w14:paraId="3F55D90D">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3.2.3 清标的内容和步骤</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072CD55F">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（1）投标文件在符合性、响应性等方面存在的偏差；</w:t>
      </w:r>
    </w:p>
    <w:p w14:paraId="535AA0CE">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（2）投标文件存在的算术计算错误和修正结果；</w:t>
      </w:r>
    </w:p>
    <w:p w14:paraId="23F31310">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（3）在列出的所有偏差中，属于重大偏差的情形和相关依据；在列出的所有偏差中，属于细微偏差的情形；</w:t>
      </w:r>
    </w:p>
    <w:p w14:paraId="5DBE67E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（4）评标委员会审核确认清标结果。</w:t>
      </w:r>
    </w:p>
    <w:p w14:paraId="773EADE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3.2.4 除按照第二章“投标人须知”第1.12.3项、第1.12.4项对细微偏差进行处理外，对于其他细微偏差按以下规定处理</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3025E82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（1）投标文件中填报的工程量清单报价书中的分部分项工程量清单项目名称、项目特征描述、计量单位及工程量等与招标人提供的工程量清单相应内容存在细微偏差的，以招标人提供的内容为准；</w:t>
      </w:r>
    </w:p>
    <w:p w14:paraId="64DF7C6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（2）投标文件中填报的投标报价前后不一致时，以投标函填报的为准；</w:t>
      </w:r>
    </w:p>
    <w:p w14:paraId="1E9F7AE0">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（3）投标报价计算错误的修正</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75380AE1">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①投标文件中的大写金额与小写金额不一致的，以大写金额为准；</w:t>
      </w:r>
    </w:p>
    <w:p w14:paraId="1CBC4392">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②总价金额与依据单价计算出的结果不一致的，以单价金额为准修正总价，但单价金额小数点有明显错误的除外；</w:t>
      </w:r>
    </w:p>
    <w:p w14:paraId="68AE3894">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③当单价与数量相乘不等于合价时，以单价计算为准，如果单价有明显的小数点位置差错，应以标出的合价为准，同时对单价予以修正；</w:t>
      </w:r>
    </w:p>
    <w:p w14:paraId="422F6D9F">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④当各子目的合价累计不等于总价时，应以各子目合价累计数为准，修正总价；</w:t>
      </w:r>
    </w:p>
    <w:p w14:paraId="7A76EFC3">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⑤工程量清单报价表中综合单价与工程量清单项目综合单价分析表相对应综合单价不一致时，以工程量清单项目综合单价分析表中标出的综合单价为准。</w:t>
      </w:r>
    </w:p>
    <w:p w14:paraId="450631D2">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（4）投标报价存在细微偏差的，评标委员会按以上原则对投标报价进行处理，并要求投标人书面澄清确认，投标人拒不澄清确认的，评标委员会应当否决其投标。</w:t>
      </w:r>
    </w:p>
    <w:p w14:paraId="7AE9587A">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532" w:name="_Toc786"/>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3.3 报价文件详细评审</w:t>
      </w:r>
    </w:p>
    <w:bookmarkEnd w:id="532"/>
    <w:p w14:paraId="4085EF7D">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3.3.1 评标委员会按照本章第2.2款规定的评审标准进行评审。</w:t>
      </w:r>
    </w:p>
    <w:p w14:paraId="6FA16313">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3.3.2 评标委员会发现投标人的报价明显低于其他投标报价，使得其投标报价可能低于其成本的，应当要求该投标人作出书面说明并提供相应的证明材料。投标人不能合理说明或者不能提供相应证明材料的，评标委员会应当认定该投标人以低于成本报价竞标，否决其投标。</w:t>
      </w:r>
    </w:p>
    <w:p w14:paraId="1E025576">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533" w:name="_Toc31136"/>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3.4 技术文件初步评审</w:t>
      </w:r>
    </w:p>
    <w:bookmarkEnd w:id="533"/>
    <w:p w14:paraId="7BA3CF94">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3.4.1 评标委员会依据本章第2.1.1项、第2.1.3项、第2.1.4项规定的评审标准对技术文件进行初步评审。第2.1.1项、第2.1.3项中有一项不符合评审标准的，或者不符合第2.1.4项规定的合格标准的，评标委员会应否决其投标。</w:t>
      </w:r>
    </w:p>
    <w:p w14:paraId="11BA0934">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3.4.2 对于技术文件未通过评审的，评标委员会要提出充足的理由，并在评标报告中如实记录。</w:t>
      </w:r>
    </w:p>
    <w:p w14:paraId="45E086A4">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534" w:name="_Toc19033"/>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3.5 否决投标的其他情形</w:t>
      </w:r>
    </w:p>
    <w:bookmarkEnd w:id="534"/>
    <w:p w14:paraId="7385AFF1">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3.5.1 评标委员会应对在评标过程中发现的投标人与投标人之间、投标人与招标人之间存在的串通投标的情形进行评审和认定。投标人存在串通投标、弄虚作假、行贿等违法行为的，评标委员会应否决其投标。</w:t>
      </w:r>
    </w:p>
    <w:p w14:paraId="6DCA5A6B">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（1）有下列情形之一的，属于投标人相互串通投标</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7712577E">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a.投标人之间协商投标报价等投标文件的实质性内容；</w:t>
      </w:r>
    </w:p>
    <w:p w14:paraId="1A715F7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b.投标人之间约定中标人；</w:t>
      </w:r>
    </w:p>
    <w:p w14:paraId="627704C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c.投标人之间约定部分投标人放弃投标或中标；</w:t>
      </w:r>
    </w:p>
    <w:p w14:paraId="77DCC889">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d.属于同一集团、协会、商会等组织成员的投标人按照该组织要求协同投标；</w:t>
      </w:r>
    </w:p>
    <w:p w14:paraId="62654EC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e.投标人之间为谋取中标或排斥特定投标人而采取的其他联合行动。</w:t>
      </w:r>
    </w:p>
    <w:p w14:paraId="2B95FAF6">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（2）有下列情形之一的，视为投标人相互串通投标</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34193AE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a.不同投标人的投标文件由同一单位或个人编制；</w:t>
      </w:r>
    </w:p>
    <w:p w14:paraId="1315A69B">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b.不同投标人委托同一单位或个人办理投标事宜；</w:t>
      </w:r>
    </w:p>
    <w:p w14:paraId="09021EED">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c.不同投标人的投标文件载明的项目管理成员为同一人；</w:t>
      </w:r>
    </w:p>
    <w:p w14:paraId="5EC7F533">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d.不同投标人的投标文件异常一致或投标报价呈规律性差异；</w:t>
      </w:r>
    </w:p>
    <w:p w14:paraId="68E3A002">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e.不同投标人的投标文件相互混装；</w:t>
      </w:r>
    </w:p>
    <w:p w14:paraId="405AC435">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f.不同投标人的投标保证金从同一单位或个人的账户转出。</w:t>
      </w:r>
    </w:p>
    <w:p w14:paraId="43445A35">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（3）有下列情形之一的，属于招标人与投标人串通投标</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1CE133BA">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a.招标人在开标前开启投标文件并将有关信息泄露给其他投标人；</w:t>
      </w:r>
    </w:p>
    <w:p w14:paraId="096FF9C3">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b.招标人直接或间接向投标人泄露标底、评标委员会成员等信息；</w:t>
      </w:r>
    </w:p>
    <w:p w14:paraId="6BFFDFFA">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c.招标人明示或暗示投标人压低或抬高投标报价；</w:t>
      </w:r>
    </w:p>
    <w:p w14:paraId="53DA35F6">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d.招标人授意投标人撤换、修改投标文件；</w:t>
      </w:r>
    </w:p>
    <w:p w14:paraId="18DA2F63">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e.招标人明示或暗示投标人为特定投标人中标提供方便；</w:t>
      </w:r>
    </w:p>
    <w:p w14:paraId="20F0F9BA">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f.招标人与投标人为谋求特定投标人中标而采取的其他串通行为。</w:t>
      </w:r>
    </w:p>
    <w:p w14:paraId="2429A66E">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（4）投标人有下列情形之一的，属于弄虚作假的行为</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79666C6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a.使用通过受让或租借等方式获取的资格、资质证书投标；</w:t>
      </w:r>
    </w:p>
    <w:p w14:paraId="2CF5AE1D">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b.使用伪造、变造的许可证件；</w:t>
      </w:r>
    </w:p>
    <w:p w14:paraId="45C35A4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c.提供虚假的财务状况或业绩；</w:t>
      </w:r>
    </w:p>
    <w:p w14:paraId="6B45F98D">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d.提供虚假的项目经理或主要技术人员简历、劳动关系证明；</w:t>
      </w:r>
    </w:p>
    <w:p w14:paraId="069F4B40">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e.提供虚假的信用状况；</w:t>
      </w:r>
    </w:p>
    <w:p w14:paraId="26DB4D9F">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f.其他弄虚作假的行为。</w:t>
      </w:r>
    </w:p>
    <w:p w14:paraId="1BF86291">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535" w:name="_Toc25205"/>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3.6 投标文件的澄清、说明或补正</w:t>
      </w:r>
    </w:p>
    <w:bookmarkEnd w:id="535"/>
    <w:p w14:paraId="08CA0B49">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3.6.1 在评标过程中，评标委员会可以书面形式要求投标人对投标文件中含义不明确、对同类问题表述不一致或者有明显文字和计算错误的内容作必要的澄清、说明或补正。评标委员会不接受投标人主动提出的澄清、说明或补正。</w:t>
      </w:r>
    </w:p>
    <w:p w14:paraId="34F24921">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3.6.2 澄清、说明或补正不得超出投标文件的范围且不得改变投标文件的实质性内容，并构成投标文件的组成部分。</w:t>
      </w:r>
    </w:p>
    <w:p w14:paraId="1E393E94">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3.6.3 评标委员会对投标人提交的澄清、说明或补正有疑问的，可以要求投标人进一步澄清、说明或补正。</w:t>
      </w:r>
    </w:p>
    <w:p w14:paraId="451C9F76">
      <w:pPr>
        <w:pStyle w:val="4"/>
        <w:pageBreakBefore w:val="0"/>
        <w:widowControl w:val="0"/>
        <w:kinsoku/>
        <w:wordWrap w:val="0"/>
        <w:overflowPunct/>
        <w:topLinePunct w:val="0"/>
        <w:autoSpaceDE/>
        <w:autoSpaceDN/>
        <w:bidi w:val="0"/>
        <w:adjustRightInd w:val="0"/>
        <w:snapToGrid w:val="0"/>
        <w:spacing w:before="0" w:after="0" w:line="400" w:lineRule="exact"/>
        <w:textAlignment w:val="auto"/>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pPr>
      <w:bookmarkStart w:id="536" w:name="_Toc17659"/>
      <w:r>
        <w:rPr>
          <w:rStyle w:val="78"/>
          <w:rFonts w:hint="eastAsia" w:ascii="Times New Roman" w:hAnsi="Times New Roman"/>
          <w:b w:val="0"/>
          <w:bCs w:val="0"/>
          <w:smallCaps w:val="0"/>
          <w:color w:val="000000" w:themeColor="text1"/>
          <w:kern w:val="2"/>
          <w:sz w:val="24"/>
          <w:szCs w:val="24"/>
          <w:highlight w:val="none"/>
          <w:lang w:val="en-US" w:eastAsia="zh-CN" w:bidi="ar-SA"/>
          <w14:textFill>
            <w14:solidFill>
              <w14:schemeClr w14:val="tx1"/>
            </w14:solidFill>
          </w14:textFill>
        </w:rPr>
        <w:t>3.7 评标结果</w:t>
      </w:r>
    </w:p>
    <w:bookmarkEnd w:id="536"/>
    <w:p w14:paraId="51D3FEA0">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3.7.1 评标委员会对拟推荐的中标候选人进行查询，存在投标人须知第1.4.4项规定情形的，不得推荐为中标候选人，查询要求如下</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2F85DF44">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（1）评标委员会仅通过“国家企业信用信息公示系统”查询拟推荐中标候选人是否被列入严重违法失信名单，并将查询截图及查询结果在评标报告中予以记录；</w:t>
      </w:r>
    </w:p>
    <w:p w14:paraId="4271FA75">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评标委员会仅通过“信用中国”查询拟推荐中标候选人是否被列为失信被执行人、确定为重大税收违法失信主体、列入拖欠农民工工资失信联合惩戒对象名单，并将查询截图及查询结果在评标报告中予以记录；</w:t>
      </w:r>
    </w:p>
    <w:p w14:paraId="3A941FC1">
      <w:pPr>
        <w:pStyle w:val="79"/>
        <w:pageBreakBefore w:val="0"/>
        <w:widowControl w:val="0"/>
        <w:kinsoku/>
        <w:wordWrap w:val="0"/>
        <w:overflowPunct/>
        <w:topLinePunct w:val="0"/>
        <w:autoSpaceDE/>
        <w:autoSpaceDN/>
        <w:bidi w:val="0"/>
        <w:snapToGrid/>
        <w:spacing w:line="400" w:lineRule="exact"/>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（3）其他要求见投标人须知正文第1.4.4（5）目。</w:t>
      </w:r>
    </w:p>
    <w:p w14:paraId="43A77931">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除第二章投标人须知前附表授权直接确定中标人外，评标委员会按照评标办法的规定推荐中标候选人，并标明排列排序。</w:t>
      </w:r>
    </w:p>
    <w:p w14:paraId="256F0E50">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3.7.2 评标委员会完成评标后，应当向招标人提交评标报告。评标报告应当如实记载以下内容</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51B7291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（1）基本情况和数据表；</w:t>
      </w:r>
    </w:p>
    <w:p w14:paraId="22EF19EB">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（2）评标委员会成员名单；</w:t>
      </w:r>
    </w:p>
    <w:p w14:paraId="5FA00DB6">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（3）开标记录；</w:t>
      </w:r>
    </w:p>
    <w:p w14:paraId="6B79DE6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（4）符合要求的投标人一览表；</w:t>
      </w:r>
    </w:p>
    <w:p w14:paraId="5F357FF5">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（5）否决投标情况说明；</w:t>
      </w:r>
    </w:p>
    <w:p w14:paraId="77FF2A69">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（6）评标标准、评标方法或者评标因素一览表；</w:t>
      </w:r>
    </w:p>
    <w:p w14:paraId="6C9A315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（7）经评审的价格一览表；</w:t>
      </w:r>
    </w:p>
    <w:p w14:paraId="5F967ED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（8）经评审的投标人排序；</w:t>
      </w:r>
    </w:p>
    <w:p w14:paraId="03F1A7F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（9）推荐的中标候选人名单与签订合同前要处理的事宜；</w:t>
      </w:r>
    </w:p>
    <w:p w14:paraId="2D7891AA">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（10）澄清、说明事项纪要。</w:t>
      </w:r>
    </w:p>
    <w:p w14:paraId="68B00B27">
      <w:pPr>
        <w:pStyle w:val="40"/>
        <w:pageBreakBefore w:val="0"/>
        <w:kinsoku/>
        <w:wordWrap w:val="0"/>
        <w:overflowPunct/>
        <w:bidi w:val="0"/>
        <w:rPr>
          <w:rFonts w:hint="eastAsia"/>
          <w:color w:val="000000" w:themeColor="text1"/>
          <w:highlight w:val="none"/>
          <w:lang w:val="en-US" w:eastAsia="zh-CN"/>
          <w14:textFill>
            <w14:solidFill>
              <w14:schemeClr w14:val="tx1"/>
            </w14:solidFill>
          </w14:textFill>
        </w:rPr>
      </w:pPr>
      <w:r>
        <w:rPr>
          <w:rFonts w:hint="eastAsia" w:ascii="Times New Roman" w:hAnsi="Times New Roman" w:cs="宋体"/>
          <w:smallCaps w:val="0"/>
          <w:color w:val="000000" w:themeColor="text1"/>
          <w:szCs w:val="22"/>
          <w:highlight w:val="none"/>
          <w14:textFill>
            <w14:solidFill>
              <w14:schemeClr w14:val="tx1"/>
            </w14:solidFill>
          </w14:textFill>
        </w:rPr>
        <w:br w:type="page"/>
      </w:r>
      <w:bookmarkStart w:id="537" w:name="_Toc38879335"/>
      <w:bookmarkStart w:id="538" w:name="_Toc32709"/>
      <w:bookmarkStart w:id="539" w:name="_Toc2688"/>
      <w:bookmarkStart w:id="540" w:name="_Toc63412030"/>
      <w:bookmarkStart w:id="541" w:name="_Toc13649"/>
      <w:bookmarkStart w:id="542" w:name="_Toc68098235"/>
      <w:r>
        <w:rPr>
          <w:rFonts w:hint="eastAsia"/>
          <w:color w:val="000000" w:themeColor="text1"/>
          <w:highlight w:val="none"/>
          <w:lang w:val="en-US" w:eastAsia="zh-CN"/>
          <w14:textFill>
            <w14:solidFill>
              <w14:schemeClr w14:val="tx1"/>
            </w14:solidFill>
          </w14:textFill>
        </w:rPr>
        <w:t>第三章  评标及定标</w:t>
      </w:r>
      <w:bookmarkEnd w:id="537"/>
      <w:bookmarkEnd w:id="538"/>
      <w:bookmarkEnd w:id="539"/>
      <w:bookmarkEnd w:id="540"/>
      <w:bookmarkEnd w:id="541"/>
      <w:bookmarkEnd w:id="542"/>
    </w:p>
    <w:p w14:paraId="5002BE78">
      <w:pPr>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p>
    <w:p w14:paraId="768F47AF">
      <w:pPr>
        <w:pStyle w:val="40"/>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bookmarkStart w:id="543" w:name="_Toc68098236"/>
      <w:bookmarkStart w:id="544" w:name="_Toc26585"/>
      <w:bookmarkStart w:id="545" w:name="_Toc16028"/>
      <w:bookmarkStart w:id="546" w:name="_Toc63412031"/>
      <w:bookmarkStart w:id="547" w:name="_Toc16259"/>
      <w:r>
        <w:rPr>
          <w:rFonts w:hint="eastAsia" w:ascii="Times New Roman" w:hAnsi="Times New Roman"/>
          <w:smallCaps w:val="0"/>
          <w:color w:val="000000" w:themeColor="text1"/>
          <w:highlight w:val="none"/>
          <w14:textFill>
            <w14:solidFill>
              <w14:schemeClr w14:val="tx1"/>
            </w14:solidFill>
          </w14:textFill>
        </w:rPr>
        <w:t>（第</w:t>
      </w:r>
      <w:r>
        <w:rPr>
          <w:rFonts w:hint="eastAsia" w:ascii="Times New Roman" w:hAnsi="Times New Roman"/>
          <w:smallCaps w:val="0"/>
          <w:color w:val="000000" w:themeColor="text1"/>
          <w:highlight w:val="none"/>
          <w:lang w:val="en-US" w:eastAsia="zh-CN"/>
          <w14:textFill>
            <w14:solidFill>
              <w14:schemeClr w14:val="tx1"/>
            </w14:solidFill>
          </w14:textFill>
        </w:rPr>
        <w:t>二</w:t>
      </w:r>
      <w:r>
        <w:rPr>
          <w:rFonts w:hint="eastAsia" w:ascii="Times New Roman" w:hAnsi="Times New Roman"/>
          <w:smallCaps w:val="0"/>
          <w:color w:val="000000" w:themeColor="text1"/>
          <w:highlight w:val="none"/>
          <w14:textFill>
            <w14:solidFill>
              <w14:schemeClr w14:val="tx1"/>
            </w14:solidFill>
          </w14:textFill>
        </w:rPr>
        <w:t>种</w:t>
      </w:r>
      <w:r>
        <w:rPr>
          <w:rFonts w:hint="eastAsia" w:ascii="Times New Roman" w:hAnsi="Times New Roman"/>
          <w:smallCaps w:val="0"/>
          <w:color w:val="000000" w:themeColor="text1"/>
          <w:highlight w:val="none"/>
          <w:lang w:eastAsia="zh-CN"/>
          <w14:textFill>
            <w14:solidFill>
              <w14:schemeClr w14:val="tx1"/>
            </w14:solidFill>
          </w14:textFill>
        </w:rPr>
        <w:t>：</w:t>
      </w:r>
      <w:bookmarkEnd w:id="543"/>
      <w:bookmarkEnd w:id="544"/>
      <w:bookmarkEnd w:id="545"/>
      <w:bookmarkEnd w:id="546"/>
      <w:r>
        <w:rPr>
          <w:rFonts w:hint="eastAsia" w:ascii="Times New Roman" w:hAnsi="Times New Roman"/>
          <w:smallCaps w:val="0"/>
          <w:color w:val="000000" w:themeColor="text1"/>
          <w:highlight w:val="none"/>
          <w:lang w:val="en-US" w:eastAsia="zh-CN"/>
          <w14:textFill>
            <w14:solidFill>
              <w14:schemeClr w14:val="tx1"/>
            </w14:solidFill>
          </w14:textFill>
        </w:rPr>
        <w:t>合理低价法</w:t>
      </w:r>
      <w:r>
        <w:rPr>
          <w:rFonts w:hint="eastAsia" w:ascii="Times New Roman" w:hAnsi="Times New Roman"/>
          <w:smallCaps w:val="0"/>
          <w:color w:val="000000" w:themeColor="text1"/>
          <w:highlight w:val="none"/>
          <w:lang w:eastAsia="zh-CN"/>
          <w14:textFill>
            <w14:solidFill>
              <w14:schemeClr w14:val="tx1"/>
            </w14:solidFill>
          </w14:textFill>
        </w:rPr>
        <w:t>）</w:t>
      </w:r>
      <w:bookmarkEnd w:id="547"/>
    </w:p>
    <w:p w14:paraId="763C6E07">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6F710DF1">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548" w:name="_Toc4417"/>
      <w:bookmarkStart w:id="549" w:name="_Toc10856"/>
      <w:bookmarkStart w:id="550" w:name="_Toc28010"/>
      <w:r>
        <w:rPr>
          <w:rFonts w:hint="eastAsia" w:ascii="Times New Roman" w:hAnsi="Times New Roman"/>
          <w:smallCaps w:val="0"/>
          <w:color w:val="000000" w:themeColor="text1"/>
          <w:highlight w:val="none"/>
          <w14:textFill>
            <w14:solidFill>
              <w14:schemeClr w14:val="tx1"/>
            </w14:solidFill>
          </w14:textFill>
        </w:rPr>
        <w:t>评标办法前附表</w:t>
      </w:r>
      <w:bookmarkEnd w:id="548"/>
      <w:bookmarkEnd w:id="549"/>
      <w:bookmarkEnd w:id="550"/>
    </w:p>
    <w:tbl>
      <w:tblPr>
        <w:tblStyle w:val="22"/>
        <w:tblW w:w="5072"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3"/>
        <w:gridCol w:w="1831"/>
        <w:gridCol w:w="6334"/>
      </w:tblGrid>
      <w:tr w14:paraId="456B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trPr>
        <w:tc>
          <w:tcPr>
            <w:tcW w:w="513" w:type="pct"/>
            <w:shd w:val="clear" w:color="auto" w:fill="D7D7D7" w:themeFill="background1" w:themeFillShade="D8"/>
            <w:noWrap w:val="0"/>
            <w:vAlign w:val="center"/>
          </w:tcPr>
          <w:p w14:paraId="207077C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1006" w:type="pct"/>
            <w:shd w:val="clear" w:color="auto" w:fill="D7D7D7" w:themeFill="background1" w:themeFillShade="D8"/>
            <w:noWrap w:val="0"/>
            <w:vAlign w:val="center"/>
          </w:tcPr>
          <w:p w14:paraId="471AE9D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3480" w:type="pct"/>
            <w:shd w:val="clear" w:color="auto" w:fill="D7D7D7" w:themeFill="background1" w:themeFillShade="D8"/>
            <w:noWrap w:val="0"/>
            <w:vAlign w:val="center"/>
          </w:tcPr>
          <w:p w14:paraId="3544901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6E36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43D9A1E0">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1.3</w:t>
            </w:r>
          </w:p>
        </w:tc>
        <w:tc>
          <w:tcPr>
            <w:tcW w:w="1006" w:type="pct"/>
            <w:noWrap w:val="0"/>
            <w:tcMar>
              <w:left w:w="75" w:type="dxa"/>
            </w:tcMar>
            <w:vAlign w:val="center"/>
          </w:tcPr>
          <w:p w14:paraId="43D3911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中标候选人排序方法</w:t>
            </w:r>
          </w:p>
        </w:tc>
        <w:tc>
          <w:tcPr>
            <w:tcW w:w="3480" w:type="pct"/>
            <w:noWrap w:val="0"/>
            <w:tcMar>
              <w:left w:w="75" w:type="dxa"/>
            </w:tcMar>
            <w:vAlign w:val="center"/>
          </w:tcPr>
          <w:p w14:paraId="1CF97FC1">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最终总得分相等时，评标委员会应按照以下优先顺序确定中标候选人顺序</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9E7056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sz w:val="21"/>
                <w:szCs w:val="21"/>
                <w:highlight w:val="none"/>
                <w14:textFill>
                  <w14:solidFill>
                    <w14:schemeClr w14:val="tx1"/>
                  </w14:solidFill>
                </w14:textFill>
              </w:rPr>
            </w:pPr>
            <w:r>
              <w:rPr>
                <w:rFonts w:hint="eastAsia" w:ascii="Times New Roman" w:hAnsi="Times New Roman"/>
                <w:smallCaps w:val="0"/>
                <w:color w:val="000000" w:themeColor="text1"/>
                <w:sz w:val="21"/>
                <w:szCs w:val="21"/>
                <w:highlight w:val="none"/>
                <w14:textFill>
                  <w14:solidFill>
                    <w14:schemeClr w14:val="tx1"/>
                  </w14:solidFill>
                </w14:textFill>
              </w:rPr>
              <w:t>（</w:t>
            </w:r>
            <w:r>
              <w:rPr>
                <w:rFonts w:hint="eastAsia" w:ascii="Times New Roman" w:hAnsi="Times New Roman"/>
                <w:smallCaps w:val="0"/>
                <w:color w:val="000000" w:themeColor="text1"/>
                <w:sz w:val="21"/>
                <w:szCs w:val="21"/>
                <w:highlight w:val="none"/>
                <w:lang w:val="en-US" w:eastAsia="zh-CN"/>
                <w14:textFill>
                  <w14:solidFill>
                    <w14:schemeClr w14:val="tx1"/>
                  </w14:solidFill>
                </w14:textFill>
              </w:rPr>
              <w:t>1</w:t>
            </w:r>
            <w:r>
              <w:rPr>
                <w:rFonts w:hint="eastAsia" w:ascii="Times New Roman" w:hAnsi="Times New Roman"/>
                <w:smallCaps w:val="0"/>
                <w:color w:val="000000" w:themeColor="text1"/>
                <w:sz w:val="21"/>
                <w:szCs w:val="21"/>
                <w:highlight w:val="none"/>
                <w14:textFill>
                  <w14:solidFill>
                    <w14:schemeClr w14:val="tx1"/>
                  </w14:solidFill>
                </w14:textFill>
              </w:rPr>
              <w:t>）投标报价低的优先；</w:t>
            </w:r>
          </w:p>
          <w:p w14:paraId="1AE05B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Times New Roman" w:hAnsi="Times New Roman"/>
                <w:smallCaps w:val="0"/>
                <w:color w:val="000000" w:themeColor="text1"/>
                <w:sz w:val="21"/>
                <w:szCs w:val="21"/>
                <w:highlight w:val="none"/>
                <w14:textFill>
                  <w14:solidFill>
                    <w14:schemeClr w14:val="tx1"/>
                  </w14:solidFill>
                </w14:textFill>
              </w:rPr>
              <w:t>（</w:t>
            </w:r>
            <w:r>
              <w:rPr>
                <w:rFonts w:hint="eastAsia" w:ascii="Times New Roman" w:hAnsi="Times New Roman"/>
                <w:smallCaps w:val="0"/>
                <w:color w:val="000000" w:themeColor="text1"/>
                <w:sz w:val="21"/>
                <w:szCs w:val="21"/>
                <w:highlight w:val="none"/>
                <w:lang w:val="en-US" w:eastAsia="zh-CN"/>
                <w14:textFill>
                  <w14:solidFill>
                    <w14:schemeClr w14:val="tx1"/>
                  </w14:solidFill>
                </w14:textFill>
              </w:rPr>
              <w:t>2</w:t>
            </w:r>
            <w:r>
              <w:rPr>
                <w:rFonts w:hint="eastAsia" w:ascii="Times New Roman" w:hAnsi="Times New Roman"/>
                <w:smallCaps w:val="0"/>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对在规定的投标截止时间前通过电子交易系统</w:t>
            </w:r>
            <w:r>
              <w:rPr>
                <w:rFonts w:hint="eastAsia" w:ascii="宋体" w:hAnsi="宋体" w:cs="宋体"/>
                <w:color w:val="000000" w:themeColor="text1"/>
                <w:sz w:val="21"/>
                <w:szCs w:val="21"/>
                <w:highlight w:val="none"/>
                <w:lang w:val="en-US" w:eastAsia="zh-CN"/>
                <w14:textFill>
                  <w14:solidFill>
                    <w14:schemeClr w14:val="tx1"/>
                  </w14:solidFill>
                </w14:textFill>
              </w:rPr>
              <w:t>最终</w:t>
            </w:r>
            <w:r>
              <w:rPr>
                <w:rFonts w:hint="eastAsia" w:ascii="宋体" w:hAnsi="宋体" w:eastAsia="宋体" w:cs="宋体"/>
                <w:color w:val="000000" w:themeColor="text1"/>
                <w:sz w:val="21"/>
                <w:szCs w:val="21"/>
                <w:highlight w:val="none"/>
                <w14:textFill>
                  <w14:solidFill>
                    <w14:schemeClr w14:val="tx1"/>
                  </w14:solidFill>
                </w14:textFill>
              </w:rPr>
              <w:t>上传投标文件的投标人发放签号。</w:t>
            </w:r>
          </w:p>
          <w:p w14:paraId="518ED57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在遇到</w:t>
            </w:r>
            <w:r>
              <w:rPr>
                <w:rFonts w:hint="eastAsia" w:ascii="宋体" w:hAnsi="宋体" w:eastAsia="宋体" w:cs="宋体"/>
                <w:color w:val="000000" w:themeColor="text1"/>
                <w:kern w:val="0"/>
                <w:sz w:val="21"/>
                <w:szCs w:val="21"/>
                <w:highlight w:val="none"/>
                <w14:textFill>
                  <w14:solidFill>
                    <w14:schemeClr w14:val="tx1"/>
                  </w14:solidFill>
                </w14:textFill>
              </w:rPr>
              <w:t>报价相同</w:t>
            </w:r>
            <w:r>
              <w:rPr>
                <w:rFonts w:hint="eastAsia" w:ascii="宋体" w:hAnsi="宋体" w:cs="宋体"/>
                <w:color w:val="000000" w:themeColor="text1"/>
                <w:kern w:val="0"/>
                <w:sz w:val="21"/>
                <w:szCs w:val="21"/>
                <w:highlight w:val="none"/>
                <w:lang w:val="en-US" w:eastAsia="zh-CN"/>
                <w14:textFill>
                  <w14:solidFill>
                    <w14:schemeClr w14:val="tx1"/>
                  </w14:solidFill>
                </w14:textFill>
              </w:rPr>
              <w:t>需要判断优先顺序时，签号代表单位，先摇出的单位优先，后摇出</w:t>
            </w:r>
            <w:r>
              <w:rPr>
                <w:rFonts w:hint="eastAsia" w:ascii="宋体" w:hAnsi="宋体" w:cs="宋体"/>
                <w:color w:val="000000" w:themeColor="text1"/>
                <w:sz w:val="21"/>
                <w:szCs w:val="21"/>
                <w:highlight w:val="none"/>
                <w:lang w:val="en-US" w:eastAsia="zh-CN"/>
                <w14:textFill>
                  <w14:solidFill>
                    <w14:schemeClr w14:val="tx1"/>
                  </w14:solidFill>
                </w14:textFill>
              </w:rPr>
              <w:t>的单位</w:t>
            </w:r>
            <w:r>
              <w:rPr>
                <w:rFonts w:hint="eastAsia" w:ascii="宋体" w:hAnsi="宋体" w:eastAsia="宋体" w:cs="宋体"/>
                <w:color w:val="000000" w:themeColor="text1"/>
                <w:sz w:val="21"/>
                <w:szCs w:val="21"/>
                <w:highlight w:val="none"/>
                <w14:textFill>
                  <w14:solidFill>
                    <w14:schemeClr w14:val="tx1"/>
                  </w14:solidFill>
                </w14:textFill>
              </w:rPr>
              <w:t>靠后</w:t>
            </w:r>
            <w:r>
              <w:rPr>
                <w:rFonts w:hint="eastAsia" w:ascii="宋体" w:hAnsi="宋体" w:cs="宋体"/>
                <w:color w:val="000000" w:themeColor="text1"/>
                <w:sz w:val="21"/>
                <w:szCs w:val="21"/>
                <w:highlight w:val="none"/>
                <w:lang w:eastAsia="zh-CN"/>
                <w14:textFill>
                  <w14:solidFill>
                    <w14:schemeClr w14:val="tx1"/>
                  </w14:solidFill>
                </w14:textFill>
              </w:rPr>
              <w:t>。</w:t>
            </w:r>
          </w:p>
        </w:tc>
      </w:tr>
      <w:tr w14:paraId="1E68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32E77B5A">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w:t>
            </w:r>
          </w:p>
        </w:tc>
        <w:tc>
          <w:tcPr>
            <w:tcW w:w="1006" w:type="pct"/>
            <w:noWrap w:val="0"/>
            <w:tcMar>
              <w:left w:w="75" w:type="dxa"/>
            </w:tcMar>
            <w:vAlign w:val="center"/>
          </w:tcPr>
          <w:p w14:paraId="6335DEB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推荐中标候选人先后顺序</w:t>
            </w:r>
            <w:r>
              <w:rPr>
                <w:rStyle w:val="28"/>
                <w:rFonts w:hint="eastAsia" w:ascii="Times New Roman" w:hAnsi="Times New Roman" w:cs="宋体"/>
                <w:smallCaps w:val="0"/>
                <w:color w:val="000000" w:themeColor="text1"/>
                <w:szCs w:val="24"/>
                <w:highlight w:val="none"/>
                <w14:textFill>
                  <w14:solidFill>
                    <w14:schemeClr w14:val="tx1"/>
                  </w14:solidFill>
                </w14:textFill>
              </w:rPr>
              <w:footnoteReference w:id="47"/>
            </w:r>
          </w:p>
        </w:tc>
        <w:tc>
          <w:tcPr>
            <w:tcW w:w="3480" w:type="pct"/>
            <w:noWrap w:val="0"/>
            <w:tcMar>
              <w:left w:w="75" w:type="dxa"/>
            </w:tcMar>
            <w:vAlign w:val="center"/>
          </w:tcPr>
          <w:p w14:paraId="5A25F218">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6C92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32B2A923">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w:t>
            </w:r>
          </w:p>
        </w:tc>
        <w:tc>
          <w:tcPr>
            <w:tcW w:w="1006" w:type="pct"/>
            <w:noWrap w:val="0"/>
            <w:tcMar>
              <w:left w:w="75" w:type="dxa"/>
            </w:tcMar>
            <w:vAlign w:val="center"/>
          </w:tcPr>
          <w:p w14:paraId="62BDD06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最多可中标段数量</w:t>
            </w:r>
            <w:r>
              <w:rPr>
                <w:rStyle w:val="28"/>
                <w:rFonts w:hint="eastAsia" w:ascii="Times New Roman" w:hAnsi="Times New Roman" w:cs="宋体"/>
                <w:smallCaps w:val="0"/>
                <w:color w:val="000000" w:themeColor="text1"/>
                <w:szCs w:val="24"/>
                <w:highlight w:val="none"/>
                <w14:textFill>
                  <w14:solidFill>
                    <w14:schemeClr w14:val="tx1"/>
                  </w14:solidFill>
                </w14:textFill>
              </w:rPr>
              <w:footnoteReference w:id="48"/>
            </w:r>
          </w:p>
        </w:tc>
        <w:tc>
          <w:tcPr>
            <w:tcW w:w="3480" w:type="pct"/>
            <w:noWrap w:val="0"/>
            <w:tcMar>
              <w:left w:w="75" w:type="dxa"/>
            </w:tcMar>
            <w:vAlign w:val="center"/>
          </w:tcPr>
          <w:p w14:paraId="298CD87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002F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72EFF36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w:t>
            </w:r>
          </w:p>
        </w:tc>
        <w:tc>
          <w:tcPr>
            <w:tcW w:w="1006" w:type="pct"/>
            <w:noWrap w:val="0"/>
            <w:tcMar>
              <w:left w:w="75" w:type="dxa"/>
            </w:tcMar>
            <w:vAlign w:val="center"/>
          </w:tcPr>
          <w:p w14:paraId="5722B3F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初步评审标准</w:t>
            </w:r>
          </w:p>
        </w:tc>
        <w:tc>
          <w:tcPr>
            <w:tcW w:w="3480" w:type="pct"/>
            <w:noWrap w:val="0"/>
            <w:tcMar>
              <w:left w:w="75" w:type="dxa"/>
            </w:tcMar>
            <w:vAlign w:val="center"/>
          </w:tcPr>
          <w:p w14:paraId="0870A70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见“商务文件初步评审标准”表、“报价文件初步评审标准”表、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异常低价评审标准</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“技术文件初步评审标准”表。</w:t>
            </w:r>
          </w:p>
        </w:tc>
      </w:tr>
      <w:tr w14:paraId="5DA6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741E4D7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2.2.1</w:t>
            </w:r>
          </w:p>
        </w:tc>
        <w:tc>
          <w:tcPr>
            <w:tcW w:w="1006" w:type="pct"/>
            <w:noWrap w:val="0"/>
            <w:tcMar>
              <w:left w:w="75" w:type="dxa"/>
            </w:tcMar>
            <w:vAlign w:val="center"/>
          </w:tcPr>
          <w:p w14:paraId="2E1B59F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分值构成</w:t>
            </w:r>
          </w:p>
          <w:p w14:paraId="3819175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15</w:t>
            </w:r>
            <w:r>
              <w:rPr>
                <w:rFonts w:hint="eastAsia" w:ascii="Times New Roman" w:hAnsi="Times New Roman"/>
                <w:smallCaps w:val="0"/>
                <w:color w:val="000000" w:themeColor="text1"/>
                <w:highlight w:val="none"/>
                <w14:textFill>
                  <w14:solidFill>
                    <w14:schemeClr w14:val="tx1"/>
                  </w14:solidFill>
                </w14:textFill>
              </w:rPr>
              <w:t>分）</w:t>
            </w:r>
          </w:p>
        </w:tc>
        <w:tc>
          <w:tcPr>
            <w:tcW w:w="3480" w:type="pct"/>
            <w:noWrap w:val="0"/>
            <w:tcMar>
              <w:left w:w="75" w:type="dxa"/>
            </w:tcMar>
            <w:vAlign w:val="center"/>
          </w:tcPr>
          <w:p w14:paraId="2CAB53F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10</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p w14:paraId="797ABB9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报价文件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5</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r>
      <w:tr w14:paraId="4D97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47E4BBB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w:t>
            </w:r>
            <w:r>
              <w:rPr>
                <w:rFonts w:hint="default" w:ascii="Times New Roman" w:hAnsi="Times New Roman"/>
                <w:smallCaps w:val="0"/>
                <w:color w:val="000000" w:themeColor="text1"/>
                <w:highlight w:val="none"/>
                <w14:textFill>
                  <w14:solidFill>
                    <w14:schemeClr w14:val="tx1"/>
                  </w14:solidFill>
                </w14:textFill>
              </w:rPr>
              <w:t>.2</w:t>
            </w:r>
          </w:p>
        </w:tc>
        <w:tc>
          <w:tcPr>
            <w:tcW w:w="1006" w:type="pct"/>
            <w:noWrap w:val="0"/>
            <w:tcMar>
              <w:left w:w="75" w:type="dxa"/>
            </w:tcMar>
            <w:vAlign w:val="center"/>
          </w:tcPr>
          <w:p w14:paraId="0004D9F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详细评审标准</w:t>
            </w:r>
          </w:p>
        </w:tc>
        <w:tc>
          <w:tcPr>
            <w:tcW w:w="3480" w:type="pct"/>
            <w:noWrap w:val="0"/>
            <w:tcMar>
              <w:left w:w="75" w:type="dxa"/>
            </w:tcMar>
            <w:vAlign w:val="center"/>
          </w:tcPr>
          <w:p w14:paraId="31C883CA">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见“详细评审标准”表。</w:t>
            </w:r>
          </w:p>
        </w:tc>
      </w:tr>
      <w:tr w14:paraId="0393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7506C36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w:t>
            </w:r>
          </w:p>
        </w:tc>
        <w:tc>
          <w:tcPr>
            <w:tcW w:w="1006" w:type="pct"/>
            <w:noWrap w:val="0"/>
            <w:tcMar>
              <w:left w:w="75" w:type="dxa"/>
            </w:tcMar>
            <w:vAlign w:val="center"/>
          </w:tcPr>
          <w:p w14:paraId="709DFBC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有效值计算方法</w:t>
            </w:r>
          </w:p>
        </w:tc>
        <w:tc>
          <w:tcPr>
            <w:tcW w:w="3480" w:type="pct"/>
            <w:noWrap w:val="0"/>
            <w:vAlign w:val="center"/>
          </w:tcPr>
          <w:p w14:paraId="71F0E3D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规定降幅M值</w:t>
            </w:r>
            <w:r>
              <w:rPr>
                <w:rStyle w:val="28"/>
                <w:rFonts w:hint="eastAsia" w:ascii="Times New Roman" w:hAnsi="Times New Roman"/>
                <w:smallCaps w:val="0"/>
                <w:color w:val="000000" w:themeColor="text1"/>
                <w:highlight w:val="none"/>
                <w14:textFill>
                  <w14:solidFill>
                    <w14:schemeClr w14:val="tx1"/>
                  </w14:solidFill>
                </w14:textFill>
              </w:rPr>
              <w:footnoteReference w:id="49"/>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986A5F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见附件1。</w:t>
            </w:r>
          </w:p>
        </w:tc>
      </w:tr>
      <w:tr w14:paraId="147F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021963D1">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3.2.2</w:t>
            </w:r>
          </w:p>
        </w:tc>
        <w:tc>
          <w:tcPr>
            <w:tcW w:w="1006" w:type="pct"/>
            <w:noWrap w:val="0"/>
            <w:tcMar>
              <w:left w:w="75" w:type="dxa"/>
            </w:tcMar>
            <w:vAlign w:val="center"/>
          </w:tcPr>
          <w:p w14:paraId="29C272F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商务文件初步评审选择规则</w:t>
            </w:r>
          </w:p>
        </w:tc>
        <w:tc>
          <w:tcPr>
            <w:tcW w:w="3480" w:type="pct"/>
            <w:noWrap w:val="0"/>
            <w:vAlign w:val="center"/>
          </w:tcPr>
          <w:p w14:paraId="223FE31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见附件2。</w:t>
            </w:r>
          </w:p>
        </w:tc>
      </w:tr>
      <w:tr w14:paraId="44AC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11E094B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default" w:ascii="Times New Roman" w:hAnsi="Times New Roman"/>
                <w:smallCaps w:val="0"/>
                <w:color w:val="000000" w:themeColor="text1"/>
                <w:highlight w:val="none"/>
                <w14:textFill>
                  <w14:solidFill>
                    <w14:schemeClr w14:val="tx1"/>
                  </w14:solidFill>
                </w14:textFill>
              </w:rPr>
              <w:t>.3.6</w:t>
            </w:r>
          </w:p>
        </w:tc>
        <w:tc>
          <w:tcPr>
            <w:tcW w:w="1006" w:type="pct"/>
            <w:noWrap w:val="0"/>
            <w:tcMar>
              <w:left w:w="75" w:type="dxa"/>
            </w:tcMar>
            <w:vAlign w:val="center"/>
          </w:tcPr>
          <w:p w14:paraId="234635A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报价文件初步评审选择规则</w:t>
            </w:r>
          </w:p>
        </w:tc>
        <w:tc>
          <w:tcPr>
            <w:tcW w:w="3480" w:type="pct"/>
            <w:noWrap w:val="0"/>
            <w:vAlign w:val="center"/>
          </w:tcPr>
          <w:p w14:paraId="2C1B4F63">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见附件2。</w:t>
            </w:r>
          </w:p>
        </w:tc>
      </w:tr>
      <w:tr w14:paraId="5BA7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61C3EDD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3.4.2</w:t>
            </w:r>
          </w:p>
        </w:tc>
        <w:tc>
          <w:tcPr>
            <w:tcW w:w="1006" w:type="pct"/>
            <w:noWrap w:val="0"/>
            <w:tcMar>
              <w:left w:w="75" w:type="dxa"/>
            </w:tcMar>
            <w:vAlign w:val="center"/>
          </w:tcPr>
          <w:p w14:paraId="2AB65C5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技术文件初步评审选择规则</w:t>
            </w:r>
          </w:p>
        </w:tc>
        <w:tc>
          <w:tcPr>
            <w:tcW w:w="3480" w:type="pct"/>
            <w:noWrap w:val="0"/>
            <w:vAlign w:val="center"/>
          </w:tcPr>
          <w:p w14:paraId="32C28292">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见附件2。</w:t>
            </w:r>
          </w:p>
        </w:tc>
      </w:tr>
      <w:tr w14:paraId="40D8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600D80CC">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3.5.1</w:t>
            </w:r>
          </w:p>
        </w:tc>
        <w:tc>
          <w:tcPr>
            <w:tcW w:w="1006" w:type="pct"/>
            <w:noWrap w:val="0"/>
            <w:tcMar>
              <w:left w:w="75" w:type="dxa"/>
            </w:tcMar>
            <w:vAlign w:val="center"/>
          </w:tcPr>
          <w:p w14:paraId="167CC0B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技术文件详细评审选择规则</w:t>
            </w:r>
          </w:p>
        </w:tc>
        <w:tc>
          <w:tcPr>
            <w:tcW w:w="3480" w:type="pct"/>
            <w:noWrap w:val="0"/>
            <w:vAlign w:val="center"/>
          </w:tcPr>
          <w:p w14:paraId="01116C7B">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见附件2。</w:t>
            </w:r>
          </w:p>
        </w:tc>
      </w:tr>
      <w:tr w14:paraId="61CE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2D1D0D3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3.7.2</w:t>
            </w:r>
          </w:p>
        </w:tc>
        <w:tc>
          <w:tcPr>
            <w:tcW w:w="1006" w:type="pct"/>
            <w:noWrap w:val="0"/>
            <w:tcMar>
              <w:left w:w="75" w:type="dxa"/>
            </w:tcMar>
            <w:vAlign w:val="center"/>
          </w:tcPr>
          <w:p w14:paraId="5B90BBC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否决投标的其他情形</w:t>
            </w:r>
          </w:p>
        </w:tc>
        <w:tc>
          <w:tcPr>
            <w:tcW w:w="3480" w:type="pct"/>
            <w:noWrap w:val="0"/>
            <w:vAlign w:val="center"/>
          </w:tcPr>
          <w:p w14:paraId="3574D11E">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见附件3。</w:t>
            </w:r>
          </w:p>
        </w:tc>
      </w:tr>
      <w:tr w14:paraId="4816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13E3E34B">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3.7.3</w:t>
            </w:r>
          </w:p>
        </w:tc>
        <w:tc>
          <w:tcPr>
            <w:tcW w:w="1006" w:type="pct"/>
            <w:noWrap w:val="0"/>
            <w:tcMar>
              <w:left w:w="75" w:type="dxa"/>
            </w:tcMar>
            <w:vAlign w:val="center"/>
          </w:tcPr>
          <w:p w14:paraId="760B9BB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异常低价评审</w:t>
            </w:r>
          </w:p>
        </w:tc>
        <w:tc>
          <w:tcPr>
            <w:tcW w:w="3480" w:type="pct"/>
            <w:noWrap w:val="0"/>
            <w:vAlign w:val="center"/>
          </w:tcPr>
          <w:p w14:paraId="6EFF818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sym w:font="Wingdings 2" w:char="00A3"/>
            </w:r>
            <w:r>
              <w:rPr>
                <w:rFonts w:hint="eastAsia" w:ascii="Times New Roman" w:hAnsi="Times New Roman"/>
                <w:smallCaps w:val="0"/>
                <w:color w:val="000000" w:themeColor="text1"/>
                <w:highlight w:val="none"/>
                <w14:textFill>
                  <w14:solidFill>
                    <w14:schemeClr w14:val="tx1"/>
                  </w14:solidFill>
                </w14:textFill>
              </w:rPr>
              <w:t>不</w:t>
            </w:r>
            <w:r>
              <w:rPr>
                <w:rFonts w:hint="eastAsia" w:ascii="Times New Roman" w:hAnsi="Times New Roman"/>
                <w:smallCaps w:val="0"/>
                <w:color w:val="000000" w:themeColor="text1"/>
                <w:highlight w:val="none"/>
                <w:lang w:eastAsia="zh-CN"/>
                <w14:textFill>
                  <w14:solidFill>
                    <w14:schemeClr w14:val="tx1"/>
                  </w14:solidFill>
                </w14:textFill>
              </w:rPr>
              <w:t>适用</w:t>
            </w:r>
          </w:p>
          <w:p w14:paraId="5123A497">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sym w:font="Wingdings 2" w:char="00A3"/>
            </w:r>
            <w:r>
              <w:rPr>
                <w:rFonts w:hint="eastAsia" w:ascii="Times New Roman" w:hAnsi="Times New Roman"/>
                <w:smallCaps w:val="0"/>
                <w:color w:val="000000" w:themeColor="text1"/>
                <w:highlight w:val="none"/>
                <w:lang w:eastAsia="zh-CN"/>
                <w14:textFill>
                  <w14:solidFill>
                    <w14:schemeClr w14:val="tx1"/>
                  </w14:solidFill>
                </w14:textFill>
              </w:rPr>
              <w:t>适用</w:t>
            </w:r>
            <w:r>
              <w:rPr>
                <w:rFonts w:hint="eastAsia" w:ascii="Times New Roman" w:hAnsi="Times New Roman"/>
                <w:smallCaps w:val="0"/>
                <w:color w:val="000000" w:themeColor="text1"/>
                <w:highlight w:val="none"/>
                <w14:textFill>
                  <w14:solidFill>
                    <w14:schemeClr w14:val="tx1"/>
                  </w14:solidFill>
                </w14:textFill>
              </w:rPr>
              <w:t>，异常低价规定指标</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具体见</w:t>
            </w:r>
            <w:r>
              <w:rPr>
                <w:rFonts w:hint="eastAsia" w:ascii="Times New Roman" w:hAnsi="Times New Roman"/>
                <w:smallCaps w:val="0"/>
                <w:color w:val="000000" w:themeColor="text1"/>
                <w:highlight w:val="none"/>
                <w:lang w:val="en-US" w:eastAsia="zh-CN"/>
                <w14:textFill>
                  <w14:solidFill>
                    <w14:schemeClr w14:val="tx1"/>
                  </w14:solidFill>
                </w14:textFill>
              </w:rPr>
              <w:t>对应评审项要求</w:t>
            </w:r>
            <w:r>
              <w:rPr>
                <w:rFonts w:hint="eastAsia" w:ascii="Times New Roman" w:hAnsi="Times New Roman"/>
                <w:smallCaps w:val="0"/>
                <w:color w:val="000000" w:themeColor="text1"/>
                <w:highlight w:val="none"/>
                <w14:textFill>
                  <w14:solidFill>
                    <w14:schemeClr w14:val="tx1"/>
                  </w14:solidFill>
                </w14:textFill>
              </w:rPr>
              <w:t>。</w:t>
            </w:r>
          </w:p>
        </w:tc>
      </w:tr>
      <w:tr w14:paraId="7EDD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noWrap w:val="0"/>
            <w:vAlign w:val="center"/>
          </w:tcPr>
          <w:p w14:paraId="63C124AD">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smallCaps w:val="0"/>
                <w:color w:val="000000" w:themeColor="text1"/>
                <w:highlight w:val="none"/>
                <w14:textFill>
                  <w14:solidFill>
                    <w14:schemeClr w14:val="tx1"/>
                  </w14:solidFill>
                </w14:textFill>
              </w:rPr>
            </w:pPr>
            <w:bookmarkStart w:id="551" w:name="_Toc1420"/>
            <w:bookmarkStart w:id="552" w:name="_Toc8729"/>
            <w:bookmarkStart w:id="553" w:name="_Toc20351"/>
            <w:bookmarkStart w:id="554" w:name="_Toc4867"/>
            <w:bookmarkStart w:id="555" w:name="_Toc29719"/>
            <w:bookmarkStart w:id="556" w:name="_Toc8978"/>
            <w:bookmarkStart w:id="557" w:name="_Toc5397"/>
            <w:bookmarkStart w:id="558" w:name="_Toc124283239"/>
            <w:bookmarkStart w:id="559" w:name="_Toc17946"/>
            <w:bookmarkStart w:id="560" w:name="_Toc22498"/>
            <w:bookmarkStart w:id="561" w:name="_Toc130919093"/>
            <w:bookmarkStart w:id="562" w:name="_Toc17923"/>
            <w:r>
              <w:rPr>
                <w:rFonts w:hint="eastAsia" w:ascii="Times New Roman" w:hAnsi="Times New Roman"/>
                <w:smallCaps w:val="0"/>
                <w:color w:val="000000" w:themeColor="text1"/>
                <w:highlight w:val="none"/>
                <w:lang w:val="en-US" w:eastAsia="zh-CN"/>
                <w14:textFill>
                  <w14:solidFill>
                    <w14:schemeClr w14:val="tx1"/>
                  </w14:solidFill>
                </w14:textFill>
              </w:rPr>
              <w:t>4</w:t>
            </w:r>
          </w:p>
        </w:tc>
        <w:tc>
          <w:tcPr>
            <w:tcW w:w="1006" w:type="pct"/>
            <w:noWrap w:val="0"/>
            <w:tcMar>
              <w:left w:w="75" w:type="dxa"/>
            </w:tcMar>
            <w:vAlign w:val="center"/>
          </w:tcPr>
          <w:p w14:paraId="2CA54DAE">
            <w:pPr>
              <w:keepNext w:val="0"/>
              <w:keepLines w:val="0"/>
              <w:pageBreakBefore w:val="0"/>
              <w:suppressLineNumbers w:val="0"/>
              <w:kinsoku/>
              <w:wordWrap w:val="0"/>
              <w:overflowPunct/>
              <w:bidi w:val="0"/>
              <w:spacing w:before="0" w:beforeAutospacing="0" w:after="0" w:afterAutospacing="0" w:line="360" w:lineRule="auto"/>
              <w:ind w:left="0" w:leftChars="0" w:right="0" w:rightChars="0"/>
              <w:jc w:val="center"/>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经评审否决不合格投标后有效投标不足3个的处理方式</w:t>
            </w:r>
          </w:p>
        </w:tc>
        <w:tc>
          <w:tcPr>
            <w:tcW w:w="3480" w:type="pct"/>
            <w:noWrap w:val="0"/>
            <w:vAlign w:val="center"/>
          </w:tcPr>
          <w:p w14:paraId="00F9C2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评标委员会依据《评标委员会和评标方法暂行规定》（七部委第12号令）第二十七条以及《招标投标法》第四十二条进行处理。</w:t>
            </w:r>
          </w:p>
          <w:p w14:paraId="12D121B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textAlignment w:val="auto"/>
              <w:rPr>
                <w:rFonts w:hint="eastAsia" w:ascii="宋体" w:hAnsi="宋体" w:eastAsia="宋体" w:cs="宋体"/>
                <w:b/>
                <w:bCs/>
                <w:color w:val="000000" w:themeColor="text1"/>
                <w:sz w:val="21"/>
                <w:szCs w:val="21"/>
                <w:highlight w:val="none"/>
                <w:u w:val="single"/>
                <w14:textFill>
                  <w14:solidFill>
                    <w14:schemeClr w14:val="tx1"/>
                  </w14:solidFill>
                </w14:textFill>
              </w:rPr>
            </w:pPr>
            <w:r>
              <w:rPr>
                <w:rFonts w:hint="eastAsia" w:ascii="宋体" w:hAnsi="宋体" w:eastAsia="宋体" w:cs="宋体"/>
                <w:b/>
                <w:bCs/>
                <w:color w:val="000000" w:themeColor="text1"/>
                <w:sz w:val="21"/>
                <w:szCs w:val="21"/>
                <w:highlight w:val="none"/>
                <w:u w:val="single"/>
                <w14:textFill>
                  <w14:solidFill>
                    <w14:schemeClr w14:val="tx1"/>
                  </w14:solidFill>
                </w14:textFill>
              </w:rPr>
              <w:t>经评审否决不合格投标后有效投标不足3</w:t>
            </w:r>
            <w:r>
              <w:rPr>
                <w:rFonts w:hint="eastAsia" w:ascii="宋体" w:hAnsi="宋体" w:cs="宋体"/>
                <w:b/>
                <w:bCs/>
                <w:color w:val="000000" w:themeColor="text1"/>
                <w:sz w:val="21"/>
                <w:szCs w:val="21"/>
                <w:highlight w:val="none"/>
                <w:u w:val="single"/>
                <w:lang w:eastAsia="zh-CN"/>
                <w14:textFill>
                  <w14:solidFill>
                    <w14:schemeClr w14:val="tx1"/>
                  </w14:solidFill>
                </w14:textFill>
              </w:rPr>
              <w:t>家</w:t>
            </w:r>
            <w:r>
              <w:rPr>
                <w:rFonts w:hint="eastAsia" w:ascii="宋体" w:hAnsi="宋体" w:eastAsia="宋体" w:cs="宋体"/>
                <w:b/>
                <w:bCs/>
                <w:color w:val="000000" w:themeColor="text1"/>
                <w:sz w:val="21"/>
                <w:szCs w:val="21"/>
                <w:highlight w:val="none"/>
                <w:u w:val="single"/>
                <w14:textFill>
                  <w14:solidFill>
                    <w14:schemeClr w14:val="tx1"/>
                  </w14:solidFill>
                </w14:textFill>
              </w:rPr>
              <w:t>时，评标委员会应判定有效投标人的投标是否“明显缺乏竞争”。</w:t>
            </w:r>
          </w:p>
          <w:p w14:paraId="216F5FA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有效投标人的投标具备竞争性的，则评标程序继续进行，直至评选出中标候选人或全部投标文件被否决。</w:t>
            </w:r>
          </w:p>
          <w:p w14:paraId="1A3C915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有效投标人的投标“明显缺乏竞争”的，评标委员会可以否决全部投标。</w:t>
            </w:r>
            <w:r>
              <w:rPr>
                <w:rFonts w:hint="eastAsia" w:ascii="宋体" w:hAnsi="宋体" w:eastAsia="宋体" w:cs="宋体"/>
                <w:b/>
                <w:bCs/>
                <w:color w:val="000000" w:themeColor="text1"/>
                <w:sz w:val="21"/>
                <w:szCs w:val="21"/>
                <w:highlight w:val="none"/>
                <w:u w:val="single"/>
                <w14:textFill>
                  <w14:solidFill>
                    <w14:schemeClr w14:val="tx1"/>
                  </w14:solidFill>
                </w14:textFill>
              </w:rPr>
              <w:t>否决全部投标的同时必须在评标报告中写出“明显缺乏竞争”的判定理由。</w:t>
            </w:r>
          </w:p>
        </w:tc>
      </w:tr>
      <w:tr w14:paraId="4DA1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shd w:val="clear" w:color="auto" w:fill="auto"/>
            <w:noWrap w:val="0"/>
            <w:vAlign w:val="center"/>
          </w:tcPr>
          <w:p w14:paraId="22DC5571">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smallCaps w:val="0"/>
                <w:color w:val="000000" w:themeColor="text1"/>
                <w:highlight w:val="none"/>
                <w:lang w:eastAsia="zh-CN"/>
                <w14:textFill>
                  <w14:solidFill>
                    <w14:schemeClr w14:val="tx1"/>
                  </w14:solidFill>
                </w14:textFill>
              </w:rPr>
              <w:t>5</w:t>
            </w:r>
          </w:p>
        </w:tc>
        <w:tc>
          <w:tcPr>
            <w:tcW w:w="1006" w:type="pct"/>
            <w:shd w:val="clear" w:color="auto" w:fill="auto"/>
            <w:noWrap w:val="0"/>
            <w:tcMar>
              <w:left w:w="75" w:type="dxa"/>
            </w:tcMar>
            <w:vAlign w:val="center"/>
          </w:tcPr>
          <w:p w14:paraId="3DF499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争议解决方案</w:t>
            </w:r>
          </w:p>
        </w:tc>
        <w:tc>
          <w:tcPr>
            <w:tcW w:w="3480" w:type="pct"/>
            <w:shd w:val="clear" w:color="auto" w:fill="auto"/>
            <w:noWrap w:val="0"/>
            <w:vAlign w:val="center"/>
          </w:tcPr>
          <w:p w14:paraId="7E157E5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评标委员会在评审过程中产生争议，按照以下方式形成统一意见：</w:t>
            </w:r>
          </w:p>
          <w:p w14:paraId="2F56C4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如因招标文件语言表达不明确导致存在理解偏差，则按照对投标人要求较低的标准统一判定。如因投标文件编制不明确导致存在理解偏差，则按照不利于该投标人中标的标准统一判定。</w:t>
            </w:r>
          </w:p>
          <w:p w14:paraId="0752146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发生争议时，由评标委员会组长牵头组织评委会成员各自表达自身意见，并对判定意见进行举手表决，以少数服从多数原则进行统一。评标委员会全体成员必须在评标报告中签字，如有不同意见必须在评标报告中写明，如评委会成员未在评审纪要上签字或未提供不同意见的，视为认可评审纪要的全部内容。</w:t>
            </w:r>
          </w:p>
        </w:tc>
      </w:tr>
      <w:tr w14:paraId="2AD9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shd w:val="clear" w:color="auto" w:fill="auto"/>
            <w:noWrap w:val="0"/>
            <w:vAlign w:val="center"/>
          </w:tcPr>
          <w:p w14:paraId="65269FD4">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smallCaps w:val="0"/>
                <w:color w:val="000000" w:themeColor="text1"/>
                <w:highlight w:val="none"/>
                <w:lang w:eastAsia="zh-CN"/>
                <w14:textFill>
                  <w14:solidFill>
                    <w14:schemeClr w14:val="tx1"/>
                  </w14:solidFill>
                </w14:textFill>
              </w:rPr>
              <w:t>6</w:t>
            </w:r>
          </w:p>
        </w:tc>
        <w:tc>
          <w:tcPr>
            <w:tcW w:w="1006" w:type="pct"/>
            <w:shd w:val="clear" w:color="auto" w:fill="auto"/>
            <w:noWrap w:val="0"/>
            <w:tcMar>
              <w:left w:w="75" w:type="dxa"/>
            </w:tcMar>
            <w:vAlign w:val="center"/>
          </w:tcPr>
          <w:p w14:paraId="581E364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询标要求</w:t>
            </w:r>
          </w:p>
        </w:tc>
        <w:tc>
          <w:tcPr>
            <w:tcW w:w="3480" w:type="pct"/>
            <w:shd w:val="clear" w:color="auto" w:fill="auto"/>
            <w:noWrap w:val="0"/>
            <w:vAlign w:val="center"/>
          </w:tcPr>
          <w:p w14:paraId="04EDAAE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询标方式：通过评标系统询标。由评标委员会通过开评标系统“质询”功能对投标人进行问询，投标人在系统内进行回复。回复期限为提问发起后30分钟，限期内未回复疑问视同放弃回复，默认投标人认可询标问题情况属实。（如系统询标功能不能正常使用，可采用前附表列明的电话询标方式进行询标）</w:t>
            </w:r>
          </w:p>
          <w:p w14:paraId="5187F49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审中，评委会发现投标的投标文件中对同类问题表述不一致、前后矛盾、有明显文字和计算错误的内容，或投标文件中找不到相关内容、缺少资料内容、填写错误、内容模糊无法辨认的问题，由评标委员会根据投标文件实际内容结合招标文件要求与争议处理办法进行评审，形成一致意见。</w:t>
            </w:r>
          </w:p>
          <w:p w14:paraId="6F07DCC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遇到以上问题以外的问题，评标委员会可通过评标系统询标。</w:t>
            </w:r>
          </w:p>
          <w:p w14:paraId="2397E52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对于询标后判定为不符合招标文件的投标文件，评标委员会要提出充足的否定理由。</w:t>
            </w:r>
          </w:p>
        </w:tc>
      </w:tr>
      <w:tr w14:paraId="0BB4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shd w:val="clear" w:color="auto" w:fill="auto"/>
            <w:noWrap w:val="0"/>
            <w:vAlign w:val="center"/>
          </w:tcPr>
          <w:p w14:paraId="3139C45F">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w:t>
            </w:r>
          </w:p>
        </w:tc>
        <w:tc>
          <w:tcPr>
            <w:tcW w:w="1006" w:type="pct"/>
            <w:shd w:val="clear" w:color="auto" w:fill="auto"/>
            <w:noWrap w:val="0"/>
            <w:tcMar>
              <w:left w:w="75" w:type="dxa"/>
            </w:tcMar>
            <w:vAlign w:val="center"/>
          </w:tcPr>
          <w:p w14:paraId="6E713A7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流标原因分析会</w:t>
            </w:r>
          </w:p>
        </w:tc>
        <w:tc>
          <w:tcPr>
            <w:tcW w:w="3480" w:type="pct"/>
            <w:shd w:val="clear" w:color="auto" w:fill="auto"/>
            <w:noWrap w:val="0"/>
            <w:vAlign w:val="center"/>
          </w:tcPr>
          <w:p w14:paraId="4369B82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当本项目流标，由评标委员会组长牵头组织流标原因分析会，分析此次招标工作交易失败的具体原因，分析招标文件编制是否存在不合理条款、是否符合规范要求、并对本项目重新招标提出意见和建议。</w:t>
            </w:r>
          </w:p>
        </w:tc>
      </w:tr>
      <w:tr w14:paraId="3A51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shd w:val="clear" w:color="auto" w:fill="auto"/>
            <w:noWrap w:val="0"/>
            <w:vAlign w:val="center"/>
          </w:tcPr>
          <w:p w14:paraId="752B7E5B">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w:t>
            </w:r>
          </w:p>
        </w:tc>
        <w:tc>
          <w:tcPr>
            <w:tcW w:w="1006" w:type="pct"/>
            <w:shd w:val="clear" w:color="auto" w:fill="auto"/>
            <w:noWrap w:val="0"/>
            <w:tcMar>
              <w:left w:w="75" w:type="dxa"/>
            </w:tcMar>
            <w:vAlign w:val="center"/>
          </w:tcPr>
          <w:p w14:paraId="23AF977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建造师证书使用规定</w:t>
            </w:r>
          </w:p>
        </w:tc>
        <w:tc>
          <w:tcPr>
            <w:tcW w:w="3480" w:type="pct"/>
            <w:shd w:val="clear" w:color="auto" w:fill="auto"/>
            <w:noWrap w:val="0"/>
            <w:vAlign w:val="center"/>
          </w:tcPr>
          <w:p w14:paraId="33B738E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一级建造师证书使用要求：</w:t>
            </w:r>
          </w:p>
          <w:p w14:paraId="796DCEF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依据</w:t>
            </w:r>
            <w:r>
              <w:rPr>
                <w:rFonts w:hint="eastAsia"/>
                <w:color w:val="000000" w:themeColor="text1"/>
                <w:sz w:val="21"/>
                <w:szCs w:val="21"/>
                <w:highlight w:val="none"/>
                <w14:textFill>
                  <w14:solidFill>
                    <w14:schemeClr w14:val="tx1"/>
                  </w14:solidFill>
                </w14:textFill>
              </w:rPr>
              <w:t>住建部文件《住房和城乡建设部办公厅关于全面实行一级建造师电子注册证书的通知》</w:t>
            </w:r>
          </w:p>
          <w:p w14:paraId="1104FBE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级建造师注册专业有效期已过期的，应于2021年12月15日前提出延续注册申请；注册专业仍在有效期内的，应在有效期届满30日前提出延续注册申请；注册专业有效期届满且未提出延续注册申请的，自2022年1月1日起注册专业失效。</w:t>
            </w:r>
          </w:p>
          <w:p w14:paraId="68EDA44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kern w:val="2"/>
                <w:sz w:val="21"/>
                <w:szCs w:val="21"/>
                <w:highlight w:val="none"/>
                <w:lang w:eastAsia="zh-CN"/>
                <w14:textFill>
                  <w14:solidFill>
                    <w14:schemeClr w14:val="tx1"/>
                  </w14:solidFill>
                </w14:textFill>
              </w:rPr>
              <w:t>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距注册专业有效期或建造师满65周岁不足180天的，使用时限截止</w:t>
            </w:r>
            <w:r>
              <w:rPr>
                <w:rFonts w:hint="eastAsia"/>
                <w:color w:val="000000" w:themeColor="text1"/>
                <w:sz w:val="21"/>
                <w:szCs w:val="21"/>
                <w:highlight w:val="none"/>
                <w:lang w:eastAsia="zh-CN"/>
                <w14:textFill>
                  <w14:solidFill>
                    <w14:schemeClr w14:val="tx1"/>
                  </w14:solidFill>
                </w14:textFill>
              </w:rPr>
              <w:t>日期以注册专业有效期截止日期或建造师满65周岁当日为准。超出使用时限的电子证书无效，需重新下载电子证书并再次确认使用时限。</w:t>
            </w:r>
          </w:p>
          <w:p w14:paraId="4B9A91A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自 2022年1月1日起，一级建造师统一使用电子证书，纸质注册证书作废。一级建造师打印电子证书后，应在个人签名处手写本人签名，未手写签名或与签名图像笔迹不一致的，该电子证书无效。</w:t>
            </w:r>
          </w:p>
          <w:p w14:paraId="4072E0A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二级建造师证书使用要求：</w:t>
            </w:r>
          </w:p>
          <w:p w14:paraId="5AE02E0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根据安徽省住房和城乡建设厅《</w:t>
            </w:r>
            <w:r>
              <w:rPr>
                <w:rFonts w:hint="eastAsia" w:ascii="宋体" w:hAnsi="宋体" w:eastAsia="宋体" w:cs="宋体"/>
                <w:color w:val="000000" w:themeColor="text1"/>
                <w:sz w:val="21"/>
                <w:szCs w:val="21"/>
                <w:highlight w:val="none"/>
                <w:lang w:val="en-US" w:eastAsia="zh-CN"/>
                <w14:textFill>
                  <w14:solidFill>
                    <w14:schemeClr w14:val="tx1"/>
                  </w14:solidFill>
                </w14:textFill>
              </w:rPr>
              <w:t>关于加强二级建造师事中事后监管工作的通知</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建市函〔2024〕137号</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规定。</w:t>
            </w:r>
          </w:p>
          <w:p w14:paraId="6DF07A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安徽省二级建造师电子证书右上角增加使用时限的标注。</w:t>
            </w:r>
            <w:r>
              <w:rPr>
                <w:rFonts w:hint="eastAsia" w:ascii="宋体" w:hAnsi="宋体" w:eastAsia="宋体" w:cs="宋体"/>
                <w:color w:val="000000" w:themeColor="text1"/>
                <w:sz w:val="21"/>
                <w:szCs w:val="21"/>
                <w:highlight w:val="none"/>
                <w14:textFill>
                  <w14:solidFill>
                    <w14:schemeClr w14:val="tx1"/>
                  </w14:solidFill>
                </w14:textFill>
              </w:rPr>
              <w:t>查看和下载电子证书时，</w:t>
            </w:r>
            <w:r>
              <w:rPr>
                <w:rFonts w:hint="eastAsia" w:ascii="宋体" w:hAnsi="宋体" w:cs="宋体"/>
                <w:color w:val="000000" w:themeColor="text1"/>
                <w:sz w:val="21"/>
                <w:szCs w:val="21"/>
                <w:highlight w:val="none"/>
                <w:lang w:val="en-US" w:eastAsia="zh-CN"/>
                <w14:textFill>
                  <w14:solidFill>
                    <w14:schemeClr w14:val="tx1"/>
                  </w14:solidFill>
                </w14:textFill>
              </w:rPr>
              <w:t>建造师</w:t>
            </w:r>
            <w:r>
              <w:rPr>
                <w:rFonts w:hint="eastAsia" w:ascii="宋体" w:hAnsi="宋体" w:eastAsia="宋体" w:cs="宋体"/>
                <w:color w:val="000000" w:themeColor="text1"/>
                <w:sz w:val="21"/>
                <w:szCs w:val="21"/>
                <w:highlight w:val="none"/>
                <w14:textFill>
                  <w14:solidFill>
                    <w14:schemeClr w14:val="tx1"/>
                  </w14:solidFill>
                </w14:textFill>
              </w:rPr>
              <w:t>本人应确认该证书的使用时限。电子证书使用时限为 180 天,但使用时限距注册专业有效期或建造师满 65 周岁不足 180 天的，使用时限截止日期以注册专业有效期截止日期或建造师满 65 周岁当日为准。</w:t>
            </w:r>
            <w:r>
              <w:rPr>
                <w:rFonts w:hint="eastAsia" w:ascii="宋体" w:hAnsi="宋体" w:eastAsia="宋体" w:cs="宋体"/>
                <w:b/>
                <w:bCs/>
                <w:color w:val="000000" w:themeColor="text1"/>
                <w:sz w:val="21"/>
                <w:szCs w:val="21"/>
                <w:highlight w:val="none"/>
                <w14:textFill>
                  <w14:solidFill>
                    <w14:schemeClr w14:val="tx1"/>
                  </w14:solidFill>
                </w14:textFill>
              </w:rPr>
              <w:t>超出使用时限的电子证书无效，需重新下载电子证书并再次确认使用时限。</w:t>
            </w:r>
          </w:p>
          <w:p w14:paraId="665A29B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自2024年9月1日起，旧二级建造师电子证书失效。二级建造师打印电子证书后，应在个人签名处手写本人签名，未手写签名或与签名图像笔迹不一致的，该电子证书无效</w:t>
            </w:r>
            <w:r>
              <w:rPr>
                <w:rFonts w:hint="eastAsia" w:ascii="宋体" w:hAnsi="宋体" w:cs="宋体"/>
                <w:b/>
                <w:bCs/>
                <w:color w:val="000000" w:themeColor="text1"/>
                <w:sz w:val="21"/>
                <w:szCs w:val="21"/>
                <w:highlight w:val="none"/>
                <w:lang w:eastAsia="zh-CN"/>
                <w14:textFill>
                  <w14:solidFill>
                    <w14:schemeClr w14:val="tx1"/>
                  </w14:solidFill>
                </w14:textFill>
              </w:rPr>
              <w:t>。</w:t>
            </w:r>
          </w:p>
          <w:p w14:paraId="17A5990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其他省份按各省相关规定执行</w:t>
            </w:r>
            <w:r>
              <w:rPr>
                <w:rFonts w:hint="eastAsia" w:ascii="宋体" w:hAnsi="宋体" w:cs="宋体"/>
                <w:b/>
                <w:bCs/>
                <w:color w:val="000000" w:themeColor="text1"/>
                <w:sz w:val="21"/>
                <w:szCs w:val="21"/>
                <w:highlight w:val="none"/>
                <w:lang w:eastAsia="zh-CN"/>
                <w14:textFill>
                  <w14:solidFill>
                    <w14:schemeClr w14:val="tx1"/>
                  </w14:solidFill>
                </w14:textFill>
              </w:rPr>
              <w:t>。</w:t>
            </w:r>
          </w:p>
        </w:tc>
      </w:tr>
      <w:tr w14:paraId="54C2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shd w:val="clear" w:color="auto" w:fill="auto"/>
            <w:noWrap w:val="0"/>
            <w:vAlign w:val="center"/>
          </w:tcPr>
          <w:p w14:paraId="685B8A42">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p>
        </w:tc>
        <w:tc>
          <w:tcPr>
            <w:tcW w:w="1006" w:type="pct"/>
            <w:shd w:val="clear" w:color="auto" w:fill="auto"/>
            <w:noWrap w:val="0"/>
            <w:tcMar>
              <w:left w:w="75" w:type="dxa"/>
            </w:tcMar>
            <w:vAlign w:val="center"/>
          </w:tcPr>
          <w:p w14:paraId="0CBEDD6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联合体资质判定</w:t>
            </w:r>
          </w:p>
        </w:tc>
        <w:tc>
          <w:tcPr>
            <w:tcW w:w="3480" w:type="pct"/>
            <w:shd w:val="clear" w:color="auto" w:fill="auto"/>
            <w:noWrap w:val="0"/>
            <w:vAlign w:val="center"/>
          </w:tcPr>
          <w:p w14:paraId="08CC628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联合体各方应当具备承担共同投标协议约定的招标项目相应专业工作的能力；国家有关规定或者招标文件对投标人资格条件有规定的，联合体各方应当具备规定的相应资格条件。联合体的各专业资质等级，根据共同投标协议约定的专业分工，分别按照承担相应专业工作的资质等级最低的单位确定。分工后，就其所承担的分工部分要具备相应的资格条件。如其中一方不承担某项工作，则不要求其必须具备该项工作需要的资格条件。</w:t>
            </w:r>
          </w:p>
          <w:p w14:paraId="336C8D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即投标人在签订联合体协议书时需要明确好各自分工的范围，各方在承担分工工作的范围内具备招标文件要求的相应资质条件即可。如不承担某一部分的工作，则不需要具备相应的资质条件。对联合体各方共同承担的工作，按照共同承担专业工作的资质等级最低的单位资质确定联合体的资质等级。</w:t>
            </w:r>
          </w:p>
          <w:p w14:paraId="6B086C51">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以建筑工程为例，某项目要求投标人具备建筑工程施工总承包一级（或以上）资质，接受联合体投标。 </w:t>
            </w:r>
          </w:p>
          <w:p w14:paraId="76DB3922">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案例 1：</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建筑工程总承包一级企业 A 公司与建筑工程总承包一级企业 AA 公司组成联合体依据《招标投标法》第三十一条，由同一专业的单位组成的联合体，按照资质等级较低的单位确定资质等级。两单位资质等级均为建筑工程总承包一级，故该联合体的资质等级为一级，达到招标文件资格要求。 </w:t>
            </w:r>
          </w:p>
          <w:p w14:paraId="2A3CF0CE">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案例 2：</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建筑工程总承包一级企业 A 公司与建筑工程总承包三级企业 B 公司组成联合体。依据《招标投标法》第三十一条，由同一专业的单位组成的联合体，按照资质等级较低的单位确定资质等级。故该联合体的资质等级二者中较低资质建筑工程总承包三级，未达到招标文件资格要求。 </w:t>
            </w:r>
          </w:p>
          <w:p w14:paraId="43ADFE13">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案例 3：</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建筑工程总承包一级企业 A 公司与不具备建筑工程总承包资质的建筑业企业 C 公司（例：装饰装修专业承包一级资质）或具备建筑工程总承包三级资质的企业 D 组成联合体，并在联合体协议中明确 C 公司（或 D 公司）的分工。其中 C 公司（或 D 公司）负责财务结算，并承担建筑工程项目中的绿化、装饰装修、材料采购工作等，且 C 公司（或 D 公司）具备承担相应工作的能力。因绿化、材料采购不需要专业资质，装饰装修专业承包资质（或建筑工程总承包三级资质）符合其分工范围内的资质要求，该联合体的资质等级按照承担分工为承担建筑主体施工的企业 A 判定，为建筑工程总承包一级，达到招标文件资格要求。 </w:t>
            </w:r>
          </w:p>
          <w:p w14:paraId="1A9E0EE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注：联合组建及履约应当符合国家法律法规及文件规定，依据住房和城乡建设部《建筑工程施工发包与承包违法行为认定查处管理办法》（建市规〔2019)1号）第八条“两个以上的单位组成联合体承包工程，在联合体分工协议中约定或者在项目实际实施过程中，联合体一方不进行施工也未对施工活动进行组织管理的，并且向联合体其他方收取管理费或者其他类似费用的，视为联合体一方将承包的工程转包给联合体其他方。</w:t>
            </w:r>
            <w:r>
              <w:rPr>
                <w:rFonts w:hint="eastAsia" w:ascii="宋体" w:hAnsi="宋体" w:cs="宋体"/>
                <w:b w:val="0"/>
                <w:bCs w:val="0"/>
                <w:color w:val="000000" w:themeColor="text1"/>
                <w:sz w:val="21"/>
                <w:szCs w:val="21"/>
                <w:highlight w:val="none"/>
                <w:lang w:eastAsia="zh-CN"/>
                <w14:textFill>
                  <w14:solidFill>
                    <w14:schemeClr w14:val="tx1"/>
                  </w14:solidFill>
                </w14:textFill>
              </w:rPr>
              <w:t>”</w:t>
            </w:r>
          </w:p>
        </w:tc>
      </w:tr>
      <w:tr w14:paraId="3DD2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shd w:val="clear" w:color="auto" w:fill="auto"/>
            <w:noWrap w:val="0"/>
            <w:vAlign w:val="center"/>
          </w:tcPr>
          <w:p w14:paraId="7F425CAA">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default"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10</w:t>
            </w:r>
          </w:p>
        </w:tc>
        <w:tc>
          <w:tcPr>
            <w:tcW w:w="1006" w:type="pct"/>
            <w:shd w:val="clear" w:color="auto" w:fill="auto"/>
            <w:noWrap w:val="0"/>
            <w:tcMar>
              <w:left w:w="75" w:type="dxa"/>
            </w:tcMar>
            <w:vAlign w:val="center"/>
          </w:tcPr>
          <w:p w14:paraId="0B5A4558">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分公司、子公司、分支机构</w:t>
            </w:r>
          </w:p>
        </w:tc>
        <w:tc>
          <w:tcPr>
            <w:tcW w:w="3480" w:type="pct"/>
            <w:shd w:val="clear" w:color="auto" w:fill="auto"/>
            <w:noWrap w:val="0"/>
            <w:vAlign w:val="center"/>
          </w:tcPr>
          <w:p w14:paraId="03A4CD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依据《公司法》第十</w:t>
            </w:r>
            <w:r>
              <w:rPr>
                <w:rFonts w:hint="eastAsia" w:ascii="宋体" w:hAnsi="宋体"/>
                <w:color w:val="000000" w:themeColor="text1"/>
                <w:sz w:val="21"/>
                <w:szCs w:val="21"/>
                <w:highlight w:val="none"/>
                <w:lang w:val="en-US" w:eastAsia="zh-CN"/>
                <w14:textFill>
                  <w14:solidFill>
                    <w14:schemeClr w14:val="tx1"/>
                  </w14:solidFill>
                </w14:textFill>
              </w:rPr>
              <w:t>三</w:t>
            </w:r>
            <w:r>
              <w:rPr>
                <w:rFonts w:hint="eastAsia" w:ascii="宋体" w:hAnsi="宋体"/>
                <w:color w:val="000000" w:themeColor="text1"/>
                <w:sz w:val="21"/>
                <w:szCs w:val="21"/>
                <w:highlight w:val="none"/>
                <w14:textFill>
                  <w14:solidFill>
                    <w14:schemeClr w14:val="tx1"/>
                  </w14:solidFill>
                </w14:textFill>
              </w:rPr>
              <w:t>条 公司可以设立子公司</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子公司具有法人资格，依法独立承担民事责任。</w:t>
            </w:r>
            <w:r>
              <w:rPr>
                <w:rFonts w:hint="eastAsia" w:ascii="宋体" w:hAnsi="宋体"/>
                <w:color w:val="000000" w:themeColor="text1"/>
                <w:sz w:val="21"/>
                <w:szCs w:val="21"/>
                <w:highlight w:val="none"/>
                <w:lang w:val="en-US" w:eastAsia="zh-CN"/>
                <w14:textFill>
                  <w14:solidFill>
                    <w14:schemeClr w14:val="tx1"/>
                  </w14:solidFill>
                </w14:textFill>
              </w:rPr>
              <w:t>公司可以设立分公司，</w:t>
            </w:r>
            <w:r>
              <w:rPr>
                <w:rFonts w:hint="eastAsia" w:ascii="宋体" w:hAnsi="宋体"/>
                <w:color w:val="000000" w:themeColor="text1"/>
                <w:sz w:val="21"/>
                <w:szCs w:val="21"/>
                <w:highlight w:val="none"/>
                <w14:textFill>
                  <w14:solidFill>
                    <w14:schemeClr w14:val="tx1"/>
                  </w14:solidFill>
                </w14:textFill>
              </w:rPr>
              <w:t>分公司不具有法人资格，其民事责任由公司承担。</w:t>
            </w:r>
          </w:p>
          <w:p w14:paraId="2FF67EB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在本项目评标中，分公司（或分支机构）不具备法人资格，视为与总公司为同一个法人主体。子公司与母公司为不同的法人主体。</w:t>
            </w:r>
            <w:r>
              <w:rPr>
                <w:rFonts w:hint="eastAsia"/>
                <w:color w:val="000000" w:themeColor="text1"/>
                <w:sz w:val="21"/>
                <w:szCs w:val="21"/>
                <w:highlight w:val="none"/>
                <w14:textFill>
                  <w14:solidFill>
                    <w14:schemeClr w14:val="tx1"/>
                  </w14:solidFill>
                </w14:textFill>
              </w:rPr>
              <w:t>投标人所属分公司（或分支机构）的人员视同投标人的人员。</w:t>
            </w:r>
          </w:p>
        </w:tc>
      </w:tr>
      <w:tr w14:paraId="07F8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13" w:type="pct"/>
            <w:shd w:val="clear" w:color="auto" w:fill="auto"/>
            <w:noWrap w:val="0"/>
            <w:vAlign w:val="center"/>
          </w:tcPr>
          <w:p w14:paraId="70255DD5">
            <w:pPr>
              <w:keepNext w:val="0"/>
              <w:keepLines w:val="0"/>
              <w:pageBreakBefore w:val="0"/>
              <w:suppressLineNumbers w:val="0"/>
              <w:kinsoku/>
              <w:wordWrap w:val="0"/>
              <w:overflowPunct/>
              <w:bidi w:val="0"/>
              <w:spacing w:before="0" w:beforeAutospacing="0" w:after="0" w:afterAutospacing="0"/>
              <w:ind w:left="0" w:right="0"/>
              <w:jc w:val="center"/>
              <w:rPr>
                <w:rFonts w:hint="eastAsia" w:ascii="Calibri" w:hAnsi="Calibri"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c>
          <w:tcPr>
            <w:tcW w:w="1006" w:type="pct"/>
            <w:shd w:val="clear" w:color="auto" w:fill="auto"/>
            <w:noWrap w:val="0"/>
            <w:tcMar>
              <w:left w:w="75" w:type="dxa"/>
            </w:tcMar>
            <w:vAlign w:val="center"/>
          </w:tcPr>
          <w:p w14:paraId="7A392DA0">
            <w:pPr>
              <w:keepNext w:val="0"/>
              <w:keepLines w:val="0"/>
              <w:pageBreakBefore w:val="0"/>
              <w:suppressLineNumbers w:val="0"/>
              <w:kinsoku/>
              <w:wordWrap w:val="0"/>
              <w:overflowPunct/>
              <w:bidi w:val="0"/>
              <w:spacing w:before="0" w:beforeAutospacing="0" w:after="0" w:afterAutospacing="0"/>
              <w:ind w:left="0" w:right="0"/>
              <w:jc w:val="center"/>
              <w:rPr>
                <w:rFonts w:hint="eastAsia" w:ascii="Calibri" w:hAnsi="Calibri"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c>
          <w:tcPr>
            <w:tcW w:w="3480" w:type="pct"/>
            <w:shd w:val="clear" w:color="auto" w:fill="auto"/>
            <w:noWrap w:val="0"/>
            <w:vAlign w:val="center"/>
          </w:tcPr>
          <w:p w14:paraId="209C880E">
            <w:pPr>
              <w:keepNext w:val="0"/>
              <w:keepLines w:val="0"/>
              <w:pageBreakBefore w:val="0"/>
              <w:suppressLineNumbers w:val="0"/>
              <w:kinsoku/>
              <w:wordWrap w:val="0"/>
              <w:overflowPunct/>
              <w:bidi w:val="0"/>
              <w:spacing w:before="0" w:beforeAutospacing="0" w:after="0" w:afterAutospacing="0"/>
              <w:ind w:left="0" w:right="0"/>
              <w:jc w:val="center"/>
              <w:rPr>
                <w:rFonts w:hint="eastAsia" w:ascii="Calibri" w:hAnsi="Calibri"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bl>
    <w:p w14:paraId="040A4F4F">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r>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br w:type="page"/>
      </w:r>
    </w:p>
    <w:p w14:paraId="6298D85A">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商务文件初步评审</w:t>
      </w:r>
      <w:bookmarkEnd w:id="551"/>
      <w:bookmarkEnd w:id="552"/>
      <w:bookmarkEnd w:id="553"/>
      <w:bookmarkEnd w:id="554"/>
      <w:bookmarkEnd w:id="555"/>
      <w:r>
        <w:rPr>
          <w:rFonts w:hint="eastAsia" w:ascii="Times New Roman" w:hAnsi="Times New Roman"/>
          <w:smallCaps w:val="0"/>
          <w:color w:val="000000" w:themeColor="text1"/>
          <w:highlight w:val="none"/>
          <w14:textFill>
            <w14:solidFill>
              <w14:schemeClr w14:val="tx1"/>
            </w14:solidFill>
          </w14:textFill>
        </w:rPr>
        <w:t>标准</w:t>
      </w:r>
      <w:bookmarkEnd w:id="556"/>
      <w:bookmarkEnd w:id="557"/>
      <w:bookmarkEnd w:id="558"/>
      <w:bookmarkEnd w:id="559"/>
      <w:bookmarkEnd w:id="560"/>
      <w:bookmarkEnd w:id="561"/>
      <w:bookmarkEnd w:id="562"/>
    </w:p>
    <w:tbl>
      <w:tblPr>
        <w:tblStyle w:val="22"/>
        <w:tblW w:w="503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878"/>
        <w:gridCol w:w="1610"/>
        <w:gridCol w:w="5854"/>
      </w:tblGrid>
      <w:tr w14:paraId="3404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trPr>
        <w:tc>
          <w:tcPr>
            <w:tcW w:w="868" w:type="pct"/>
            <w:gridSpan w:val="2"/>
            <w:shd w:val="clear" w:color="auto" w:fill="D7D7D7" w:themeFill="background1" w:themeFillShade="D8"/>
            <w:noWrap w:val="0"/>
            <w:vAlign w:val="center"/>
          </w:tcPr>
          <w:p w14:paraId="2A4BF8B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891" w:type="pct"/>
            <w:shd w:val="clear" w:color="auto" w:fill="D7D7D7" w:themeFill="background1" w:themeFillShade="D8"/>
            <w:noWrap w:val="0"/>
            <w:vAlign w:val="center"/>
          </w:tcPr>
          <w:p w14:paraId="330C9DB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bookmarkStart w:id="563" w:name="_Hlk129640869"/>
            <w:r>
              <w:rPr>
                <w:rFonts w:hint="eastAsia" w:ascii="Times New Roman" w:hAnsi="Times New Roman"/>
                <w:smallCaps w:val="0"/>
                <w:color w:val="000000" w:themeColor="text1"/>
                <w:highlight w:val="none"/>
                <w14:textFill>
                  <w14:solidFill>
                    <w14:schemeClr w14:val="tx1"/>
                  </w14:solidFill>
                </w14:textFill>
              </w:rPr>
              <w:t>评审因素</w:t>
            </w:r>
            <w:bookmarkEnd w:id="563"/>
          </w:p>
        </w:tc>
        <w:tc>
          <w:tcPr>
            <w:tcW w:w="3240" w:type="pct"/>
            <w:shd w:val="clear" w:color="auto" w:fill="D7D7D7" w:themeFill="background1" w:themeFillShade="D8"/>
            <w:noWrap w:val="0"/>
            <w:vAlign w:val="center"/>
          </w:tcPr>
          <w:p w14:paraId="4B2EB4E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1481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restart"/>
            <w:noWrap w:val="0"/>
            <w:vAlign w:val="center"/>
          </w:tcPr>
          <w:p w14:paraId="5CD723F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w:t>
            </w:r>
          </w:p>
        </w:tc>
        <w:tc>
          <w:tcPr>
            <w:tcW w:w="485" w:type="pct"/>
            <w:vMerge w:val="restart"/>
            <w:noWrap w:val="0"/>
            <w:vAlign w:val="center"/>
          </w:tcPr>
          <w:p w14:paraId="0685E0C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形式评审标准</w:t>
            </w:r>
          </w:p>
        </w:tc>
        <w:tc>
          <w:tcPr>
            <w:tcW w:w="891" w:type="pct"/>
            <w:noWrap w:val="0"/>
            <w:tcMar>
              <w:left w:w="75" w:type="dxa"/>
            </w:tcMar>
            <w:vAlign w:val="center"/>
          </w:tcPr>
          <w:p w14:paraId="67D2F2E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投标人名称</w:t>
            </w:r>
          </w:p>
        </w:tc>
        <w:tc>
          <w:tcPr>
            <w:tcW w:w="3240" w:type="pct"/>
            <w:noWrap w:val="0"/>
            <w:tcMar>
              <w:left w:w="75" w:type="dxa"/>
            </w:tcMar>
            <w:vAlign w:val="center"/>
          </w:tcPr>
          <w:p w14:paraId="01FD02E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与营业执照、资质证书、安全生产许可证一致。</w:t>
            </w:r>
          </w:p>
        </w:tc>
      </w:tr>
      <w:tr w14:paraId="1F2E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3147D2E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02E413C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7CEBF72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签字盖章</w:t>
            </w:r>
          </w:p>
        </w:tc>
        <w:tc>
          <w:tcPr>
            <w:tcW w:w="3240" w:type="pct"/>
            <w:noWrap w:val="0"/>
            <w:tcMar>
              <w:left w:w="75" w:type="dxa"/>
            </w:tcMar>
            <w:vAlign w:val="center"/>
          </w:tcPr>
          <w:p w14:paraId="537B912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符合第二章“投标人须知”第3.7.3项规定。</w:t>
            </w:r>
          </w:p>
        </w:tc>
      </w:tr>
      <w:tr w14:paraId="011B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2495B52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17D62B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05AFB07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投标文件格式</w:t>
            </w:r>
          </w:p>
        </w:tc>
        <w:tc>
          <w:tcPr>
            <w:tcW w:w="3240" w:type="pct"/>
            <w:noWrap w:val="0"/>
            <w:tcMar>
              <w:left w:w="75" w:type="dxa"/>
            </w:tcMar>
            <w:vAlign w:val="center"/>
          </w:tcPr>
          <w:p w14:paraId="611E5E7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符合第八章“投标文件格式”的规定。</w:t>
            </w:r>
          </w:p>
        </w:tc>
      </w:tr>
      <w:tr w14:paraId="39ED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1315EAB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282F98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61D8C38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联合体投标人</w:t>
            </w:r>
          </w:p>
        </w:tc>
        <w:tc>
          <w:tcPr>
            <w:tcW w:w="3240" w:type="pct"/>
            <w:noWrap w:val="0"/>
            <w:tcMar>
              <w:left w:w="75" w:type="dxa"/>
            </w:tcMar>
            <w:vAlign w:val="center"/>
          </w:tcPr>
          <w:p w14:paraId="2AE08F5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提交符合招标文件要求的联合体协议书，明确各方承担连带责任，并明确联合体牵头人。</w:t>
            </w:r>
          </w:p>
        </w:tc>
      </w:tr>
      <w:tr w14:paraId="0084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0EAB704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02F99B0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4A7612E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未出现异常情形</w:t>
            </w:r>
          </w:p>
        </w:tc>
        <w:tc>
          <w:tcPr>
            <w:tcW w:w="3240" w:type="pct"/>
            <w:noWrap w:val="0"/>
            <w:tcMar>
              <w:left w:w="75" w:type="dxa"/>
            </w:tcMar>
            <w:vAlign w:val="center"/>
          </w:tcPr>
          <w:p w14:paraId="0F74174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不同投标人未出现使用相同的机器识别码进行投标或使用相同加密锁号的造价软件的情形</w:t>
            </w:r>
          </w:p>
          <w:p w14:paraId="50F8EA4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012D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069AE7E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6E9CB2E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1621DAA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未出现投标报价</w:t>
            </w:r>
          </w:p>
        </w:tc>
        <w:tc>
          <w:tcPr>
            <w:tcW w:w="3240" w:type="pct"/>
            <w:noWrap w:val="0"/>
            <w:tcMar>
              <w:left w:w="75" w:type="dxa"/>
            </w:tcMar>
            <w:vAlign w:val="center"/>
          </w:tcPr>
          <w:p w14:paraId="6F92FAD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商务文件中未出现有关投标报价的内容。</w:t>
            </w:r>
          </w:p>
        </w:tc>
      </w:tr>
      <w:tr w14:paraId="2947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restart"/>
            <w:noWrap w:val="0"/>
            <w:vAlign w:val="center"/>
          </w:tcPr>
          <w:p w14:paraId="02F9D4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2.1.2</w:t>
            </w:r>
          </w:p>
        </w:tc>
        <w:tc>
          <w:tcPr>
            <w:tcW w:w="485" w:type="pct"/>
            <w:vMerge w:val="restart"/>
            <w:noWrap w:val="0"/>
            <w:vAlign w:val="center"/>
          </w:tcPr>
          <w:p w14:paraId="5BCF8E9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资格评审标准</w:t>
            </w:r>
          </w:p>
        </w:tc>
        <w:tc>
          <w:tcPr>
            <w:tcW w:w="891" w:type="pct"/>
            <w:noWrap w:val="0"/>
            <w:tcMar>
              <w:left w:w="75" w:type="dxa"/>
            </w:tcMar>
            <w:vAlign w:val="center"/>
          </w:tcPr>
          <w:p w14:paraId="77BB71B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营业执照</w:t>
            </w:r>
          </w:p>
        </w:tc>
        <w:tc>
          <w:tcPr>
            <w:tcW w:w="3240" w:type="pct"/>
            <w:noWrap w:val="0"/>
            <w:tcMar>
              <w:left w:w="75" w:type="dxa"/>
            </w:tcMar>
            <w:vAlign w:val="center"/>
          </w:tcPr>
          <w:p w14:paraId="7445B9B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具备有效的营业执照，如为联合体投标，联合体各方均须提供。</w:t>
            </w:r>
          </w:p>
        </w:tc>
      </w:tr>
      <w:tr w14:paraId="236A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37740B4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3F07F38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044D7ED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资质等级</w:t>
            </w:r>
          </w:p>
        </w:tc>
        <w:tc>
          <w:tcPr>
            <w:tcW w:w="3240" w:type="pct"/>
            <w:noWrap w:val="0"/>
            <w:tcMar>
              <w:left w:w="75" w:type="dxa"/>
            </w:tcMar>
            <w:vAlign w:val="center"/>
          </w:tcPr>
          <w:p w14:paraId="3C35F14A">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2F20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7CC2CFE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3F11176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435EA94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安全生产许可证</w:t>
            </w:r>
          </w:p>
        </w:tc>
        <w:tc>
          <w:tcPr>
            <w:tcW w:w="3240" w:type="pct"/>
            <w:noWrap w:val="0"/>
            <w:tcMar>
              <w:left w:w="75" w:type="dxa"/>
            </w:tcMar>
            <w:vAlign w:val="center"/>
          </w:tcPr>
          <w:p w14:paraId="6CA645F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具备有效的安全生产许可证。</w:t>
            </w:r>
          </w:p>
        </w:tc>
      </w:tr>
      <w:tr w14:paraId="3045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6E644E0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2366168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4967C0D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财务要求</w:t>
            </w:r>
          </w:p>
        </w:tc>
        <w:tc>
          <w:tcPr>
            <w:tcW w:w="3240" w:type="pct"/>
            <w:noWrap w:val="0"/>
            <w:tcMar>
              <w:left w:w="75" w:type="dxa"/>
            </w:tcMar>
            <w:vAlign w:val="center"/>
          </w:tcPr>
          <w:p w14:paraId="2061F3F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315B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0519154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525C2D4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73BF7A6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投标人业绩要求</w:t>
            </w:r>
          </w:p>
        </w:tc>
        <w:tc>
          <w:tcPr>
            <w:tcW w:w="3240" w:type="pct"/>
            <w:noWrap w:val="0"/>
            <w:tcMar>
              <w:left w:w="75" w:type="dxa"/>
            </w:tcMar>
            <w:vAlign w:val="center"/>
          </w:tcPr>
          <w:p w14:paraId="79A97AB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45C8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1D4C82E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76C0137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754CEBC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信誉要求</w:t>
            </w:r>
          </w:p>
        </w:tc>
        <w:tc>
          <w:tcPr>
            <w:tcW w:w="3240" w:type="pct"/>
            <w:noWrap w:val="0"/>
            <w:tcMar>
              <w:left w:w="75" w:type="dxa"/>
            </w:tcMar>
            <w:vAlign w:val="center"/>
          </w:tcPr>
          <w:p w14:paraId="6BEEF68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符合第二章“投标人须知”第1.4.1项规定。投标人在投标函中承诺，</w:t>
            </w:r>
            <w:r>
              <w:rPr>
                <w:rFonts w:hint="eastAsia" w:ascii="Times New Roman" w:hAnsi="Times New Roman"/>
                <w:smallCaps w:val="0"/>
                <w:color w:val="000000" w:themeColor="text1"/>
                <w:highlight w:val="none"/>
                <w:lang w:val="en-US" w:eastAsia="zh-CN"/>
                <w14:textFill>
                  <w14:solidFill>
                    <w14:schemeClr w14:val="tx1"/>
                  </w14:solidFill>
                </w14:textFill>
              </w:rPr>
              <w:t>并按照投标文件格式要求提供承诺书</w:t>
            </w:r>
            <w:r>
              <w:rPr>
                <w:rFonts w:hint="eastAsia" w:ascii="Times New Roman" w:hAnsi="Times New Roman"/>
                <w:smallCaps w:val="0"/>
                <w:color w:val="000000" w:themeColor="text1"/>
                <w:highlight w:val="none"/>
                <w14:textFill>
                  <w14:solidFill>
                    <w14:schemeClr w14:val="tx1"/>
                  </w14:solidFill>
                </w14:textFill>
              </w:rPr>
              <w:t>。</w:t>
            </w:r>
          </w:p>
        </w:tc>
      </w:tr>
      <w:tr w14:paraId="446F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4929F28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5A4E284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4FFA3F0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tc>
        <w:tc>
          <w:tcPr>
            <w:tcW w:w="3240" w:type="pct"/>
            <w:noWrap w:val="0"/>
            <w:tcMar>
              <w:left w:w="75" w:type="dxa"/>
            </w:tcMar>
            <w:vAlign w:val="center"/>
          </w:tcPr>
          <w:p w14:paraId="3C75BC9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7BD8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5DD632D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07E20FD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6E8AC92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项目经理业绩要求</w:t>
            </w:r>
          </w:p>
        </w:tc>
        <w:tc>
          <w:tcPr>
            <w:tcW w:w="3240" w:type="pct"/>
            <w:noWrap w:val="0"/>
            <w:tcMar>
              <w:left w:w="75" w:type="dxa"/>
            </w:tcMar>
            <w:vAlign w:val="center"/>
          </w:tcPr>
          <w:p w14:paraId="7EF58E8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4E62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07C4AF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1498116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4FAC4E7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其他主要管理人员和技术人员配备</w:t>
            </w:r>
          </w:p>
        </w:tc>
        <w:tc>
          <w:tcPr>
            <w:tcW w:w="3240" w:type="pct"/>
            <w:noWrap w:val="0"/>
            <w:tcMar>
              <w:left w:w="75" w:type="dxa"/>
            </w:tcMar>
            <w:vAlign w:val="center"/>
          </w:tcPr>
          <w:p w14:paraId="7BEE924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60F4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264F650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0B5C730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2FB4B63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联合体投标人</w:t>
            </w:r>
          </w:p>
        </w:tc>
        <w:tc>
          <w:tcPr>
            <w:tcW w:w="3240" w:type="pct"/>
            <w:noWrap w:val="0"/>
            <w:tcMar>
              <w:left w:w="75" w:type="dxa"/>
            </w:tcMar>
            <w:vAlign w:val="center"/>
          </w:tcPr>
          <w:p w14:paraId="2836793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符合第二章“投标人须知”第1.4.2项规定。</w:t>
            </w:r>
          </w:p>
        </w:tc>
      </w:tr>
      <w:tr w14:paraId="48B0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400D0AA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0FBEA04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7A2D07E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不存在禁止投标的情形</w:t>
            </w:r>
          </w:p>
        </w:tc>
        <w:tc>
          <w:tcPr>
            <w:tcW w:w="3240" w:type="pct"/>
            <w:noWrap w:val="0"/>
            <w:tcMar>
              <w:left w:w="75" w:type="dxa"/>
            </w:tcMar>
            <w:vAlign w:val="center"/>
          </w:tcPr>
          <w:p w14:paraId="7DCE60F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不存在第二章“投标人须知”第1.4.3项或第1.4.4项规定的任何一种情形。投标人应按照第八章“投标文件格式”的“诚信投标承诺书”承诺。</w:t>
            </w:r>
          </w:p>
        </w:tc>
      </w:tr>
      <w:tr w14:paraId="42DE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restart"/>
            <w:noWrap w:val="0"/>
            <w:vAlign w:val="center"/>
          </w:tcPr>
          <w:p w14:paraId="2E5EE73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2.1.3</w:t>
            </w:r>
          </w:p>
        </w:tc>
        <w:tc>
          <w:tcPr>
            <w:tcW w:w="485" w:type="pct"/>
            <w:vMerge w:val="restart"/>
            <w:noWrap w:val="0"/>
            <w:vAlign w:val="center"/>
          </w:tcPr>
          <w:p w14:paraId="01506DE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响应性评审标准</w:t>
            </w:r>
          </w:p>
        </w:tc>
        <w:tc>
          <w:tcPr>
            <w:tcW w:w="891" w:type="pct"/>
            <w:noWrap w:val="0"/>
            <w:tcMar>
              <w:left w:w="75" w:type="dxa"/>
            </w:tcMar>
            <w:vAlign w:val="center"/>
          </w:tcPr>
          <w:p w14:paraId="25160D6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投标内容</w:t>
            </w:r>
          </w:p>
        </w:tc>
        <w:tc>
          <w:tcPr>
            <w:tcW w:w="3240" w:type="pct"/>
            <w:noWrap w:val="0"/>
            <w:tcMar>
              <w:left w:w="75" w:type="dxa"/>
            </w:tcMar>
            <w:vAlign w:val="center"/>
          </w:tcPr>
          <w:p w14:paraId="7FCBBD5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符合第二章“投标人须知”第1.3.1项规定。</w:t>
            </w:r>
          </w:p>
        </w:tc>
      </w:tr>
      <w:tr w14:paraId="1218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47E8A4D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630CF1B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00E18CA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工期</w:t>
            </w:r>
          </w:p>
        </w:tc>
        <w:tc>
          <w:tcPr>
            <w:tcW w:w="3240" w:type="pct"/>
            <w:noWrap w:val="0"/>
            <w:tcMar>
              <w:left w:w="75" w:type="dxa"/>
            </w:tcMar>
            <w:vAlign w:val="center"/>
          </w:tcPr>
          <w:p w14:paraId="238C41B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符合第二章“投标人须知”第1.3.2项规定。</w:t>
            </w:r>
          </w:p>
        </w:tc>
      </w:tr>
      <w:tr w14:paraId="06D1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1C7AE46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7AED2B0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466B8E5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质量标准</w:t>
            </w:r>
          </w:p>
        </w:tc>
        <w:tc>
          <w:tcPr>
            <w:tcW w:w="3240" w:type="pct"/>
            <w:noWrap w:val="0"/>
            <w:tcMar>
              <w:left w:w="75" w:type="dxa"/>
            </w:tcMar>
            <w:vAlign w:val="center"/>
          </w:tcPr>
          <w:p w14:paraId="25325E1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符合第二章“投标人须知”第1.3.3项规定。</w:t>
            </w:r>
          </w:p>
        </w:tc>
      </w:tr>
      <w:tr w14:paraId="792F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586F8F3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67932D5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00B85A0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投标有效期</w:t>
            </w:r>
          </w:p>
        </w:tc>
        <w:tc>
          <w:tcPr>
            <w:tcW w:w="3240" w:type="pct"/>
            <w:noWrap w:val="0"/>
            <w:tcMar>
              <w:left w:w="75" w:type="dxa"/>
            </w:tcMar>
            <w:vAlign w:val="center"/>
          </w:tcPr>
          <w:p w14:paraId="04980BE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符合第二章“投标人须知”第3.3.1项规定。</w:t>
            </w:r>
          </w:p>
        </w:tc>
      </w:tr>
      <w:tr w14:paraId="49A7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6DD3EE7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1E2D81B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5D17606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投标保证金</w:t>
            </w:r>
          </w:p>
        </w:tc>
        <w:tc>
          <w:tcPr>
            <w:tcW w:w="3240" w:type="pct"/>
            <w:noWrap w:val="0"/>
            <w:tcMar>
              <w:left w:w="75" w:type="dxa"/>
            </w:tcMar>
            <w:vAlign w:val="center"/>
          </w:tcPr>
          <w:p w14:paraId="152C19D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符合第二章“投标人须知”第3.4.1项规定（符合免缴投标保证金的须满足免缴条件且须进行相应承诺）。</w:t>
            </w:r>
          </w:p>
        </w:tc>
      </w:tr>
      <w:tr w14:paraId="14DD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2108AAF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3787424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765D9AC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项目经理承诺</w:t>
            </w:r>
          </w:p>
        </w:tc>
        <w:tc>
          <w:tcPr>
            <w:tcW w:w="3240" w:type="pct"/>
            <w:noWrap w:val="0"/>
            <w:tcMar>
              <w:left w:w="75" w:type="dxa"/>
            </w:tcMar>
            <w:vAlign w:val="center"/>
          </w:tcPr>
          <w:p w14:paraId="0C98723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符合第二章“投标人须知”第1.4.1项规定。投标人应按照招标文件第八章“投标文件格式”的“项目经理承诺”提供承诺。</w:t>
            </w:r>
          </w:p>
        </w:tc>
      </w:tr>
      <w:tr w14:paraId="744A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364F948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0894735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0C8C404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分包计划</w:t>
            </w:r>
          </w:p>
        </w:tc>
        <w:tc>
          <w:tcPr>
            <w:tcW w:w="3240" w:type="pct"/>
            <w:noWrap w:val="0"/>
            <w:tcMar>
              <w:left w:w="75" w:type="dxa"/>
            </w:tcMar>
            <w:vAlign w:val="center"/>
          </w:tcPr>
          <w:p w14:paraId="2D7027C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投标人如有分包计划，符合招标文件第二章“投标人须知”第1.11款规定，且按照招标文件第八章“投标文件格式”的要求填写了“拟分包项目情况表”。</w:t>
            </w:r>
          </w:p>
        </w:tc>
      </w:tr>
      <w:tr w14:paraId="6B36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2" w:type="pct"/>
            <w:vMerge w:val="continue"/>
            <w:noWrap w:val="0"/>
            <w:vAlign w:val="center"/>
          </w:tcPr>
          <w:p w14:paraId="36B505F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5" w:type="pct"/>
            <w:vMerge w:val="continue"/>
            <w:noWrap w:val="0"/>
            <w:vAlign w:val="center"/>
          </w:tcPr>
          <w:p w14:paraId="6574A34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1" w:type="pct"/>
            <w:noWrap w:val="0"/>
            <w:tcMar>
              <w:left w:w="75" w:type="dxa"/>
            </w:tcMar>
            <w:vAlign w:val="center"/>
          </w:tcPr>
          <w:p w14:paraId="088AD02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其他实质性要求</w:t>
            </w:r>
          </w:p>
        </w:tc>
        <w:tc>
          <w:tcPr>
            <w:tcW w:w="3240" w:type="pct"/>
            <w:noWrap w:val="0"/>
            <w:tcMar>
              <w:left w:w="75" w:type="dxa"/>
            </w:tcMar>
            <w:vAlign w:val="center"/>
          </w:tcPr>
          <w:p w14:paraId="5E0FEC1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符合招标文件的其他实质性要求和条件。</w:t>
            </w:r>
          </w:p>
        </w:tc>
      </w:tr>
    </w:tbl>
    <w:p w14:paraId="4B08FD1D">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bookmarkStart w:id="564" w:name="_Toc16261"/>
      <w:bookmarkStart w:id="565" w:name="_Toc28675"/>
      <w:bookmarkStart w:id="566" w:name="_Toc17392"/>
      <w:bookmarkStart w:id="567" w:name="_Toc20377"/>
      <w:bookmarkStart w:id="568" w:name="_Toc11591"/>
      <w:bookmarkStart w:id="569" w:name="_Toc130919094"/>
      <w:bookmarkStart w:id="570" w:name="_Toc124283240"/>
      <w:bookmarkStart w:id="571" w:name="_Toc299"/>
      <w:bookmarkStart w:id="572" w:name="_Toc2431"/>
      <w:bookmarkStart w:id="573" w:name="_Toc8835"/>
      <w:bookmarkStart w:id="574" w:name="_Toc31814"/>
      <w:bookmarkStart w:id="575" w:name="_Toc25656"/>
      <w:r>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br w:type="page"/>
      </w:r>
    </w:p>
    <w:p w14:paraId="43053AE4">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报价文件初步评审</w:t>
      </w:r>
      <w:bookmarkEnd w:id="564"/>
      <w:bookmarkEnd w:id="565"/>
      <w:bookmarkEnd w:id="566"/>
      <w:bookmarkEnd w:id="567"/>
      <w:bookmarkEnd w:id="568"/>
      <w:r>
        <w:rPr>
          <w:rFonts w:hint="eastAsia" w:ascii="Times New Roman" w:hAnsi="Times New Roman"/>
          <w:smallCaps w:val="0"/>
          <w:color w:val="000000" w:themeColor="text1"/>
          <w:highlight w:val="none"/>
          <w14:textFill>
            <w14:solidFill>
              <w14:schemeClr w14:val="tx1"/>
            </w14:solidFill>
          </w14:textFill>
        </w:rPr>
        <w:t>标准</w:t>
      </w:r>
      <w:bookmarkEnd w:id="569"/>
      <w:bookmarkEnd w:id="570"/>
      <w:bookmarkEnd w:id="571"/>
      <w:bookmarkEnd w:id="572"/>
      <w:bookmarkEnd w:id="573"/>
      <w:bookmarkEnd w:id="574"/>
      <w:bookmarkEnd w:id="575"/>
    </w:p>
    <w:tbl>
      <w:tblPr>
        <w:tblStyle w:val="22"/>
        <w:tblW w:w="5021" w:type="pct"/>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6"/>
        <w:gridCol w:w="980"/>
        <w:gridCol w:w="1919"/>
        <w:gridCol w:w="5492"/>
      </w:tblGrid>
      <w:tr w14:paraId="5839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blHeader/>
        </w:trPr>
        <w:tc>
          <w:tcPr>
            <w:tcW w:w="886" w:type="pct"/>
            <w:gridSpan w:val="2"/>
            <w:shd w:val="clear" w:color="auto" w:fill="D7D7D7" w:themeFill="background1" w:themeFillShade="D8"/>
            <w:noWrap w:val="0"/>
            <w:vAlign w:val="center"/>
          </w:tcPr>
          <w:p w14:paraId="69F3CB8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1065" w:type="pct"/>
            <w:shd w:val="clear" w:color="auto" w:fill="D7D7D7" w:themeFill="background1" w:themeFillShade="D8"/>
            <w:noWrap w:val="0"/>
            <w:vAlign w:val="center"/>
          </w:tcPr>
          <w:p w14:paraId="5484082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3047" w:type="pct"/>
            <w:shd w:val="clear" w:color="auto" w:fill="D7D7D7" w:themeFill="background1" w:themeFillShade="D8"/>
            <w:noWrap w:val="0"/>
            <w:vAlign w:val="center"/>
          </w:tcPr>
          <w:p w14:paraId="0925CF2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798A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restart"/>
            <w:noWrap w:val="0"/>
            <w:vAlign w:val="center"/>
          </w:tcPr>
          <w:p w14:paraId="53C1EC1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w:t>
            </w:r>
          </w:p>
        </w:tc>
        <w:tc>
          <w:tcPr>
            <w:tcW w:w="544" w:type="pct"/>
            <w:vMerge w:val="restart"/>
            <w:noWrap w:val="0"/>
            <w:vAlign w:val="center"/>
          </w:tcPr>
          <w:p w14:paraId="1601D8C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形式评审标准</w:t>
            </w:r>
          </w:p>
        </w:tc>
        <w:tc>
          <w:tcPr>
            <w:tcW w:w="1065" w:type="pct"/>
            <w:noWrap w:val="0"/>
            <w:tcMar>
              <w:left w:w="75" w:type="dxa"/>
            </w:tcMar>
            <w:vAlign w:val="center"/>
          </w:tcPr>
          <w:p w14:paraId="38A5936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投标人名称</w:t>
            </w:r>
          </w:p>
        </w:tc>
        <w:tc>
          <w:tcPr>
            <w:tcW w:w="3047" w:type="pct"/>
            <w:noWrap w:val="0"/>
            <w:tcMar>
              <w:left w:w="75" w:type="dxa"/>
            </w:tcMar>
            <w:vAlign w:val="center"/>
          </w:tcPr>
          <w:p w14:paraId="75F8FAF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与营业执照、资质证书、安全生产许可证一致。</w:t>
            </w:r>
          </w:p>
        </w:tc>
      </w:tr>
      <w:tr w14:paraId="30D5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3FFC280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6BBCF12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0AB06F9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签字盖章</w:t>
            </w:r>
          </w:p>
        </w:tc>
        <w:tc>
          <w:tcPr>
            <w:tcW w:w="3047" w:type="pct"/>
            <w:noWrap w:val="0"/>
            <w:tcMar>
              <w:left w:w="75" w:type="dxa"/>
            </w:tcMar>
            <w:vAlign w:val="center"/>
          </w:tcPr>
          <w:p w14:paraId="228D169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符合第二章“投标人须知”第3.7.3项规定。</w:t>
            </w:r>
          </w:p>
        </w:tc>
      </w:tr>
      <w:tr w14:paraId="0BE8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0EFB1D8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0EEA03E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0A359F8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投标文件格式</w:t>
            </w:r>
          </w:p>
        </w:tc>
        <w:tc>
          <w:tcPr>
            <w:tcW w:w="3047" w:type="pct"/>
            <w:noWrap w:val="0"/>
            <w:tcMar>
              <w:left w:w="75" w:type="dxa"/>
            </w:tcMar>
            <w:vAlign w:val="center"/>
          </w:tcPr>
          <w:p w14:paraId="411C6B6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（1）报价文件电子文件可以正常读取；</w:t>
            </w:r>
          </w:p>
          <w:p w14:paraId="2483451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（2）符合第八章“投标文件格式”的规定，关键字迹清晰可辨。</w:t>
            </w:r>
          </w:p>
        </w:tc>
      </w:tr>
      <w:tr w14:paraId="059E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1480DA6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7CABE51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2DF3BEC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备选投标方案</w:t>
            </w:r>
          </w:p>
        </w:tc>
        <w:tc>
          <w:tcPr>
            <w:tcW w:w="3047" w:type="pct"/>
            <w:noWrap w:val="0"/>
            <w:tcMar>
              <w:left w:w="75" w:type="dxa"/>
            </w:tcMar>
            <w:vAlign w:val="center"/>
          </w:tcPr>
          <w:p w14:paraId="5B5A9CE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除招标文件明确允许备选投标方案外，投标人不得提交备选投标方案。</w:t>
            </w:r>
          </w:p>
        </w:tc>
      </w:tr>
      <w:tr w14:paraId="653F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6D0840C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3B552E8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1FFAE13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未出现异常情形</w:t>
            </w:r>
          </w:p>
        </w:tc>
        <w:tc>
          <w:tcPr>
            <w:tcW w:w="3047" w:type="pct"/>
            <w:noWrap w:val="0"/>
            <w:tcMar>
              <w:left w:w="75" w:type="dxa"/>
            </w:tcMar>
            <w:vAlign w:val="top"/>
          </w:tcPr>
          <w:p w14:paraId="571ABA0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不同投标人未出现使用相同的机器识别码进行投标或使用相同加密锁号的造价软件的情形</w:t>
            </w:r>
          </w:p>
          <w:p w14:paraId="426D753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71D6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restart"/>
            <w:noWrap w:val="0"/>
            <w:vAlign w:val="center"/>
          </w:tcPr>
          <w:p w14:paraId="1C10BF8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2.1.3</w:t>
            </w:r>
          </w:p>
        </w:tc>
        <w:tc>
          <w:tcPr>
            <w:tcW w:w="544" w:type="pct"/>
            <w:vMerge w:val="restart"/>
            <w:noWrap w:val="0"/>
            <w:vAlign w:val="center"/>
          </w:tcPr>
          <w:p w14:paraId="4E8FC58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响应性评审标准</w:t>
            </w:r>
          </w:p>
        </w:tc>
        <w:tc>
          <w:tcPr>
            <w:tcW w:w="1065" w:type="pct"/>
            <w:noWrap w:val="0"/>
            <w:tcMar>
              <w:left w:w="75" w:type="dxa"/>
            </w:tcMar>
            <w:vAlign w:val="center"/>
          </w:tcPr>
          <w:p w14:paraId="0926F13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投标内容</w:t>
            </w:r>
          </w:p>
        </w:tc>
        <w:tc>
          <w:tcPr>
            <w:tcW w:w="3047" w:type="pct"/>
            <w:noWrap w:val="0"/>
            <w:tcMar>
              <w:left w:w="75" w:type="dxa"/>
            </w:tcMar>
            <w:vAlign w:val="center"/>
          </w:tcPr>
          <w:p w14:paraId="0F82A0C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符合第二章“投标人须知”第1.3.1项规定。</w:t>
            </w:r>
          </w:p>
        </w:tc>
      </w:tr>
      <w:tr w14:paraId="4FA8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13F4F45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7E555B8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1FE684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w:t>
            </w:r>
          </w:p>
        </w:tc>
        <w:tc>
          <w:tcPr>
            <w:tcW w:w="3047" w:type="pct"/>
            <w:noWrap w:val="0"/>
            <w:tcMar>
              <w:left w:w="75" w:type="dxa"/>
            </w:tcMar>
            <w:vAlign w:val="center"/>
          </w:tcPr>
          <w:p w14:paraId="0573B5E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（1）投标报价未超过招标文件设定的最高投标限价（如有）。</w:t>
            </w:r>
          </w:p>
          <w:p w14:paraId="438FB39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（2）投标报价的大写数值能确定具体数值，未出现数量级错误、报价金额单位错误。</w:t>
            </w:r>
          </w:p>
          <w:p w14:paraId="6A11A45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（3）同一投标人未</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两个以上不同的投标报价，但招标文件要求提交备选投标的除外。</w:t>
            </w:r>
          </w:p>
          <w:p w14:paraId="649D313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（4）已标价工程量清单的分部分项工程的项目编码、项目名称、项目特征描述、计量单位及工程量与招标人提供的工程量清单未出现实质性内容不一致。</w:t>
            </w:r>
          </w:p>
          <w:p w14:paraId="39EA35B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（5）按照清单计价规范要求不应为负值的，已标价工程量清单中的数据未出现该情形。</w:t>
            </w:r>
          </w:p>
        </w:tc>
      </w:tr>
      <w:tr w14:paraId="350F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3B068C2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517FA5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6AC7405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投标报价不可竞争内容</w:t>
            </w:r>
          </w:p>
        </w:tc>
        <w:tc>
          <w:tcPr>
            <w:tcW w:w="3047" w:type="pct"/>
            <w:noWrap w:val="0"/>
            <w:tcMar>
              <w:left w:w="75" w:type="dxa"/>
            </w:tcMar>
            <w:vAlign w:val="center"/>
          </w:tcPr>
          <w:p w14:paraId="049803C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（1）安全文明施工费报价符合招标文件要求。</w:t>
            </w:r>
          </w:p>
          <w:p w14:paraId="616DB8F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（2）人工费工日单价不得低于工程所在地政府发布的最低工资标准折算的工日单价。</w:t>
            </w:r>
          </w:p>
          <w:p w14:paraId="4137BA8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（3）已标价工程量清单中未更改招标文件确定的暂列金额、暂估价。</w:t>
            </w:r>
          </w:p>
          <w:p w14:paraId="51EA692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（4）增值税报价符合招标文件规定。</w:t>
            </w:r>
          </w:p>
        </w:tc>
      </w:tr>
      <w:tr w14:paraId="6CA9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7CE3478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71783EC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28C9FFF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总人工费</w:t>
            </w:r>
          </w:p>
        </w:tc>
        <w:tc>
          <w:tcPr>
            <w:tcW w:w="3047" w:type="pct"/>
            <w:noWrap w:val="0"/>
            <w:tcMar>
              <w:left w:w="75" w:type="dxa"/>
            </w:tcMar>
            <w:vAlign w:val="center"/>
          </w:tcPr>
          <w:p w14:paraId="401842F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投标报价中的总人工费与技术文件中的劳动力安排计划相比，不得明显过低。</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建筑工程不低于20%，装配式建筑不低于15%，市政工程不低于 12%</w:t>
            </w:r>
            <w:r>
              <w:rPr>
                <w:rFonts w:hint="eastAsia"/>
                <w:color w:val="000000" w:themeColor="text1"/>
                <w:highlight w:val="none"/>
                <w:lang w:eastAsia="zh-CN"/>
                <w14:textFill>
                  <w14:solidFill>
                    <w14:schemeClr w14:val="tx1"/>
                  </w14:solidFill>
                </w14:textFill>
              </w:rPr>
              <w:t>）</w:t>
            </w:r>
          </w:p>
        </w:tc>
      </w:tr>
      <w:tr w14:paraId="1201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10D639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145253F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2EEB7F1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投标报价偏差</w:t>
            </w:r>
          </w:p>
        </w:tc>
        <w:tc>
          <w:tcPr>
            <w:tcW w:w="3047" w:type="pct"/>
            <w:noWrap w:val="0"/>
            <w:tcMar>
              <w:left w:w="75" w:type="dxa"/>
            </w:tcMar>
            <w:vAlign w:val="center"/>
          </w:tcPr>
          <w:p w14:paraId="6A0C596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（1）因投标人原因造成投标报价累计缺漏金额（多报金额不得抵销缺漏金额，缺漏金额计算时按照最高投标限价相应数据计算）占投标报价未超过3%，也未影响各投标人排序。</w:t>
            </w:r>
          </w:p>
          <w:p w14:paraId="795C006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凡招标文件要求或者工程量清单计价规范规定应计算的费用而投标人未报，且投标文件未阐明充分理由，并不能提供足够证据者，均视为缺漏金额。</w:t>
            </w:r>
          </w:p>
          <w:p w14:paraId="2C8E987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（2）对投标报价存在计算错误的，按照本章第3.3.4项规定的标准对投标报价进行修正，修正后的投标报价与修正前投标报价的偏差未超过3%，也未影响各投标人排序。</w:t>
            </w:r>
          </w:p>
          <w:p w14:paraId="0F4F312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（3）投标报价中减少实体材料消耗量指标的，符合计量计价规范或实际情况。</w:t>
            </w:r>
          </w:p>
        </w:tc>
      </w:tr>
      <w:tr w14:paraId="23AC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4FA4F5F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5ED104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3453414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报价规范性评审</w:t>
            </w:r>
          </w:p>
        </w:tc>
        <w:tc>
          <w:tcPr>
            <w:tcW w:w="3047" w:type="pct"/>
            <w:noWrap w:val="0"/>
            <w:tcMar>
              <w:left w:w="75" w:type="dxa"/>
            </w:tcMar>
            <w:vAlign w:val="center"/>
          </w:tcPr>
          <w:p w14:paraId="1410F18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已标价的工程量清单报价书“分部分项工程量清单综合单价分析表”中的综合单价、主要材料价格、人工费（含工日数量及工日单价）、机械费，“措施项目清单与计价表”中的措施费及“不可竞争项目清单与计价表”的不可竞争费等进行规范性评审，对明显相互冲突或不合理的，或未按照工程量清单计价规范要求计价的，可否决其投标（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“分部分项工程量清单综合单价分析表”中的综合单价低于主材价格等情况）。</w:t>
            </w:r>
          </w:p>
        </w:tc>
      </w:tr>
      <w:tr w14:paraId="449D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35A3EBC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2DFB251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7D22138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不平衡报价评审</w:t>
            </w:r>
          </w:p>
        </w:tc>
        <w:tc>
          <w:tcPr>
            <w:tcW w:w="3047" w:type="pct"/>
            <w:noWrap w:val="0"/>
            <w:tcMar>
              <w:left w:w="75" w:type="dxa"/>
            </w:tcMar>
            <w:vAlign w:val="center"/>
          </w:tcPr>
          <w:p w14:paraId="7A0F0D5D">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对已标价工程量清单中</w:t>
            </w:r>
            <w:r>
              <w:rPr>
                <w:rFonts w:hint="eastAsia" w:ascii="Times New Roman" w:hAnsi="Times New Roman"/>
                <w:smallCaps w:val="0"/>
                <w:color w:val="000000" w:themeColor="text1"/>
                <w:highlight w:val="none"/>
                <w14:textFill>
                  <w14:solidFill>
                    <w14:schemeClr w14:val="tx1"/>
                  </w14:solidFill>
                </w14:textFill>
              </w:rPr>
              <w:t>“单位工程报价金额”</w:t>
            </w:r>
            <w:r>
              <w:rPr>
                <w:rFonts w:hint="eastAsia" w:ascii="Times New Roman" w:hAnsi="Times New Roman"/>
                <w:smallCaps w:val="0"/>
                <w:color w:val="000000" w:themeColor="text1"/>
                <w:highlight w:val="none"/>
                <w14:textFill>
                  <w14:solidFill>
                    <w14:schemeClr w14:val="tx1"/>
                  </w14:solidFill>
                </w14:textFill>
              </w:rPr>
              <w:t>高于最高投标限价对应金额的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5%～10%</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由招标人根据项目投资情况在范围中选择可允许的偏差比例，可选范围5%～10%，整数百分比</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或低于最高投标限价对应“单位工程最高投标限价金额”的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20%～55%</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由招标人根据项目投资情况在范围中选择可允许的偏差比例，可选范围20%～55%，整数百分比</w:t>
            </w:r>
            <w:r>
              <w:rPr>
                <w:rFonts w:hint="eastAsia" w:ascii="Times New Roman" w:hAnsi="Times New Roman"/>
                <w:smallCaps w:val="0"/>
                <w:color w:val="000000" w:themeColor="text1"/>
                <w:highlight w:val="none"/>
                <w:lang w:eastAsia="zh-CN"/>
                <w14:textFill>
                  <w14:solidFill>
                    <w14:schemeClr w14:val="tx1"/>
                  </w14:solidFill>
                </w14:textFill>
              </w:rPr>
              <w:t>）</w:t>
            </w:r>
            <w:r>
              <w:rPr>
                <w:rStyle w:val="28"/>
                <w:rFonts w:hint="eastAsia" w:ascii="Times New Roman" w:hAnsi="Times New Roman" w:cs="宋体"/>
                <w:smallCaps w:val="0"/>
                <w:color w:val="000000" w:themeColor="text1"/>
                <w:szCs w:val="21"/>
                <w:highlight w:val="none"/>
                <w:u w:val="none"/>
                <w14:textFill>
                  <w14:solidFill>
                    <w14:schemeClr w14:val="tx1"/>
                  </w14:solidFill>
                </w14:textFill>
              </w:rPr>
              <w:footnoteReference w:id="50"/>
            </w:r>
          </w:p>
          <w:p w14:paraId="6424C0BA">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项目各单位工程价格信息如下表：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254"/>
              <w:gridCol w:w="1255"/>
              <w:gridCol w:w="1255"/>
            </w:tblGrid>
            <w:tr w14:paraId="7F12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10C3BA7D">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单位工程名称</w:t>
                  </w:r>
                </w:p>
              </w:tc>
              <w:tc>
                <w:tcPr>
                  <w:tcW w:w="1254" w:type="dxa"/>
                  <w:vAlign w:val="center"/>
                </w:tcPr>
                <w:p w14:paraId="748EA79E">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最高投标限价明细</w:t>
                  </w:r>
                </w:p>
                <w:p w14:paraId="759EDCF0">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（元）</w:t>
                  </w:r>
                </w:p>
              </w:tc>
              <w:tc>
                <w:tcPr>
                  <w:tcW w:w="1255" w:type="dxa"/>
                  <w:vAlign w:val="center"/>
                </w:tcPr>
                <w:p w14:paraId="472D7CC0">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上指标</w:t>
                  </w:r>
                </w:p>
                <w:p w14:paraId="357033B1">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（元）</w:t>
                  </w:r>
                </w:p>
              </w:tc>
              <w:tc>
                <w:tcPr>
                  <w:tcW w:w="1255" w:type="dxa"/>
                  <w:vAlign w:val="center"/>
                </w:tcPr>
                <w:p w14:paraId="3A5DEE28">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下指标</w:t>
                  </w:r>
                </w:p>
                <w:p w14:paraId="2D602646">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（元）</w:t>
                  </w:r>
                </w:p>
              </w:tc>
            </w:tr>
            <w:tr w14:paraId="58B7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2742FB17">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w:t>
                  </w:r>
                </w:p>
              </w:tc>
              <w:tc>
                <w:tcPr>
                  <w:tcW w:w="1254" w:type="dxa"/>
                  <w:vAlign w:val="center"/>
                </w:tcPr>
                <w:p w14:paraId="27E09020">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388E03E4">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1EC309EF">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r>
            <w:tr w14:paraId="5ECC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2F1B1445">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w:t>
                  </w:r>
                </w:p>
              </w:tc>
              <w:tc>
                <w:tcPr>
                  <w:tcW w:w="1254" w:type="dxa"/>
                  <w:vAlign w:val="center"/>
                </w:tcPr>
                <w:p w14:paraId="0E8C9B8E">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3FA24CAE">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2F53C435">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r>
            <w:tr w14:paraId="2BBB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71E01E2F">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w:t>
                  </w:r>
                </w:p>
              </w:tc>
              <w:tc>
                <w:tcPr>
                  <w:tcW w:w="1254" w:type="dxa"/>
                  <w:vAlign w:val="center"/>
                </w:tcPr>
                <w:p w14:paraId="18E48AA8">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2DD99EAF">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186AE6A9">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r>
          </w:tbl>
          <w:p w14:paraId="099DD20F">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p>
          <w:p w14:paraId="5AE53E1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对报价金额</w:t>
            </w:r>
            <w:r>
              <w:rPr>
                <w:rFonts w:hint="eastAsia" w:ascii="Times New Roman" w:hAnsi="Times New Roman" w:cs="Times New Roman"/>
                <w:bCs w:val="0"/>
                <w:smallCaps w:val="0"/>
                <w:snapToGrid/>
                <w:color w:val="000000" w:themeColor="text1"/>
                <w:kern w:val="2"/>
                <w:sz w:val="21"/>
                <w:szCs w:val="21"/>
                <w:highlight w:val="none"/>
                <w:lang w:val="en-US" w:eastAsia="zh-CN" w:bidi="ar-SA"/>
                <w14:textFill>
                  <w14:solidFill>
                    <w14:schemeClr w14:val="tx1"/>
                  </w14:solidFill>
                </w14:textFill>
              </w:rPr>
              <w:t>超出</w:t>
            </w: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上述指标的投标人，评标委员会需要对其报价合理性与诚信履约能力进行研判。评标委员会应当要求相关投标人在评审现场合理的时间内（30分钟）提供书面说明及必要的证明材料，对投标价格作出解释。书面说明、证明材料主要是项目具体成本测算等与报价合理性相关的说明、材料。</w:t>
            </w:r>
          </w:p>
          <w:p w14:paraId="3A917E36">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评审委员会应当结合同类项目成交价格、该行业当地薪资水平等情况，依据专业经验对报价合理性进行判断。如果投标人不提供书面说明、证明材料，或者提供的书面说明、证明材料不能证明其报价合理性的，应当将认定为恶意不平衡报价，否决其投标。</w:t>
            </w:r>
          </w:p>
          <w:p w14:paraId="781AF6E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审查相关情况应当在评审报告中记录。</w:t>
            </w:r>
          </w:p>
        </w:tc>
      </w:tr>
      <w:tr w14:paraId="05C9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7174AC0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51705E2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5A1F137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需评审人工和主要材料一览表评审（如有）</w:t>
            </w:r>
          </w:p>
        </w:tc>
        <w:tc>
          <w:tcPr>
            <w:tcW w:w="3047" w:type="pct"/>
            <w:noWrap w:val="0"/>
            <w:tcMar>
              <w:left w:w="75" w:type="dxa"/>
            </w:tcMar>
            <w:vAlign w:val="center"/>
          </w:tcPr>
          <w:p w14:paraId="4DC3E57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投标人应响应招标人《可调整价差人工和主要材料一览表》的内容；对于招标人发放的《可调整价差人工和主要材料一览表》中第1列（序号）、第2列（名称、规格 、型号）、第3列（计量单位）、第4列（数量）内容不得修改，不得增删或改变顺序。投标人在投标报价时，其人工费工日单价不得低于工程所在地政府发布的最低工资标准折算的工日单价。</w:t>
            </w:r>
          </w:p>
        </w:tc>
      </w:tr>
      <w:tr w14:paraId="6601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noWrap w:val="0"/>
            <w:vAlign w:val="center"/>
          </w:tcPr>
          <w:p w14:paraId="56BAF13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05B27B9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1853280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其他情形</w:t>
            </w:r>
          </w:p>
        </w:tc>
        <w:tc>
          <w:tcPr>
            <w:tcW w:w="3047" w:type="pct"/>
            <w:noWrap w:val="0"/>
            <w:tcMar>
              <w:left w:w="75" w:type="dxa"/>
            </w:tcMar>
            <w:vAlign w:val="center"/>
          </w:tcPr>
          <w:p w14:paraId="2123B25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（1）清标结果未显示投标人的投标文件存在以下情形之一</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63457B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①不同投标人的投标文件存在异常一致的情形；</w:t>
            </w:r>
          </w:p>
          <w:p w14:paraId="3FEDE6B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②投标报价呈规律性差异等招投标相关法律法规明确规定为串通投标的情形；</w:t>
            </w:r>
          </w:p>
          <w:p w14:paraId="5877272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③弄虚作假的情形；</w:t>
            </w:r>
          </w:p>
          <w:p w14:paraId="35C07B5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④有其他违法行为的情形。</w:t>
            </w:r>
          </w:p>
          <w:p w14:paraId="3C62BAB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（2）项目评审中，多家投标人投标报价规律性集中出现在高价区域，明显与近期类似项目报价情况不一致，以致影响正常评审的，评标委员会应确定项目投标报价明显缺乏竞争性，宣布流标，同时将异常报价报</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w:t>
            </w:r>
          </w:p>
          <w:p w14:paraId="5677488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（3）投标文件中不得存在招标人不能接受的其他实质性条件。</w:t>
            </w:r>
          </w:p>
          <w:p w14:paraId="5FBA5F2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（4）法律、法规规定的其他情形。</w:t>
            </w:r>
          </w:p>
        </w:tc>
      </w:tr>
    </w:tbl>
    <w:p w14:paraId="16FCA04E">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bookmarkStart w:id="576" w:name="_Toc18219"/>
      <w:bookmarkStart w:id="577" w:name="_Toc6013"/>
      <w:bookmarkStart w:id="578" w:name="_Toc12854"/>
      <w:bookmarkStart w:id="579" w:name="_Toc15087"/>
      <w:bookmarkStart w:id="580" w:name="_Toc16281"/>
      <w:bookmarkStart w:id="581" w:name="_Toc130919095"/>
      <w:bookmarkStart w:id="582" w:name="_Toc1190"/>
      <w:bookmarkStart w:id="583" w:name="_Toc21819"/>
      <w:bookmarkStart w:id="584" w:name="_Toc31962"/>
      <w:bookmarkStart w:id="585" w:name="_Toc124283241"/>
      <w:bookmarkStart w:id="586" w:name="_Toc10795"/>
      <w:bookmarkStart w:id="587" w:name="_Toc28223"/>
    </w:p>
    <w:p w14:paraId="3534E44A">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r>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br w:type="page"/>
      </w:r>
    </w:p>
    <w:p w14:paraId="40849864">
      <w:pPr>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r>
        <w:rPr>
          <w:rStyle w:val="39"/>
          <w:rFonts w:hint="eastAsia" w:ascii="Times New Roman" w:hAnsi="Times New Roman" w:eastAsia="黑体"/>
          <w:smallCaps w:val="0"/>
          <w:color w:val="000000" w:themeColor="text1"/>
          <w:highlight w:val="none"/>
          <w:lang w:val="en-US" w:eastAsia="zh-CN"/>
          <w14:textFill>
            <w14:solidFill>
              <w14:schemeClr w14:val="tx1"/>
            </w14:solidFill>
          </w14:textFill>
        </w:rPr>
        <w:t>异常低价</w:t>
      </w:r>
      <w:r>
        <w:rPr>
          <w:rStyle w:val="39"/>
          <w:rFonts w:hint="eastAsia" w:ascii="Times New Roman" w:hAnsi="Times New Roman"/>
          <w:smallCaps w:val="0"/>
          <w:color w:val="000000" w:themeColor="text1"/>
          <w:highlight w:val="none"/>
          <w14:textFill>
            <w14:solidFill>
              <w14:schemeClr w14:val="tx1"/>
            </w14:solidFill>
          </w14:textFill>
        </w:rPr>
        <w:t>评审标准</w:t>
      </w:r>
    </w:p>
    <w:p w14:paraId="06E27D8F">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tbl>
      <w:tblPr>
        <w:tblStyle w:val="23"/>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7576"/>
      </w:tblGrid>
      <w:tr w14:paraId="58A1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blHeader/>
          <w:jc w:val="center"/>
        </w:trPr>
        <w:tc>
          <w:tcPr>
            <w:tcW w:w="1274" w:type="dxa"/>
            <w:shd w:val="clear" w:color="auto" w:fill="D7D7D7"/>
            <w:noWrap w:val="0"/>
            <w:vAlign w:val="center"/>
          </w:tcPr>
          <w:p w14:paraId="6CDE4D8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b/>
                <w:bCs/>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b/>
                <w:bCs/>
                <w:smallCaps w:val="0"/>
                <w:snapToGrid w:val="0"/>
                <w:color w:val="000000" w:themeColor="text1"/>
                <w:sz w:val="21"/>
                <w:szCs w:val="21"/>
                <w:highlight w:val="none"/>
                <w:vertAlign w:val="baseline"/>
                <w:lang w:val="en-US" w:eastAsia="zh-CN"/>
                <w14:textFill>
                  <w14:solidFill>
                    <w14:schemeClr w14:val="tx1"/>
                  </w14:solidFill>
                </w14:textFill>
              </w:rPr>
              <w:t>评审因素</w:t>
            </w:r>
          </w:p>
        </w:tc>
        <w:tc>
          <w:tcPr>
            <w:tcW w:w="7576" w:type="dxa"/>
            <w:shd w:val="clear" w:color="auto" w:fill="D7D7D7"/>
            <w:noWrap w:val="0"/>
            <w:vAlign w:val="center"/>
          </w:tcPr>
          <w:p w14:paraId="33AAABE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b/>
                <w:bCs/>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b/>
                <w:bCs/>
                <w:smallCaps w:val="0"/>
                <w:snapToGrid w:val="0"/>
                <w:color w:val="000000" w:themeColor="text1"/>
                <w:sz w:val="21"/>
                <w:szCs w:val="21"/>
                <w:highlight w:val="none"/>
                <w:vertAlign w:val="baseline"/>
                <w:lang w:val="en-US" w:eastAsia="zh-CN"/>
                <w14:textFill>
                  <w14:solidFill>
                    <w14:schemeClr w14:val="tx1"/>
                  </w14:solidFill>
                </w14:textFill>
              </w:rPr>
              <w:t>评审标准</w:t>
            </w:r>
          </w:p>
        </w:tc>
      </w:tr>
      <w:tr w14:paraId="4DCC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 w:type="dxa"/>
            <w:noWrap w:val="0"/>
            <w:vAlign w:val="center"/>
          </w:tcPr>
          <w:p w14:paraId="573CCDB2">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snapToGrid w:val="0"/>
                <w:color w:val="000000" w:themeColor="text1"/>
                <w:sz w:val="21"/>
                <w:szCs w:val="18"/>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18"/>
                <w:highlight w:val="none"/>
                <w:vertAlign w:val="baseline"/>
                <w:lang w:val="en-US" w:eastAsia="zh-CN"/>
                <w14:textFill>
                  <w14:solidFill>
                    <w14:schemeClr w14:val="tx1"/>
                  </w14:solidFill>
                </w14:textFill>
              </w:rPr>
              <w:t>异常低价</w:t>
            </w:r>
          </w:p>
          <w:p w14:paraId="24BDC71C">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18"/>
                <w:highlight w:val="none"/>
                <w:vertAlign w:val="baseline"/>
                <w:lang w:val="en-US" w:eastAsia="zh-CN"/>
                <w14:textFill>
                  <w14:solidFill>
                    <w14:schemeClr w14:val="tx1"/>
                  </w14:solidFill>
                </w14:textFill>
              </w:rPr>
              <w:t>评审</w:t>
            </w:r>
          </w:p>
        </w:tc>
        <w:tc>
          <w:tcPr>
            <w:tcW w:w="7576" w:type="dxa"/>
            <w:noWrap w:val="0"/>
            <w:vAlign w:val="top"/>
          </w:tcPr>
          <w:p w14:paraId="4D919BE6">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smallCap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smallCaps w:val="0"/>
                <w:color w:val="000000" w:themeColor="text1"/>
                <w:sz w:val="21"/>
                <w:szCs w:val="21"/>
                <w:highlight w:val="none"/>
                <w:u w:val="none"/>
                <w:lang w:val="en-US" w:eastAsia="zh-CN"/>
                <w14:textFill>
                  <w14:solidFill>
                    <w14:schemeClr w14:val="tx1"/>
                  </w14:solidFill>
                </w14:textFill>
              </w:rPr>
              <w:t>通过“商务及技术文件初步评审”以及“报价文件初步评审”的单位进入此评审环节。</w:t>
            </w:r>
          </w:p>
          <w:p w14:paraId="3BC1692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w:t>
            </w:r>
            <w:r>
              <w:rPr>
                <w:rFonts w:hint="eastAsia" w:ascii="宋体" w:hAnsi="宋体" w:eastAsia="宋体" w:cs="宋体"/>
                <w:smallCaps w:val="0"/>
                <w:color w:val="000000" w:themeColor="text1"/>
                <w:highlight w:val="none"/>
                <w:lang w:val="en-US" w:eastAsia="zh-CN"/>
                <w14:textFill>
                  <w14:solidFill>
                    <w14:schemeClr w14:val="tx1"/>
                  </w14:solidFill>
                </w14:textFill>
              </w:rPr>
              <w:t>1</w:t>
            </w:r>
            <w:r>
              <w:rPr>
                <w:rFonts w:hint="eastAsia" w:ascii="宋体" w:hAnsi="宋体" w:eastAsia="宋体" w:cs="宋体"/>
                <w:smallCaps w:val="0"/>
                <w:color w:val="000000" w:themeColor="text1"/>
                <w:highlight w:val="none"/>
                <w14:textFill>
                  <w14:solidFill>
                    <w14:schemeClr w14:val="tx1"/>
                  </w14:solidFill>
                </w14:textFill>
              </w:rPr>
              <w:t>）</w:t>
            </w:r>
            <w:r>
              <w:rPr>
                <w:rFonts w:hint="eastAsia" w:ascii="宋体" w:hAnsi="宋体" w:eastAsia="宋体" w:cs="宋体"/>
                <w:smallCaps w:val="0"/>
                <w:color w:val="000000" w:themeColor="text1"/>
                <w:highlight w:val="none"/>
                <w14:textFill>
                  <w14:solidFill>
                    <w14:schemeClr w14:val="tx1"/>
                  </w14:solidFill>
                </w14:textFill>
              </w:rPr>
              <w:t>异常低价评审具体要求如下</w:t>
            </w:r>
            <w:r>
              <w:rPr>
                <w:rFonts w:hint="eastAsia" w:ascii="宋体" w:hAnsi="宋体" w:eastAsia="宋体" w:cs="宋体"/>
                <w:smallCaps w:val="0"/>
                <w:color w:val="000000" w:themeColor="text1"/>
                <w:highlight w:val="none"/>
                <w:u w:val="none"/>
                <w:lang w:eastAsia="zh-CN"/>
                <w14:textFill>
                  <w14:solidFill>
                    <w14:schemeClr w14:val="tx1"/>
                  </w14:solidFill>
                </w14:textFill>
              </w:rPr>
              <w:t>：</w:t>
            </w:r>
          </w:p>
          <w:p w14:paraId="337BCCF2">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投标报价同时满足以下两项判定指标的视为异常低价，评标委员会将进行异常低价评审</w:t>
            </w:r>
            <w:r>
              <w:rPr>
                <w:rFonts w:hint="eastAsia" w:ascii="宋体" w:hAnsi="宋体" w:eastAsia="宋体" w:cs="宋体"/>
                <w:smallCaps w:val="0"/>
                <w:color w:val="000000" w:themeColor="text1"/>
                <w:highlight w:val="none"/>
                <w:lang w:eastAsia="zh-CN"/>
                <w14:textFill>
                  <w14:solidFill>
                    <w14:schemeClr w14:val="tx1"/>
                  </w14:solidFill>
                </w14:textFill>
              </w:rPr>
              <w:t>。</w:t>
            </w:r>
          </w:p>
          <w:p w14:paraId="7E7CCBF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条件一：投标报价低于最高投标限价的异常低价规定指标（见评标办法前附表）。</w:t>
            </w:r>
          </w:p>
          <w:p w14:paraId="62D0917D">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snapToGrid w:val="0"/>
                <w:color w:val="000000" w:themeColor="text1"/>
                <w:highlight w:val="none"/>
                <w14:textFill>
                  <w14:solidFill>
                    <w14:schemeClr w14:val="tx1"/>
                  </w14:solidFill>
                </w14:textFill>
              </w:rPr>
            </w:pPr>
            <w:r>
              <w:rPr>
                <w:rFonts w:hint="eastAsia" w:ascii="Times New Roman" w:hAnsi="Times New Roman"/>
                <w:smallCaps w:val="0"/>
                <w:snapToGrid w:val="0"/>
                <w:color w:val="000000" w:themeColor="text1"/>
                <w:highlight w:val="none"/>
                <w:lang w:val="en-US" w:eastAsia="zh-CN"/>
                <w14:textFill>
                  <w14:solidFill>
                    <w14:schemeClr w14:val="tx1"/>
                  </w14:solidFill>
                </w14:textFill>
              </w:rPr>
              <w:t>百分比</w:t>
            </w:r>
            <w:r>
              <w:rPr>
                <w:rFonts w:hint="eastAsia" w:ascii="Times New Roman" w:hAnsi="Times New Roman"/>
                <w:smallCaps w:val="0"/>
                <w:snapToGrid w:val="0"/>
                <w:color w:val="000000" w:themeColor="text1"/>
                <w:highlight w:val="none"/>
                <w14:textFill>
                  <w14:solidFill>
                    <w14:schemeClr w14:val="tx1"/>
                  </w14:solidFill>
                </w14:textFill>
              </w:rPr>
              <w:t>计算方式：按照以下公式代入计算，排除暂列金额</w:t>
            </w:r>
            <w:r>
              <w:rPr>
                <w:rFonts w:hint="eastAsia" w:ascii="Times New Roman" w:hAnsi="Times New Roman"/>
                <w:smallCaps w:val="0"/>
                <w:snapToGrid w:val="0"/>
                <w:color w:val="000000" w:themeColor="text1"/>
                <w:highlight w:val="none"/>
                <w:lang w:eastAsia="zh-CN"/>
                <w14:textFill>
                  <w14:solidFill>
                    <w14:schemeClr w14:val="tx1"/>
                  </w14:solidFill>
                </w14:textFill>
              </w:rPr>
              <w:t>（</w:t>
            </w:r>
            <w:r>
              <w:rPr>
                <w:rFonts w:hint="eastAsia" w:ascii="Times New Roman" w:hAnsi="Times New Roman"/>
                <w:smallCaps w:val="0"/>
                <w:snapToGrid w:val="0"/>
                <w:color w:val="000000" w:themeColor="text1"/>
                <w:highlight w:val="none"/>
                <w:lang w:val="en-US" w:eastAsia="zh-CN"/>
                <w14:textFill>
                  <w14:solidFill>
                    <w14:schemeClr w14:val="tx1"/>
                  </w14:solidFill>
                </w14:textFill>
              </w:rPr>
              <w:t>如有</w:t>
            </w:r>
            <w:r>
              <w:rPr>
                <w:rFonts w:hint="eastAsia" w:ascii="Times New Roman" w:hAnsi="Times New Roman"/>
                <w:smallCaps w:val="0"/>
                <w:snapToGrid w:val="0"/>
                <w:color w:val="000000" w:themeColor="text1"/>
                <w:highlight w:val="none"/>
                <w:lang w:eastAsia="zh-CN"/>
                <w14:textFill>
                  <w14:solidFill>
                    <w14:schemeClr w14:val="tx1"/>
                  </w14:solidFill>
                </w14:textFill>
              </w:rPr>
              <w:t>）</w:t>
            </w:r>
            <w:r>
              <w:rPr>
                <w:rFonts w:hint="eastAsia" w:ascii="Times New Roman" w:hAnsi="Times New Roman"/>
                <w:smallCaps w:val="0"/>
                <w:snapToGrid w:val="0"/>
                <w:color w:val="000000" w:themeColor="text1"/>
                <w:highlight w:val="none"/>
                <w:lang w:val="en-US" w:eastAsia="zh-CN"/>
                <w14:textFill>
                  <w14:solidFill>
                    <w14:schemeClr w14:val="tx1"/>
                  </w14:solidFill>
                </w14:textFill>
              </w:rPr>
              <w:t>与暂估价（如有）</w:t>
            </w:r>
            <w:r>
              <w:rPr>
                <w:rFonts w:hint="eastAsia" w:ascii="Times New Roman" w:hAnsi="Times New Roman"/>
                <w:smallCaps w:val="0"/>
                <w:snapToGrid w:val="0"/>
                <w:color w:val="000000" w:themeColor="text1"/>
                <w:highlight w:val="none"/>
                <w14:textFill>
                  <w14:solidFill>
                    <w14:schemeClr w14:val="tx1"/>
                  </w14:solidFill>
                </w14:textFill>
              </w:rPr>
              <w:t>的影响。</w:t>
            </w:r>
          </w:p>
          <w:p w14:paraId="11700B5C">
            <w:pPr>
              <w:pStyle w:val="41"/>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360" w:lineRule="auto"/>
              <w:ind w:left="0" w:right="0"/>
              <w:jc w:val="center"/>
              <w:textAlignment w:val="auto"/>
              <w:rPr>
                <w:rFonts w:hint="default" w:ascii="Times New Roman" w:hAnsi="Times New Roman" w:eastAsia="宋体"/>
                <w:smallCaps w:val="0"/>
                <w:snapToGrid w:val="0"/>
                <w:color w:val="000000" w:themeColor="text1"/>
                <w:highlight w:val="no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lang w:val="en-US" w:eastAsia="zh-CN"/>
                <w14:textFill>
                  <w14:solidFill>
                    <w14:schemeClr w14:val="tx1"/>
                  </w14:solidFill>
                </w14:textFill>
              </w:rPr>
              <w:t xml:space="preserve">百分比= </w:t>
            </w:r>
            <m:oMath>
              <m:f>
                <m:fPr>
                  <m:ctrlPr>
                    <w:rPr>
                      <w:rFonts w:hint="default" w:ascii="Cambria Math" w:hAnsi="Cambria Math"/>
                      <w:i/>
                      <w:smallCaps w:val="0"/>
                      <w:snapToGrid w:val="0"/>
                      <w:color w:val="000000" w:themeColor="text1"/>
                      <w:sz w:val="28"/>
                      <w:szCs w:val="28"/>
                      <w:highlight w:val="none"/>
                      <w:lang w:val="en-US"/>
                      <w14:textFill>
                        <w14:solidFill>
                          <w14:schemeClr w14:val="tx1"/>
                        </w14:solidFill>
                      </w14:textFill>
                    </w:rPr>
                  </m:ctrlPr>
                </m:fPr>
                <m:num>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 xml:space="preserve">（投标报价 – 暂列金额 – </m:t>
                  </m:r>
                  <m:r>
                    <m:rPr>
                      <m:sty m:val="p"/>
                    </m:rPr>
                    <w:rPr>
                      <w:rFonts w:hint="eastAsia" w:ascii="Times New Roman" w:hAnsi="Times New Roman"/>
                      <w:smallCaps w:val="0"/>
                      <w:snapToGrid w:val="0"/>
                      <w:color w:val="000000" w:themeColor="text1"/>
                      <w:sz w:val="28"/>
                      <w:szCs w:val="28"/>
                      <w:highlight w:val="none"/>
                      <w:lang w:val="en-US" w:eastAsia="zh-CN"/>
                      <w14:textFill>
                        <w14:solidFill>
                          <w14:schemeClr w14:val="tx1"/>
                        </w14:solidFill>
                      </w14:textFill>
                    </w:rPr>
                    <m:t>暂估价</m:t>
                  </m:r>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m:t>
                  </m:r>
                  <m:ctrlPr>
                    <w:rPr>
                      <w:rFonts w:hint="default" w:ascii="Cambria Math" w:hAnsi="Cambria Math"/>
                      <w:i/>
                      <w:smallCaps w:val="0"/>
                      <w:snapToGrid w:val="0"/>
                      <w:color w:val="000000" w:themeColor="text1"/>
                      <w:sz w:val="28"/>
                      <w:szCs w:val="28"/>
                      <w:highlight w:val="none"/>
                      <w:lang w:val="en-US"/>
                      <w14:textFill>
                        <w14:solidFill>
                          <w14:schemeClr w14:val="tx1"/>
                        </w14:solidFill>
                      </w14:textFill>
                    </w:rPr>
                  </m:ctrlPr>
                </m:num>
                <m:den>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m:t>
                  </m:r>
                  <m:r>
                    <m:rPr>
                      <m:sty m:val="p"/>
                    </m:rPr>
                    <w:rPr>
                      <w:rFonts w:hint="eastAsia" w:ascii="Times New Roman" w:hAnsi="Times New Roman"/>
                      <w:smallCaps w:val="0"/>
                      <w:snapToGrid w:val="0"/>
                      <w:color w:val="000000" w:themeColor="text1"/>
                      <w:sz w:val="28"/>
                      <w:szCs w:val="28"/>
                      <w:highlight w:val="none"/>
                      <w:lang w:val="en-US" w:eastAsia="zh-CN"/>
                      <w14:textFill>
                        <w14:solidFill>
                          <w14:schemeClr w14:val="tx1"/>
                        </w14:solidFill>
                      </w14:textFill>
                    </w:rPr>
                    <m:t>最高投标限</m:t>
                  </m:r>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 xml:space="preserve">价 – 暂列金额 – </m:t>
                  </m:r>
                  <m:r>
                    <m:rPr>
                      <m:sty m:val="p"/>
                    </m:rPr>
                    <w:rPr>
                      <w:rFonts w:hint="eastAsia" w:ascii="Times New Roman" w:hAnsi="Times New Roman"/>
                      <w:smallCaps w:val="0"/>
                      <w:snapToGrid w:val="0"/>
                      <w:color w:val="000000" w:themeColor="text1"/>
                      <w:sz w:val="28"/>
                      <w:szCs w:val="28"/>
                      <w:highlight w:val="none"/>
                      <w:lang w:val="en-US" w:eastAsia="zh-CN"/>
                      <w14:textFill>
                        <w14:solidFill>
                          <w14:schemeClr w14:val="tx1"/>
                        </w14:solidFill>
                      </w14:textFill>
                    </w:rPr>
                    <m:t>暂估价</m:t>
                  </m:r>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m:t>
                  </m:r>
                  <m:ctrlPr>
                    <w:rPr>
                      <w:rFonts w:hint="default" w:ascii="Cambria Math" w:hAnsi="Cambria Math"/>
                      <w:i/>
                      <w:smallCaps w:val="0"/>
                      <w:snapToGrid w:val="0"/>
                      <w:color w:val="000000" w:themeColor="text1"/>
                      <w:sz w:val="28"/>
                      <w:szCs w:val="28"/>
                      <w:highlight w:val="none"/>
                      <w:lang w:val="en-US"/>
                      <w14:textFill>
                        <w14:solidFill>
                          <w14:schemeClr w14:val="tx1"/>
                        </w14:solidFill>
                      </w14:textFill>
                    </w:rPr>
                  </m:ctrlPr>
                </m:den>
              </m:f>
            </m:oMath>
            <w:r>
              <w:rPr>
                <w:rFonts w:hint="eastAsia" w:hAnsi="Cambria Math"/>
                <w:i w:val="0"/>
                <w:smallCaps w:val="0"/>
                <w:snapToGrid w:val="0"/>
                <w:color w:val="000000" w:themeColor="text1"/>
                <w:sz w:val="28"/>
                <w:szCs w:val="28"/>
                <w:highlight w:val="none"/>
                <w:lang w:val="en-US" w:eastAsia="zh-CN"/>
                <w14:textFill>
                  <w14:solidFill>
                    <w14:schemeClr w14:val="tx1"/>
                  </w14:solidFill>
                </w14:textFill>
              </w:rPr>
              <w:t xml:space="preserve"> </w:t>
            </w:r>
            <w:r>
              <w:rPr>
                <w:rFonts w:hint="eastAsia" w:ascii="Times New Roman" w:hAnsi="Times New Roman"/>
                <w:smallCaps w:val="0"/>
                <w:snapToGrid w:val="0"/>
                <w:color w:val="000000" w:themeColor="text1"/>
                <w:highlight w:val="none"/>
                <w14:textFill>
                  <w14:solidFill>
                    <w14:schemeClr w14:val="tx1"/>
                  </w14:solidFill>
                </w14:textFill>
              </w:rPr>
              <w:t>× 100%</w:t>
            </w:r>
          </w:p>
          <w:p w14:paraId="667FE38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注：上述计算公式中的“最高投标限价”为建筑安装工程费</w:t>
            </w:r>
            <w:r>
              <w:rPr>
                <w:rFonts w:hint="eastAsia" w:ascii="Times New Roman" w:hAnsi="Times New Roman"/>
                <w:smallCaps w:val="0"/>
                <w:color w:val="000000" w:themeColor="text1"/>
                <w:highlight w:val="none"/>
                <w14:textFill>
                  <w14:solidFill>
                    <w14:schemeClr w14:val="tx1"/>
                  </w14:solidFill>
                </w14:textFill>
              </w:rPr>
              <w:t>最高投标限价</w:t>
            </w:r>
            <w:r>
              <w:rPr>
                <w:rFonts w:hint="eastAsia" w:ascii="Times New Roman" w:hAnsi="Times New Roman"/>
                <w:smallCaps w:val="0"/>
                <w:color w:val="000000" w:themeColor="text1"/>
                <w:highlight w:val="none"/>
                <w:lang w:val="en-US" w:eastAsia="zh-CN"/>
                <w14:textFill>
                  <w14:solidFill>
                    <w14:schemeClr w14:val="tx1"/>
                  </w14:solidFill>
                </w14:textFill>
              </w:rPr>
              <w:t>对应的金额。承包人范围的工程建设其他费最高投标限价（如有）不纳入计算。</w:t>
            </w:r>
          </w:p>
          <w:p w14:paraId="414A8333">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条件二：</w:t>
            </w:r>
            <w:r>
              <w:rPr>
                <w:rFonts w:hint="eastAsia"/>
                <w:color w:val="000000" w:themeColor="text1"/>
                <w:highlight w:val="none"/>
                <w:lang w:val="en-US" w:eastAsia="zh-CN"/>
                <w14:textFill>
                  <w14:solidFill>
                    <w14:schemeClr w14:val="tx1"/>
                  </w14:solidFill>
                </w14:textFill>
              </w:rPr>
              <w:t>进入“异常低价评审”阶段的全部单位的投标报价平均值为本工程的“有效投标报价平均值”，计算结果保留两位小数，第三位四舍五入。投标人的报价低于“有效投标报价平均值”10%以上（不含10%）。</w:t>
            </w:r>
          </w:p>
          <w:p w14:paraId="076A23E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低于有效投标报价平均值比例的计算方式 = （1-</w:t>
            </w:r>
            <m:oMath>
              <m:r>
                <m:rPr>
                  <m:sty m:val="p"/>
                </m:rPr>
                <w:rPr>
                  <w:rFonts w:hint="eastAsia" w:ascii="Cambria Math" w:hAnsi="Cambria Math" w:eastAsia="宋体" w:cs="宋体"/>
                  <w:snapToGrid w:val="0"/>
                  <w:color w:val="000000" w:themeColor="text1"/>
                  <w:sz w:val="21"/>
                  <w:szCs w:val="21"/>
                  <w:highlight w:val="none"/>
                  <w:lang w:val="en-US" w:eastAsia="zh-CN"/>
                  <w14:textFill>
                    <w14:solidFill>
                      <w14:schemeClr w14:val="tx1"/>
                    </w14:solidFill>
                  </w14:textFill>
                </w:rPr>
                <m:t xml:space="preserve"> </m:t>
              </m:r>
              <m:f>
                <m:fPr>
                  <m:ctrlPr>
                    <w:rPr>
                      <w:rFonts w:hint="eastAsia" w:ascii="Cambria Math" w:hAnsi="Cambria Math" w:eastAsia="宋体" w:cs="宋体"/>
                      <w:i w:val="0"/>
                      <w:iCs/>
                      <w:snapToGrid w:val="0"/>
                      <w:color w:val="000000" w:themeColor="text1"/>
                      <w:sz w:val="21"/>
                      <w:szCs w:val="21"/>
                      <w:highlight w:val="none"/>
                      <w:lang w:val="en-US"/>
                      <w14:textFill>
                        <w14:solidFill>
                          <w14:schemeClr w14:val="tx1"/>
                        </w14:solidFill>
                      </w14:textFill>
                    </w:rPr>
                  </m:ctrlPr>
                </m:fPr>
                <m:num>
                  <m:r>
                    <m:rPr>
                      <m:sty m:val="p"/>
                    </m:rPr>
                    <w:rPr>
                      <w:rFonts w:hint="eastAsia" w:ascii="Cambria Math" w:hAnsi="Cambria Math" w:eastAsia="宋体" w:cs="宋体"/>
                      <w:snapToGrid w:val="0"/>
                      <w:color w:val="000000" w:themeColor="text1"/>
                      <w:sz w:val="21"/>
                      <w:szCs w:val="21"/>
                      <w:highlight w:val="none"/>
                      <w:lang w:val="en-US" w:eastAsia="zh-CN"/>
                      <w14:textFill>
                        <w14:solidFill>
                          <w14:schemeClr w14:val="tx1"/>
                        </w14:solidFill>
                      </w14:textFill>
                    </w:rPr>
                    <m:t>投标报价</m:t>
                  </m:r>
                  <m:ctrlPr>
                    <w:rPr>
                      <w:rFonts w:hint="eastAsia" w:ascii="Cambria Math" w:hAnsi="Cambria Math" w:eastAsia="宋体" w:cs="宋体"/>
                      <w:i w:val="0"/>
                      <w:iCs/>
                      <w:snapToGrid w:val="0"/>
                      <w:color w:val="000000" w:themeColor="text1"/>
                      <w:sz w:val="21"/>
                      <w:szCs w:val="21"/>
                      <w:highlight w:val="none"/>
                      <w:lang w:val="en-US"/>
                      <w14:textFill>
                        <w14:solidFill>
                          <w14:schemeClr w14:val="tx1"/>
                        </w14:solidFill>
                      </w14:textFill>
                    </w:rPr>
                  </m:ctrlPr>
                </m:num>
                <m:den>
                  <m:r>
                    <m:rPr>
                      <m:sty m:val="p"/>
                    </m:rPr>
                    <w:rPr>
                      <w:rFonts w:hint="eastAsia" w:ascii="Cambria Math" w:hAnsi="Cambria Math" w:eastAsia="宋体" w:cs="宋体"/>
                      <w:snapToGrid w:val="0"/>
                      <w:color w:val="000000" w:themeColor="text1"/>
                      <w:sz w:val="21"/>
                      <w:szCs w:val="21"/>
                      <w:highlight w:val="none"/>
                      <w:lang w:val="en-US" w:eastAsia="zh-CN"/>
                      <w14:textFill>
                        <w14:solidFill>
                          <w14:schemeClr w14:val="tx1"/>
                        </w14:solidFill>
                      </w14:textFill>
                    </w:rPr>
                    <m:t>有效投标报价平均值</m:t>
                  </m:r>
                  <m:ctrlPr>
                    <w:rPr>
                      <w:rFonts w:hint="eastAsia" w:ascii="Cambria Math" w:hAnsi="Cambria Math" w:eastAsia="宋体" w:cs="宋体"/>
                      <w:i w:val="0"/>
                      <w:iCs/>
                      <w:snapToGrid w:val="0"/>
                      <w:color w:val="000000" w:themeColor="text1"/>
                      <w:sz w:val="21"/>
                      <w:szCs w:val="21"/>
                      <w:highlight w:val="none"/>
                      <w:lang w:val="en-US"/>
                      <w14:textFill>
                        <w14:solidFill>
                          <w14:schemeClr w14:val="tx1"/>
                        </w14:solidFill>
                      </w14:textFill>
                    </w:rPr>
                  </m:ctrlPr>
                </m:den>
              </m:f>
            </m:oMath>
            <w:r>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t xml:space="preserve"> ×100%  </w:t>
            </w:r>
          </w:p>
          <w:p w14:paraId="6CE282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t>注：计算结果采用精确值，不适用四舍五入。</w:t>
            </w:r>
          </w:p>
          <w:p w14:paraId="1C0CA0E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例：经计算有效投标报价平均值为1000万元，某投标单位的报价为895.87万元。带入计算得该投标人的投标报价低于有效投标报价平均值10.413%，高于10%，符合判定条件二。</w:t>
            </w:r>
          </w:p>
          <w:p w14:paraId="06D212A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val="en-US"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（2）证明材料要求</w:t>
            </w:r>
            <w:r>
              <w:rPr>
                <w:rFonts w:hint="eastAsia" w:ascii="宋体" w:hAnsi="宋体" w:eastAsia="宋体" w:cs="宋体"/>
                <w:smallCaps w:val="0"/>
                <w:color w:val="000000" w:themeColor="text1"/>
                <w:highlight w:val="none"/>
                <w:u w:val="none"/>
                <w:lang w:eastAsia="zh-CN"/>
                <w14:textFill>
                  <w14:solidFill>
                    <w14:schemeClr w14:val="tx1"/>
                  </w14:solidFill>
                </w14:textFill>
              </w:rPr>
              <w:t>：</w:t>
            </w:r>
            <w:r>
              <w:rPr>
                <w:rFonts w:hint="eastAsia" w:ascii="宋体" w:hAnsi="宋体" w:eastAsia="宋体" w:cs="宋体"/>
                <w:smallCaps w:val="0"/>
                <w:color w:val="000000" w:themeColor="text1"/>
                <w:highlight w:val="none"/>
                <w14:textFill>
                  <w14:solidFill>
                    <w14:schemeClr w14:val="tx1"/>
                  </w14:solidFill>
                </w14:textFill>
              </w:rPr>
              <w:t>投标人填报的单位工程投标报价金额低于该招标项目最高投标限价中对应单位工程最高投标限价金额规定比例（见评标办法前附表异常低价规定指标）的，</w:t>
            </w:r>
            <w:r>
              <w:rPr>
                <w:rFonts w:hint="eastAsia" w:ascii="宋体" w:hAnsi="宋体" w:eastAsia="宋体" w:cs="宋体"/>
                <w:smallCaps w:val="0"/>
                <w:color w:val="000000" w:themeColor="text1"/>
                <w:highlight w:val="none"/>
                <w:lang w:val="en-US" w:eastAsia="zh-CN"/>
                <w14:textFill>
                  <w14:solidFill>
                    <w14:schemeClr w14:val="tx1"/>
                  </w14:solidFill>
                </w14:textFill>
              </w:rPr>
              <w:t>应当自主准备报价说明材料与佐证文件。</w:t>
            </w:r>
          </w:p>
          <w:p w14:paraId="7602DC67">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（3）以下情形不得作为异常低价投标说明的依据</w:t>
            </w:r>
            <w:r>
              <w:rPr>
                <w:rFonts w:hint="eastAsia" w:ascii="宋体" w:hAnsi="宋体" w:eastAsia="宋体" w:cs="宋体"/>
                <w:smallCaps w:val="0"/>
                <w:color w:val="000000" w:themeColor="text1"/>
                <w:highlight w:val="none"/>
                <w:u w:val="none"/>
                <w:lang w:eastAsia="zh-CN"/>
                <w14:textFill>
                  <w14:solidFill>
                    <w14:schemeClr w14:val="tx1"/>
                  </w14:solidFill>
                </w14:textFill>
              </w:rPr>
              <w:t>：</w:t>
            </w:r>
          </w:p>
          <w:p w14:paraId="6DFF12F4">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①机械、材料自有或闲置；</w:t>
            </w:r>
          </w:p>
          <w:p w14:paraId="3F2969DB">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②自有弃土场土源或与邻近项目签订的土方倒运协议；</w:t>
            </w:r>
          </w:p>
          <w:p w14:paraId="72E7FEEE">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③人员闲置；</w:t>
            </w:r>
          </w:p>
          <w:p w14:paraId="1965478E">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④亏本让利；</w:t>
            </w:r>
          </w:p>
          <w:p w14:paraId="767C7B8D">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⑤企业市场拓展或品牌宣传；</w:t>
            </w:r>
          </w:p>
          <w:p w14:paraId="5487C0F9">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⑥降低或改变原设计方案、技术工艺、施工标准的；</w:t>
            </w:r>
          </w:p>
          <w:p w14:paraId="066AD486">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⑦类似项目业绩；</w:t>
            </w:r>
          </w:p>
          <w:p w14:paraId="7015E4A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⑧评标委员会认为不得作为降低投标报价依据的情形。</w:t>
            </w:r>
          </w:p>
          <w:p w14:paraId="1CA9E93C">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mallCaps w:val="0"/>
                <w:color w:val="000000" w:themeColor="text1"/>
                <w:sz w:val="21"/>
                <w:szCs w:val="21"/>
                <w:highlight w:val="none"/>
                <w:lang w:eastAsia="zh-CN"/>
                <w14:textFill>
                  <w14:solidFill>
                    <w14:schemeClr w14:val="tx1"/>
                  </w14:solidFill>
                </w14:textFill>
              </w:rPr>
            </w:pPr>
            <w:r>
              <w:rPr>
                <w:rFonts w:hint="eastAsia" w:ascii="宋体" w:hAnsi="宋体" w:eastAsia="宋体" w:cs="宋体"/>
                <w:smallCaps w:val="0"/>
                <w:color w:val="000000" w:themeColor="text1"/>
                <w:sz w:val="21"/>
                <w:szCs w:val="21"/>
                <w:highlight w:val="none"/>
                <w14:textFill>
                  <w14:solidFill>
                    <w14:schemeClr w14:val="tx1"/>
                  </w14:solidFill>
                </w14:textFill>
              </w:rPr>
              <w:t>（</w:t>
            </w:r>
            <w:r>
              <w:rPr>
                <w:rFonts w:hint="eastAsia" w:ascii="宋体" w:hAnsi="宋体" w:eastAsia="宋体" w:cs="宋体"/>
                <w:smallCap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smallCaps w:val="0"/>
                <w:color w:val="000000" w:themeColor="text1"/>
                <w:sz w:val="21"/>
                <w:szCs w:val="21"/>
                <w:highlight w:val="none"/>
                <w14:textFill>
                  <w14:solidFill>
                    <w14:schemeClr w14:val="tx1"/>
                  </w14:solidFill>
                </w14:textFill>
              </w:rPr>
              <w:t>）以下情形</w:t>
            </w:r>
            <w:r>
              <w:rPr>
                <w:rFonts w:hint="eastAsia" w:ascii="宋体" w:hAnsi="宋体" w:eastAsia="宋体" w:cs="宋体"/>
                <w:smallCaps w:val="0"/>
                <w:color w:val="000000" w:themeColor="text1"/>
                <w:sz w:val="21"/>
                <w:szCs w:val="21"/>
                <w:highlight w:val="none"/>
                <w:lang w:val="en-US" w:eastAsia="zh-CN"/>
                <w14:textFill>
                  <w14:solidFill>
                    <w14:schemeClr w14:val="tx1"/>
                  </w14:solidFill>
                </w14:textFill>
              </w:rPr>
              <w:t>可以</w:t>
            </w:r>
            <w:r>
              <w:rPr>
                <w:rFonts w:hint="eastAsia" w:ascii="宋体" w:hAnsi="宋体" w:eastAsia="宋体" w:cs="宋体"/>
                <w:smallCaps w:val="0"/>
                <w:color w:val="000000" w:themeColor="text1"/>
                <w:sz w:val="21"/>
                <w:szCs w:val="21"/>
                <w:highlight w:val="none"/>
                <w14:textFill>
                  <w14:solidFill>
                    <w14:schemeClr w14:val="tx1"/>
                  </w14:solidFill>
                </w14:textFill>
              </w:rPr>
              <w:t>作为异常低价投标说明的依据</w:t>
            </w:r>
            <w:r>
              <w:rPr>
                <w:rFonts w:hint="eastAsia" w:ascii="宋体" w:hAnsi="宋体" w:eastAsia="宋体" w:cs="宋体"/>
                <w:smallCaps w:val="0"/>
                <w:color w:val="000000" w:themeColor="text1"/>
                <w:sz w:val="21"/>
                <w:szCs w:val="21"/>
                <w:highlight w:val="none"/>
                <w:u w:val="none"/>
                <w:lang w:eastAsia="zh-CN"/>
                <w14:textFill>
                  <w14:solidFill>
                    <w14:schemeClr w14:val="tx1"/>
                  </w14:solidFill>
                </w14:textFill>
              </w:rPr>
              <w:t>：</w:t>
            </w:r>
          </w:p>
          <w:p w14:paraId="7A15F64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1）以往中标且验收合格的同类型项目业绩，中标下浮比例不低于本项目报价的下浮比例。</w:t>
            </w:r>
          </w:p>
          <w:p w14:paraId="437BF47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同时提供以往项目的以下证明材料作为佐证：</w:t>
            </w:r>
          </w:p>
          <w:p w14:paraId="20FDC91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①最高投标限价（招标控制价）通知单，有项目招标人盖章；</w:t>
            </w:r>
          </w:p>
          <w:p w14:paraId="20F9A17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②中标通知书；</w:t>
            </w:r>
          </w:p>
          <w:p w14:paraId="4127CCC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③竣工验收报告或竣工验收备案表；</w:t>
            </w:r>
          </w:p>
          <w:p w14:paraId="60F7DC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④本项目的成本与合理利润分析说明材料，由本单位一级注册造价工程师签字并盖章。</w:t>
            </w:r>
          </w:p>
          <w:p w14:paraId="7B033A4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⑤提供关于合同履行能力及工程质量安全控制的承诺。</w:t>
            </w:r>
          </w:p>
          <w:p w14:paraId="146BEB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2）</w:t>
            </w:r>
            <w:r>
              <w:rPr>
                <w:rFonts w:hint="eastAsia" w:ascii="宋体" w:hAnsi="宋体" w:cs="宋体"/>
                <w:snapToGrid w:val="0"/>
                <w:color w:val="000000" w:themeColor="text1"/>
                <w:sz w:val="21"/>
                <w:szCs w:val="21"/>
                <w:highlight w:val="none"/>
                <w:lang w:val="en-US" w:eastAsia="zh-CN"/>
                <w14:textFill>
                  <w14:solidFill>
                    <w14:schemeClr w14:val="tx1"/>
                  </w14:solidFill>
                </w14:textFill>
              </w:rPr>
              <w:t>在保障</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原设计方案、技术工艺、施工标准的</w:t>
            </w:r>
            <w:r>
              <w:rPr>
                <w:rFonts w:hint="eastAsia" w:ascii="宋体" w:hAnsi="宋体" w:cs="宋体"/>
                <w:snapToGrid w:val="0"/>
                <w:color w:val="000000" w:themeColor="text1"/>
                <w:sz w:val="21"/>
                <w:szCs w:val="21"/>
                <w:highlight w:val="none"/>
                <w:lang w:val="en-US" w:eastAsia="zh-CN"/>
                <w14:textFill>
                  <w14:solidFill>
                    <w14:schemeClr w14:val="tx1"/>
                  </w14:solidFill>
                </w14:textFill>
              </w:rPr>
              <w:t>前提下，</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本项目</w:t>
            </w:r>
            <w:r>
              <w:rPr>
                <w:rFonts w:hint="eastAsia" w:ascii="宋体" w:hAnsi="宋体" w:cs="宋体"/>
                <w:snapToGrid w:val="0"/>
                <w:color w:val="000000" w:themeColor="text1"/>
                <w:sz w:val="21"/>
                <w:szCs w:val="21"/>
                <w:highlight w:val="none"/>
                <w:lang w:val="en-US" w:eastAsia="zh-CN"/>
                <w14:textFill>
                  <w14:solidFill>
                    <w14:schemeClr w14:val="tx1"/>
                  </w14:solidFill>
                </w14:textFill>
              </w:rPr>
              <w:t>通过</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采用新技术、</w:t>
            </w:r>
            <w:r>
              <w:rPr>
                <w:rFonts w:hint="eastAsia" w:ascii="宋体" w:hAnsi="宋体" w:cs="宋体"/>
                <w:snapToGrid w:val="0"/>
                <w:color w:val="000000" w:themeColor="text1"/>
                <w:sz w:val="21"/>
                <w:szCs w:val="21"/>
                <w:highlight w:val="none"/>
                <w:lang w:val="en-US" w:eastAsia="zh-CN"/>
                <w14:textFill>
                  <w14:solidFill>
                    <w14:schemeClr w14:val="tx1"/>
                  </w14:solidFill>
                </w14:textFill>
              </w:rPr>
              <w:t>新工艺</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、新设备</w:t>
            </w:r>
            <w:r>
              <w:rPr>
                <w:rFonts w:hint="eastAsia" w:ascii="宋体" w:hAnsi="宋体" w:cs="宋体"/>
                <w:snapToGrid w:val="0"/>
                <w:color w:val="000000" w:themeColor="text1"/>
                <w:sz w:val="21"/>
                <w:szCs w:val="21"/>
                <w:highlight w:val="none"/>
                <w:lang w:val="en-US" w:eastAsia="zh-CN"/>
                <w14:textFill>
                  <w14:solidFill>
                    <w14:schemeClr w14:val="tx1"/>
                  </w14:solidFill>
                </w14:textFill>
              </w:rPr>
              <w:t>等</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合理</w:t>
            </w:r>
            <w:r>
              <w:rPr>
                <w:rFonts w:hint="eastAsia" w:ascii="宋体" w:hAnsi="宋体" w:cs="宋体"/>
                <w:snapToGrid w:val="0"/>
                <w:color w:val="000000" w:themeColor="text1"/>
                <w:sz w:val="21"/>
                <w:szCs w:val="21"/>
                <w:highlight w:val="none"/>
                <w:lang w:val="en-US" w:eastAsia="zh-CN"/>
                <w14:textFill>
                  <w14:solidFill>
                    <w14:schemeClr w14:val="tx1"/>
                  </w14:solidFill>
                </w14:textFill>
              </w:rPr>
              <w:t>措施</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降低成本。</w:t>
            </w:r>
          </w:p>
          <w:p w14:paraId="0D666DA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同时提供以下证明材料作为佐证：</w:t>
            </w:r>
          </w:p>
          <w:p w14:paraId="2711253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①拟在本项目中采用新技术、新工艺、新设备类型，类似项目经验介绍、优势分析，与传统工艺的成本对比。</w:t>
            </w:r>
          </w:p>
          <w:p w14:paraId="02DC612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②基于以上的成本数据写明本项目的成本与合理利润分析说明材料，由本单位一级注册造价工程师签字并盖章。</w:t>
            </w:r>
          </w:p>
          <w:p w14:paraId="6D4686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提供关于合同履行能力及工程质量安全控制的承诺。</w:t>
            </w:r>
          </w:p>
          <w:p w14:paraId="1E55CF3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3）施工单位的原材料或供应链优势。</w:t>
            </w:r>
          </w:p>
          <w:p w14:paraId="596065D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同时提供以下证明材料作为佐证：</w:t>
            </w:r>
          </w:p>
          <w:p w14:paraId="30C93DC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①投标人与原材料供应商签订的在有效期内的长期供货协议，至少体现产品类型、价格指标信息，且该原材料与本项目适配；</w:t>
            </w:r>
          </w:p>
          <w:p w14:paraId="6010E80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②基于以上原材料价格信息编制的成本与合理利润分析说明材料，由本单位一级注册造价工程师签字并盖章。</w:t>
            </w:r>
          </w:p>
          <w:p w14:paraId="4E6CCB6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提供关于合同履行能力及工程质量安全控制的承诺。</w:t>
            </w:r>
          </w:p>
          <w:p w14:paraId="017B51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4）采用先进的信息化施工管理系统或先进的管理方法，实现施工各个过程的精细化管理，达到成本优化的目的。</w:t>
            </w:r>
          </w:p>
          <w:p w14:paraId="1401429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同时提供以下证明材料作为佐证：</w:t>
            </w:r>
          </w:p>
          <w:p w14:paraId="039BE74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①提供相关信息化系统或先进管理方法的持有证明和成功应用的项目经验</w:t>
            </w:r>
          </w:p>
          <w:p w14:paraId="5FDFBC2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②基于先进管理方法的成本优化额度以及本项目的成本与合理利润分析说明材料，由本单位一级注册造价工程师签字并盖章。</w:t>
            </w:r>
          </w:p>
          <w:p w14:paraId="2D509CE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提供关于合同履行能力及工程质量安全控制的承诺。</w:t>
            </w:r>
          </w:p>
          <w:p w14:paraId="3E58011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5）其他经评标委员会认可的有关成本的分析说明材料。</w:t>
            </w:r>
          </w:p>
          <w:p w14:paraId="1969861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不限于在人工、材料、机械消耗量、价格、施工措施、方案及其他方面。并同时提供关于合同履行能力及工程质量安全控制的承诺。</w:t>
            </w:r>
          </w:p>
          <w:p w14:paraId="0F759106">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smallCaps w:val="0"/>
                <w:color w:val="000000" w:themeColor="text1"/>
                <w:szCs w:val="24"/>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）评审标准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对</w:t>
            </w:r>
            <w:r>
              <w:rPr>
                <w:rFonts w:hint="eastAsia" w:ascii="Times New Roman" w:hAnsi="Times New Roman"/>
                <w:smallCaps w:val="0"/>
                <w:color w:val="000000" w:themeColor="text1"/>
                <w:highlight w:val="none"/>
                <w:lang w:val="en-US" w:eastAsia="zh-CN"/>
                <w14:textFill>
                  <w14:solidFill>
                    <w14:schemeClr w14:val="tx1"/>
                  </w14:solidFill>
                </w14:textFill>
              </w:rPr>
              <w:t>判定为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异常低价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的投标人，评标委员会需要对其</w:t>
            </w:r>
            <w:r>
              <w:rPr>
                <w:rFonts w:hint="eastAsia" w:ascii="Times New Roman" w:hAnsi="Times New Roman"/>
                <w:smallCaps w:val="0"/>
                <w:color w:val="000000" w:themeColor="text1"/>
                <w:highlight w:val="none"/>
                <w14:textFill>
                  <w14:solidFill>
                    <w14:schemeClr w14:val="tx1"/>
                  </w14:solidFill>
                </w14:textFill>
              </w:rPr>
              <w:t>合同履行能力及工程质量安全等风险进行全面评估，</w:t>
            </w:r>
            <w:r>
              <w:rPr>
                <w:rFonts w:hint="eastAsia" w:ascii="Times New Roman" w:hAnsi="Times New Roman"/>
                <w:smallCaps w:val="0"/>
                <w:color w:val="000000" w:themeColor="text1"/>
                <w:highlight w:val="none"/>
                <w:lang w:val="en-US" w:eastAsia="zh-CN"/>
                <w14:textFill>
                  <w14:solidFill>
                    <w14:schemeClr w14:val="tx1"/>
                  </w14:solidFill>
                </w14:textFill>
              </w:rPr>
              <w:t>通过或否决意见作为</w:t>
            </w:r>
            <w:r>
              <w:rPr>
                <w:rFonts w:hint="eastAsia" w:ascii="Times New Roman" w:hAnsi="Times New Roman"/>
                <w:smallCaps w:val="0"/>
                <w:color w:val="000000" w:themeColor="text1"/>
                <w:highlight w:val="none"/>
                <w14:textFill>
                  <w14:solidFill>
                    <w14:schemeClr w14:val="tx1"/>
                  </w14:solidFill>
                </w14:textFill>
              </w:rPr>
              <w:t>评标结果的附件提交给招标人。投标人在投标文件中未作出有效澄清、说明或评标委员会认定（按照少数服从多数的原则）其存</w:t>
            </w:r>
            <w:r>
              <w:rPr>
                <w:rFonts w:hint="eastAsia" w:ascii="Times New Roman" w:hAnsi="Times New Roman"/>
                <w:smallCaps w:val="0"/>
                <w:color w:val="000000" w:themeColor="text1"/>
                <w:szCs w:val="24"/>
                <w:highlight w:val="none"/>
                <w14:textFill>
                  <w14:solidFill>
                    <w14:schemeClr w14:val="tx1"/>
                  </w14:solidFill>
                </w14:textFill>
              </w:rPr>
              <w:t>在履约及质量安全风险的，评标委员会应否决其投标</w:t>
            </w:r>
            <w:r>
              <w:rPr>
                <w:rFonts w:hint="eastAsia" w:ascii="Times New Roman" w:hAnsi="Times New Roman"/>
                <w:smallCaps w:val="0"/>
                <w:color w:val="000000" w:themeColor="text1"/>
                <w:szCs w:val="24"/>
                <w:highlight w:val="none"/>
                <w:lang w:eastAsia="zh-CN"/>
                <w14:textFill>
                  <w14:solidFill>
                    <w14:schemeClr w14:val="tx1"/>
                  </w14:solidFill>
                </w14:textFill>
              </w:rPr>
              <w:t>，</w:t>
            </w:r>
            <w:r>
              <w:rPr>
                <w:rFonts w:hint="eastAsia" w:ascii="Times New Roman" w:hAnsi="Times New Roman"/>
                <w:smallCaps w:val="0"/>
                <w:color w:val="000000" w:themeColor="text1"/>
                <w:szCs w:val="24"/>
                <w:highlight w:val="none"/>
                <w:lang w:val="en-US" w:eastAsia="zh-CN"/>
                <w14:textFill>
                  <w14:solidFill>
                    <w14:schemeClr w14:val="tx1"/>
                  </w14:solidFill>
                </w14:textFill>
              </w:rPr>
              <w:t>并在评标报告中写明否决投标的原因</w:t>
            </w:r>
            <w:r>
              <w:rPr>
                <w:rFonts w:hint="eastAsia" w:ascii="Times New Roman" w:hAnsi="Times New Roman"/>
                <w:smallCaps w:val="0"/>
                <w:color w:val="000000" w:themeColor="text1"/>
                <w:szCs w:val="24"/>
                <w:highlight w:val="none"/>
                <w14:textFill>
                  <w14:solidFill>
                    <w14:schemeClr w14:val="tx1"/>
                  </w14:solidFill>
                </w14:textFill>
              </w:rPr>
              <w:t>。</w:t>
            </w:r>
          </w:p>
          <w:p w14:paraId="25EF5F8A">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smallCaps w:val="0"/>
                <w:color w:val="000000" w:themeColor="text1"/>
                <w:highlight w:val="none"/>
                <w:vertAlign w:val="baseli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评标委员会对</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异常低价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投标人的</w:t>
            </w:r>
            <w:r>
              <w:rPr>
                <w:rFonts w:hint="eastAsia" w:ascii="Times New Roman" w:hAnsi="Times New Roman"/>
                <w:smallCaps w:val="0"/>
                <w:color w:val="000000" w:themeColor="text1"/>
                <w:highlight w:val="none"/>
                <w14:textFill>
                  <w14:solidFill>
                    <w14:schemeClr w14:val="tx1"/>
                  </w14:solidFill>
                </w14:textFill>
              </w:rPr>
              <w:t>合同履行能力及工程质量安全等风险进行全面评估，并</w:t>
            </w:r>
            <w:r>
              <w:rPr>
                <w:rFonts w:hint="eastAsia" w:ascii="Times New Roman" w:hAnsi="Times New Roman"/>
                <w:smallCaps w:val="0"/>
                <w:color w:val="000000" w:themeColor="text1"/>
                <w:highlight w:val="none"/>
                <w:lang w:val="en-US" w:eastAsia="zh-CN"/>
                <w14:textFill>
                  <w14:solidFill>
                    <w14:schemeClr w14:val="tx1"/>
                  </w14:solidFill>
                </w14:textFill>
              </w:rPr>
              <w:t>将审查意见</w:t>
            </w:r>
            <w:r>
              <w:rPr>
                <w:rFonts w:hint="eastAsia" w:ascii="Times New Roman" w:hAnsi="Times New Roman"/>
                <w:smallCaps w:val="0"/>
                <w:color w:val="000000" w:themeColor="text1"/>
                <w:highlight w:val="none"/>
                <w14:textFill>
                  <w14:solidFill>
                    <w14:schemeClr w14:val="tx1"/>
                  </w14:solidFill>
                </w14:textFill>
              </w:rPr>
              <w:t>作为评标结果的附件提交给招标人。投标人在投标文件中未作出有效澄清、说明或评标委员会认定（按照少数服从多数的原则）其存在履约及质量安全风险的，评标委员会应否决其投标，不推荐其为中标候选人。</w:t>
            </w:r>
          </w:p>
        </w:tc>
      </w:tr>
    </w:tbl>
    <w:p w14:paraId="0410CEC2">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p>
    <w:p w14:paraId="618EE136">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r>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br w:type="page"/>
      </w:r>
    </w:p>
    <w:p w14:paraId="0977EB23">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技术文件初步评审</w:t>
      </w:r>
      <w:bookmarkEnd w:id="576"/>
      <w:bookmarkEnd w:id="577"/>
      <w:bookmarkEnd w:id="578"/>
      <w:bookmarkEnd w:id="579"/>
      <w:bookmarkEnd w:id="580"/>
      <w:r>
        <w:rPr>
          <w:rFonts w:hint="eastAsia" w:ascii="Times New Roman" w:hAnsi="Times New Roman"/>
          <w:smallCaps w:val="0"/>
          <w:color w:val="000000" w:themeColor="text1"/>
          <w:highlight w:val="none"/>
          <w14:textFill>
            <w14:solidFill>
              <w14:schemeClr w14:val="tx1"/>
            </w14:solidFill>
          </w14:textFill>
        </w:rPr>
        <w:t>标准</w:t>
      </w:r>
      <w:bookmarkEnd w:id="581"/>
      <w:bookmarkEnd w:id="582"/>
      <w:bookmarkEnd w:id="583"/>
      <w:bookmarkEnd w:id="584"/>
      <w:bookmarkEnd w:id="585"/>
      <w:bookmarkEnd w:id="586"/>
      <w:bookmarkEnd w:id="587"/>
    </w:p>
    <w:tbl>
      <w:tblPr>
        <w:tblStyle w:val="22"/>
        <w:tblW w:w="5050" w:type="pct"/>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7"/>
        <w:gridCol w:w="993"/>
        <w:gridCol w:w="1379"/>
        <w:gridCol w:w="5930"/>
      </w:tblGrid>
      <w:tr w14:paraId="5725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966" w:type="pct"/>
            <w:gridSpan w:val="2"/>
            <w:shd w:val="clear" w:color="auto" w:fill="D7D7D7" w:themeFill="background1" w:themeFillShade="D8"/>
            <w:noWrap w:val="0"/>
            <w:vAlign w:val="center"/>
          </w:tcPr>
          <w:p w14:paraId="742B53AE">
            <w:pPr>
              <w:pStyle w:val="8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条款号</w:t>
            </w:r>
          </w:p>
        </w:tc>
        <w:tc>
          <w:tcPr>
            <w:tcW w:w="761" w:type="pct"/>
            <w:shd w:val="clear" w:color="auto" w:fill="D7D7D7" w:themeFill="background1" w:themeFillShade="D8"/>
            <w:noWrap w:val="0"/>
            <w:vAlign w:val="center"/>
          </w:tcPr>
          <w:p w14:paraId="2F816A3A">
            <w:pPr>
              <w:pStyle w:val="8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评审因素</w:t>
            </w:r>
          </w:p>
        </w:tc>
        <w:tc>
          <w:tcPr>
            <w:tcW w:w="3272" w:type="pct"/>
            <w:shd w:val="clear" w:color="auto" w:fill="D7D7D7" w:themeFill="background1" w:themeFillShade="D8"/>
            <w:noWrap w:val="0"/>
            <w:vAlign w:val="center"/>
          </w:tcPr>
          <w:p w14:paraId="78B0DBB7">
            <w:pPr>
              <w:pStyle w:val="8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评审标准</w:t>
            </w:r>
          </w:p>
        </w:tc>
      </w:tr>
      <w:tr w14:paraId="17C9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trPr>
        <w:tc>
          <w:tcPr>
            <w:tcW w:w="418" w:type="pct"/>
            <w:vMerge w:val="restart"/>
            <w:noWrap w:val="0"/>
            <w:vAlign w:val="center"/>
          </w:tcPr>
          <w:p w14:paraId="75F00E1B">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2.1.</w:t>
            </w:r>
            <w:r>
              <w:rPr>
                <w:rFonts w:hint="eastAsia" w:ascii="Times New Roman" w:hAnsi="Times New Roman"/>
                <w:smallCaps w:val="0"/>
                <w:color w:val="000000" w:themeColor="text1"/>
                <w:highlight w:val="none"/>
                <w14:textFill>
                  <w14:solidFill>
                    <w14:schemeClr w14:val="tx1"/>
                  </w14:solidFill>
                </w14:textFill>
              </w:rPr>
              <w:t>1</w:t>
            </w:r>
          </w:p>
        </w:tc>
        <w:tc>
          <w:tcPr>
            <w:tcW w:w="548" w:type="pct"/>
            <w:vMerge w:val="restart"/>
            <w:noWrap w:val="0"/>
            <w:vAlign w:val="center"/>
          </w:tcPr>
          <w:p w14:paraId="3391A362">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形式评审标准</w:t>
            </w:r>
          </w:p>
        </w:tc>
        <w:tc>
          <w:tcPr>
            <w:tcW w:w="761" w:type="pct"/>
            <w:noWrap w:val="0"/>
            <w:tcMar>
              <w:left w:w="75" w:type="dxa"/>
            </w:tcMar>
            <w:vAlign w:val="center"/>
          </w:tcPr>
          <w:p w14:paraId="7B4B8539">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投标人名称</w:t>
            </w:r>
          </w:p>
        </w:tc>
        <w:tc>
          <w:tcPr>
            <w:tcW w:w="3272" w:type="pct"/>
            <w:noWrap w:val="0"/>
            <w:vAlign w:val="center"/>
          </w:tcPr>
          <w:p w14:paraId="3D68ECB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与营业执照、资质证书、安全生产许可证一致。</w:t>
            </w:r>
          </w:p>
        </w:tc>
      </w:tr>
      <w:tr w14:paraId="186E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4" w:hRule="atLeast"/>
        </w:trPr>
        <w:tc>
          <w:tcPr>
            <w:tcW w:w="418" w:type="pct"/>
            <w:vMerge w:val="continue"/>
            <w:noWrap w:val="0"/>
            <w:vAlign w:val="center"/>
          </w:tcPr>
          <w:p w14:paraId="0448BB78">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548" w:type="pct"/>
            <w:vMerge w:val="continue"/>
            <w:noWrap w:val="0"/>
            <w:vAlign w:val="center"/>
          </w:tcPr>
          <w:p w14:paraId="5AB62EEF">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761" w:type="pct"/>
            <w:noWrap w:val="0"/>
            <w:tcMar>
              <w:left w:w="75" w:type="dxa"/>
            </w:tcMar>
            <w:vAlign w:val="center"/>
          </w:tcPr>
          <w:p w14:paraId="0D9FC5FC">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签字盖章</w:t>
            </w:r>
          </w:p>
        </w:tc>
        <w:tc>
          <w:tcPr>
            <w:tcW w:w="3272" w:type="pct"/>
            <w:noWrap w:val="0"/>
            <w:vAlign w:val="center"/>
          </w:tcPr>
          <w:p w14:paraId="79B2C3F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w:t>
            </w:r>
            <w:r>
              <w:rPr>
                <w:rFonts w:hint="default" w:ascii="Times New Roman" w:hAnsi="Times New Roman"/>
                <w:smallCaps w:val="0"/>
                <w:color w:val="000000" w:themeColor="text1"/>
                <w:highlight w:val="none"/>
                <w14:textFill>
                  <w14:solidFill>
                    <w14:schemeClr w14:val="tx1"/>
                  </w14:solidFill>
                </w14:textFill>
              </w:rPr>
              <w:t>3.7.3</w:t>
            </w:r>
            <w:r>
              <w:rPr>
                <w:rFonts w:hint="eastAsia" w:ascii="Times New Roman" w:hAnsi="Times New Roman"/>
                <w:smallCaps w:val="0"/>
                <w:color w:val="000000" w:themeColor="text1"/>
                <w:highlight w:val="none"/>
                <w14:textFill>
                  <w14:solidFill>
                    <w14:schemeClr w14:val="tx1"/>
                  </w14:solidFill>
                </w14:textFill>
              </w:rPr>
              <w:t>项规定。</w:t>
            </w:r>
          </w:p>
        </w:tc>
      </w:tr>
      <w:tr w14:paraId="506D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trPr>
        <w:tc>
          <w:tcPr>
            <w:tcW w:w="418" w:type="pct"/>
            <w:vMerge w:val="continue"/>
            <w:noWrap w:val="0"/>
            <w:vAlign w:val="center"/>
          </w:tcPr>
          <w:p w14:paraId="79BE8803">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548" w:type="pct"/>
            <w:vMerge w:val="continue"/>
            <w:noWrap w:val="0"/>
            <w:vAlign w:val="center"/>
          </w:tcPr>
          <w:p w14:paraId="155FF3BB">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761" w:type="pct"/>
            <w:noWrap w:val="0"/>
            <w:tcMar>
              <w:left w:w="75" w:type="dxa"/>
            </w:tcMar>
            <w:vAlign w:val="center"/>
          </w:tcPr>
          <w:p w14:paraId="3175FDAA">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投标文件格式</w:t>
            </w:r>
          </w:p>
        </w:tc>
        <w:tc>
          <w:tcPr>
            <w:tcW w:w="3272" w:type="pct"/>
            <w:noWrap w:val="0"/>
            <w:vAlign w:val="center"/>
          </w:tcPr>
          <w:p w14:paraId="0AE6B1E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符合第八章“投标文件格式”的规定，关键字迹清晰可辨。</w:t>
            </w:r>
          </w:p>
        </w:tc>
      </w:tr>
      <w:tr w14:paraId="46BA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5" w:hRule="atLeast"/>
        </w:trPr>
        <w:tc>
          <w:tcPr>
            <w:tcW w:w="418" w:type="pct"/>
            <w:vMerge w:val="continue"/>
            <w:noWrap w:val="0"/>
            <w:vAlign w:val="center"/>
          </w:tcPr>
          <w:p w14:paraId="06835794">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548" w:type="pct"/>
            <w:vMerge w:val="continue"/>
            <w:noWrap w:val="0"/>
            <w:vAlign w:val="center"/>
          </w:tcPr>
          <w:p w14:paraId="61D2E1E4">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761" w:type="pct"/>
            <w:noWrap w:val="0"/>
            <w:tcMar>
              <w:left w:w="75" w:type="dxa"/>
            </w:tcMar>
            <w:vAlign w:val="center"/>
          </w:tcPr>
          <w:p w14:paraId="3F9874BF">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备选投标方案</w:t>
            </w:r>
          </w:p>
        </w:tc>
        <w:tc>
          <w:tcPr>
            <w:tcW w:w="3272" w:type="pct"/>
            <w:noWrap w:val="0"/>
            <w:vAlign w:val="center"/>
          </w:tcPr>
          <w:p w14:paraId="3A65C10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除招标文件明确允许备选投标方案外，投标人不得提交备选投标方案。</w:t>
            </w:r>
          </w:p>
        </w:tc>
      </w:tr>
      <w:tr w14:paraId="1164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trPr>
        <w:tc>
          <w:tcPr>
            <w:tcW w:w="418" w:type="pct"/>
            <w:vMerge w:val="restart"/>
            <w:noWrap w:val="0"/>
            <w:vAlign w:val="center"/>
          </w:tcPr>
          <w:p w14:paraId="268BFD3C">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2.1.3</w:t>
            </w:r>
          </w:p>
        </w:tc>
        <w:tc>
          <w:tcPr>
            <w:tcW w:w="548" w:type="pct"/>
            <w:vMerge w:val="restart"/>
            <w:noWrap w:val="0"/>
            <w:vAlign w:val="center"/>
          </w:tcPr>
          <w:p w14:paraId="3201B680">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响应性评审标准</w:t>
            </w:r>
          </w:p>
        </w:tc>
        <w:tc>
          <w:tcPr>
            <w:tcW w:w="761" w:type="pct"/>
            <w:noWrap w:val="0"/>
            <w:tcMar>
              <w:left w:w="75" w:type="dxa"/>
            </w:tcMar>
            <w:vAlign w:val="center"/>
          </w:tcPr>
          <w:p w14:paraId="716A5340">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投标内容</w:t>
            </w:r>
          </w:p>
        </w:tc>
        <w:tc>
          <w:tcPr>
            <w:tcW w:w="3272" w:type="pct"/>
            <w:noWrap w:val="0"/>
            <w:vAlign w:val="center"/>
          </w:tcPr>
          <w:p w14:paraId="5328B98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符合第二章“投标人须知”第1.3.1项规定。</w:t>
            </w:r>
          </w:p>
        </w:tc>
      </w:tr>
      <w:tr w14:paraId="64DA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trPr>
        <w:tc>
          <w:tcPr>
            <w:tcW w:w="418" w:type="pct"/>
            <w:vMerge w:val="continue"/>
            <w:noWrap w:val="0"/>
            <w:vAlign w:val="center"/>
          </w:tcPr>
          <w:p w14:paraId="7243FF4C">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548" w:type="pct"/>
            <w:vMerge w:val="continue"/>
            <w:noWrap w:val="0"/>
            <w:vAlign w:val="center"/>
          </w:tcPr>
          <w:p w14:paraId="42195FAF">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761" w:type="pct"/>
            <w:noWrap w:val="0"/>
            <w:tcMar>
              <w:left w:w="75" w:type="dxa"/>
            </w:tcMar>
            <w:vAlign w:val="center"/>
          </w:tcPr>
          <w:p w14:paraId="1129791A">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偏差</w:t>
            </w:r>
          </w:p>
        </w:tc>
        <w:tc>
          <w:tcPr>
            <w:tcW w:w="3272" w:type="pct"/>
            <w:noWrap w:val="0"/>
            <w:vAlign w:val="center"/>
          </w:tcPr>
          <w:p w14:paraId="666F8E2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符合第二章“投标人须知”第1.12.1项规定，投标文件中没有招标人不能接受的条件。</w:t>
            </w:r>
          </w:p>
        </w:tc>
      </w:tr>
      <w:tr w14:paraId="63B8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418" w:type="pct"/>
            <w:vMerge w:val="continue"/>
            <w:noWrap w:val="0"/>
            <w:vAlign w:val="center"/>
          </w:tcPr>
          <w:p w14:paraId="0F7B9CCE">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548" w:type="pct"/>
            <w:vMerge w:val="continue"/>
            <w:noWrap w:val="0"/>
            <w:vAlign w:val="center"/>
          </w:tcPr>
          <w:p w14:paraId="64A2CEED">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761" w:type="pct"/>
            <w:noWrap w:val="0"/>
            <w:tcMar>
              <w:left w:w="75" w:type="dxa"/>
            </w:tcMar>
            <w:vAlign w:val="center"/>
          </w:tcPr>
          <w:p w14:paraId="77DA25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其他实质性</w:t>
            </w:r>
          </w:p>
          <w:p w14:paraId="36A77556">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要求</w:t>
            </w:r>
          </w:p>
        </w:tc>
        <w:tc>
          <w:tcPr>
            <w:tcW w:w="3272" w:type="pct"/>
            <w:noWrap w:val="0"/>
            <w:vAlign w:val="center"/>
          </w:tcPr>
          <w:p w14:paraId="6A25E29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符合招标文件的其他实质性要求和条件。</w:t>
            </w:r>
          </w:p>
        </w:tc>
      </w:tr>
      <w:tr w14:paraId="41A6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418" w:type="pct"/>
            <w:vMerge w:val="continue"/>
            <w:noWrap w:val="0"/>
            <w:vAlign w:val="center"/>
          </w:tcPr>
          <w:p w14:paraId="60C989C6">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548" w:type="pct"/>
            <w:vMerge w:val="continue"/>
            <w:noWrap w:val="0"/>
            <w:vAlign w:val="center"/>
          </w:tcPr>
          <w:p w14:paraId="53BCEBC6">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761" w:type="pct"/>
            <w:noWrap w:val="0"/>
            <w:tcMar>
              <w:left w:w="75" w:type="dxa"/>
            </w:tcMar>
            <w:vAlign w:val="center"/>
          </w:tcPr>
          <w:p w14:paraId="5088B3D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BIM技术要求</w:t>
            </w:r>
          </w:p>
          <w:p w14:paraId="183CFED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如有</w:t>
            </w:r>
            <w:r>
              <w:rPr>
                <w:rFonts w:hint="eastAsia" w:ascii="Times New Roman" w:hAnsi="Times New Roman"/>
                <w:smallCaps w:val="0"/>
                <w:color w:val="000000" w:themeColor="text1"/>
                <w:highlight w:val="none"/>
                <w:lang w:eastAsia="zh-CN"/>
                <w14:textFill>
                  <w14:solidFill>
                    <w14:schemeClr w14:val="tx1"/>
                  </w14:solidFill>
                </w14:textFill>
              </w:rPr>
              <w:t>）</w:t>
            </w:r>
          </w:p>
        </w:tc>
        <w:tc>
          <w:tcPr>
            <w:tcW w:w="3272" w:type="pct"/>
            <w:noWrap w:val="0"/>
            <w:vAlign w:val="center"/>
          </w:tcPr>
          <w:p w14:paraId="76C7446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参照《安徽省房屋建筑和市政基础设施工程施工应用BIM技术招标投标评标办法实施导则》</w:t>
            </w:r>
          </w:p>
        </w:tc>
      </w:tr>
    </w:tbl>
    <w:p w14:paraId="17E059C2">
      <w:pPr>
        <w:pageBreakBefore w:val="0"/>
        <w:kinsoku/>
        <w:wordWrap w:val="0"/>
        <w:overflowPunct/>
        <w:bidi w:val="0"/>
        <w:spacing w:before="240" w:beforeLines="100" w:after="240" w:afterLines="100"/>
        <w:jc w:val="center"/>
        <w:outlineLvl w:val="9"/>
        <w:rPr>
          <w:rStyle w:val="39"/>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eastAsia="黑体"/>
          <w:smallCaps w:val="0"/>
          <w:color w:val="000000" w:themeColor="text1"/>
          <w:sz w:val="32"/>
          <w:szCs w:val="32"/>
          <w:highlight w:val="none"/>
          <w14:textFill>
            <w14:solidFill>
              <w14:schemeClr w14:val="tx1"/>
            </w14:solidFill>
          </w14:textFill>
        </w:rPr>
        <w:br w:type="page"/>
      </w:r>
      <w:bookmarkStart w:id="588" w:name="_Toc6178"/>
      <w:bookmarkStart w:id="589" w:name="_Toc20343"/>
      <w:bookmarkStart w:id="590" w:name="_Toc24861"/>
      <w:bookmarkStart w:id="591" w:name="_Toc30368"/>
      <w:bookmarkStart w:id="592" w:name="_Toc28185"/>
      <w:bookmarkStart w:id="593" w:name="_Toc15379"/>
      <w:r>
        <w:rPr>
          <w:rStyle w:val="39"/>
          <w:rFonts w:hint="eastAsia" w:ascii="Times New Roman" w:hAnsi="Times New Roman"/>
          <w:smallCaps w:val="0"/>
          <w:color w:val="000000" w:themeColor="text1"/>
          <w:highlight w:val="none"/>
          <w14:textFill>
            <w14:solidFill>
              <w14:schemeClr w14:val="tx1"/>
            </w14:solidFill>
          </w14:textFill>
        </w:rPr>
        <w:t>详细评审标准</w:t>
      </w:r>
      <w:bookmarkEnd w:id="588"/>
      <w:bookmarkEnd w:id="589"/>
      <w:bookmarkEnd w:id="590"/>
      <w:bookmarkEnd w:id="591"/>
      <w:bookmarkEnd w:id="592"/>
    </w:p>
    <w:bookmarkEnd w:id="593"/>
    <w:tbl>
      <w:tblPr>
        <w:tblStyle w:val="22"/>
        <w:tblW w:w="5128"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1"/>
        <w:gridCol w:w="1089"/>
        <w:gridCol w:w="1476"/>
        <w:gridCol w:w="592"/>
        <w:gridCol w:w="5391"/>
      </w:tblGrid>
      <w:tr w14:paraId="1CDD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46" w:type="pct"/>
            <w:gridSpan w:val="2"/>
            <w:shd w:val="clear" w:color="auto" w:fill="D7D7D7" w:themeFill="background1" w:themeFillShade="D8"/>
            <w:noWrap w:val="0"/>
            <w:vAlign w:val="center"/>
          </w:tcPr>
          <w:p w14:paraId="5BA83F8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801" w:type="pct"/>
            <w:shd w:val="clear" w:color="auto" w:fill="D7D7D7" w:themeFill="background1" w:themeFillShade="D8"/>
            <w:noWrap w:val="0"/>
            <w:tcMar>
              <w:left w:w="75" w:type="dxa"/>
            </w:tcMar>
            <w:vAlign w:val="center"/>
          </w:tcPr>
          <w:p w14:paraId="48E343F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322" w:type="pct"/>
            <w:shd w:val="clear" w:color="auto" w:fill="D7D7D7" w:themeFill="background1" w:themeFillShade="D8"/>
            <w:noWrap w:val="0"/>
            <w:vAlign w:val="center"/>
          </w:tcPr>
          <w:p w14:paraId="02CBC43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分值</w:t>
            </w:r>
          </w:p>
        </w:tc>
        <w:tc>
          <w:tcPr>
            <w:tcW w:w="2929" w:type="pct"/>
            <w:shd w:val="clear" w:color="auto" w:fill="D7D7D7" w:themeFill="background1" w:themeFillShade="D8"/>
            <w:noWrap w:val="0"/>
            <w:vAlign w:val="center"/>
          </w:tcPr>
          <w:p w14:paraId="345359C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3C85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354" w:type="pct"/>
            <w:vMerge w:val="restart"/>
            <w:noWrap w:val="0"/>
            <w:vAlign w:val="center"/>
          </w:tcPr>
          <w:p w14:paraId="5F03A2B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2.2.2（1）</w:t>
            </w:r>
          </w:p>
        </w:tc>
        <w:tc>
          <w:tcPr>
            <w:tcW w:w="591" w:type="pct"/>
            <w:vMerge w:val="restart"/>
            <w:noWrap w:val="0"/>
            <w:vAlign w:val="center"/>
          </w:tcPr>
          <w:p w14:paraId="6AB47A8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技术文件评分标准</w:t>
            </w:r>
          </w:p>
        </w:tc>
        <w:tc>
          <w:tcPr>
            <w:tcW w:w="801" w:type="pct"/>
            <w:noWrap w:val="0"/>
            <w:tcMar>
              <w:left w:w="75" w:type="dxa"/>
            </w:tcMar>
            <w:vAlign w:val="center"/>
          </w:tcPr>
          <w:p w14:paraId="7BE8A20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施工组织设计</w:t>
            </w:r>
            <w:r>
              <w:rPr>
                <w:rStyle w:val="28"/>
                <w:rFonts w:hint="eastAsia" w:ascii="Times New Roman" w:hAnsi="Times New Roman" w:cs="宋体"/>
                <w:smallCaps w:val="0"/>
                <w:color w:val="000000" w:themeColor="text1"/>
                <w:kern w:val="1"/>
                <w:szCs w:val="24"/>
                <w:highlight w:val="none"/>
                <w14:textFill>
                  <w14:solidFill>
                    <w14:schemeClr w14:val="tx1"/>
                  </w14:solidFill>
                </w14:textFill>
              </w:rPr>
              <w:footnoteReference w:id="51"/>
            </w:r>
          </w:p>
        </w:tc>
        <w:tc>
          <w:tcPr>
            <w:tcW w:w="322" w:type="pct"/>
            <w:vMerge w:val="restart"/>
            <w:noWrap w:val="0"/>
            <w:vAlign w:val="center"/>
          </w:tcPr>
          <w:p w14:paraId="25C50CD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lang w:val="en-US" w:eastAsia="zh-CN"/>
                <w14:textFill>
                  <w14:solidFill>
                    <w14:schemeClr w14:val="tx1"/>
                  </w14:solidFill>
                </w14:textFill>
              </w:rPr>
              <w:t>10</w:t>
            </w:r>
            <w:r>
              <w:rPr>
                <w:rFonts w:hint="eastAsia" w:ascii="Times New Roman" w:hAnsi="Times New Roman"/>
                <w:smallCaps w:val="0"/>
                <w:color w:val="000000" w:themeColor="text1"/>
                <w:highlight w:val="none"/>
                <w14:textFill>
                  <w14:solidFill>
                    <w14:schemeClr w14:val="tx1"/>
                  </w14:solidFill>
                </w14:textFill>
              </w:rPr>
              <w:t>分</w:t>
            </w:r>
          </w:p>
        </w:tc>
        <w:tc>
          <w:tcPr>
            <w:tcW w:w="2929" w:type="pct"/>
            <w:noWrap w:val="0"/>
            <w:vAlign w:val="center"/>
          </w:tcPr>
          <w:p w14:paraId="3E1A8EB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140A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354" w:type="pct"/>
            <w:vMerge w:val="continue"/>
            <w:noWrap w:val="0"/>
            <w:vAlign w:val="center"/>
          </w:tcPr>
          <w:p w14:paraId="000A324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91" w:type="pct"/>
            <w:vMerge w:val="continue"/>
            <w:noWrap w:val="0"/>
            <w:vAlign w:val="center"/>
          </w:tcPr>
          <w:p w14:paraId="4D3D5EF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01" w:type="pct"/>
            <w:noWrap w:val="0"/>
            <w:tcMar>
              <w:left w:w="75" w:type="dxa"/>
            </w:tcMar>
            <w:vAlign w:val="center"/>
          </w:tcPr>
          <w:p w14:paraId="73E11C0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BIM技术要求</w:t>
            </w:r>
          </w:p>
          <w:p w14:paraId="7902BF9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如有</w:t>
            </w:r>
            <w:r>
              <w:rPr>
                <w:rFonts w:hint="eastAsia" w:ascii="Times New Roman" w:hAnsi="Times New Roman"/>
                <w:smallCaps w:val="0"/>
                <w:color w:val="000000" w:themeColor="text1"/>
                <w:highlight w:val="none"/>
                <w:lang w:eastAsia="zh-CN"/>
                <w14:textFill>
                  <w14:solidFill>
                    <w14:schemeClr w14:val="tx1"/>
                  </w14:solidFill>
                </w14:textFill>
              </w:rPr>
              <w:t>）</w:t>
            </w:r>
          </w:p>
        </w:tc>
        <w:tc>
          <w:tcPr>
            <w:tcW w:w="322" w:type="pct"/>
            <w:vMerge w:val="continue"/>
            <w:noWrap w:val="0"/>
            <w:vAlign w:val="center"/>
          </w:tcPr>
          <w:p w14:paraId="26CF6AE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929" w:type="pct"/>
            <w:noWrap w:val="0"/>
            <w:vAlign w:val="center"/>
          </w:tcPr>
          <w:p w14:paraId="37ED6FB4">
            <w:pPr>
              <w:pStyle w:val="83"/>
              <w:keepNext w:val="0"/>
              <w:keepLines w:val="0"/>
              <w:pageBreakBefore w:val="0"/>
              <w:suppressLineNumbers w:val="0"/>
              <w:kinsoku/>
              <w:wordWrap w:val="0"/>
              <w:overflowPunct/>
              <w:bidi w:val="0"/>
              <w:spacing w:before="0" w:beforeAutospacing="0" w:after="0" w:afterAutospacing="0"/>
              <w:ind w:left="0" w:right="0"/>
              <w:jc w:val="lef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参照《安徽省房屋建筑和市政基础设施工程施工应用BIM技术招标投标评标办法实施导则》</w:t>
            </w:r>
          </w:p>
        </w:tc>
      </w:tr>
      <w:tr w14:paraId="0431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4" w:type="pct"/>
            <w:noWrap w:val="0"/>
            <w:vAlign w:val="center"/>
          </w:tcPr>
          <w:p w14:paraId="1DF1084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2.2.2（2）</w:t>
            </w:r>
          </w:p>
        </w:tc>
        <w:tc>
          <w:tcPr>
            <w:tcW w:w="591" w:type="pct"/>
            <w:noWrap w:val="0"/>
            <w:vAlign w:val="center"/>
          </w:tcPr>
          <w:p w14:paraId="55502FF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报价文件评分标准</w:t>
            </w:r>
          </w:p>
        </w:tc>
        <w:tc>
          <w:tcPr>
            <w:tcW w:w="801" w:type="pct"/>
            <w:noWrap w:val="0"/>
            <w:tcMar>
              <w:left w:w="75" w:type="dxa"/>
            </w:tcMar>
            <w:vAlign w:val="center"/>
          </w:tcPr>
          <w:p w14:paraId="5B0306B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w:t>
            </w:r>
          </w:p>
        </w:tc>
        <w:tc>
          <w:tcPr>
            <w:tcW w:w="322" w:type="pct"/>
            <w:noWrap w:val="0"/>
            <w:vAlign w:val="center"/>
          </w:tcPr>
          <w:p w14:paraId="20F397C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分</w:t>
            </w:r>
          </w:p>
        </w:tc>
        <w:tc>
          <w:tcPr>
            <w:tcW w:w="2929" w:type="pct"/>
            <w:noWrap w:val="0"/>
            <w:vAlign w:val="center"/>
          </w:tcPr>
          <w:p w14:paraId="2BE344F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28FF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5"/>
            <w:noWrap w:val="0"/>
            <w:vAlign w:val="center"/>
          </w:tcPr>
          <w:p w14:paraId="289855D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
                <w:smallCaps w:val="0"/>
                <w:color w:val="000000" w:themeColor="text1"/>
                <w:szCs w:val="24"/>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需要补充的其他内容</w:t>
            </w:r>
          </w:p>
        </w:tc>
      </w:tr>
      <w:tr w14:paraId="009B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48" w:type="pct"/>
            <w:gridSpan w:val="3"/>
            <w:noWrap w:val="0"/>
            <w:vAlign w:val="center"/>
          </w:tcPr>
          <w:p w14:paraId="0BAA126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4"/>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评分要求</w:t>
            </w:r>
          </w:p>
        </w:tc>
        <w:tc>
          <w:tcPr>
            <w:tcW w:w="3251" w:type="pct"/>
            <w:gridSpan w:val="2"/>
            <w:noWrap w:val="0"/>
            <w:vAlign w:val="center"/>
          </w:tcPr>
          <w:p w14:paraId="66961F4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（1）对于技术文件评分项，以0.1分为分割点，即评分依次为0、0.1、0.2、0.3、0.4等。评审内容缺项的该项得0分。</w:t>
            </w:r>
          </w:p>
          <w:p w14:paraId="01A9633B">
            <w:pPr>
              <w:pStyle w:val="4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（2）技术文件评分标准分</w:t>
            </w:r>
            <w:r>
              <w:rPr>
                <w:rFonts w:hint="eastAsia" w:ascii="Times New Roman" w:hAnsi="Times New Roman"/>
                <w:smallCaps w:val="0"/>
                <w:color w:val="000000" w:themeColor="text1"/>
                <w:highlight w:val="none"/>
                <w:lang w:val="en-US" w:eastAsia="zh-CN"/>
                <w14:textFill>
                  <w14:solidFill>
                    <w14:schemeClr w14:val="tx1"/>
                  </w14:solidFill>
                </w14:textFill>
              </w:rPr>
              <w:t>即</w:t>
            </w:r>
            <w:r>
              <w:rPr>
                <w:rFonts w:hint="eastAsia" w:ascii="Times New Roman" w:hAnsi="Times New Roman"/>
                <w:smallCaps w:val="0"/>
                <w:color w:val="000000" w:themeColor="text1"/>
                <w:highlight w:val="none"/>
                <w14:textFill>
                  <w14:solidFill>
                    <w14:schemeClr w14:val="tx1"/>
                  </w14:solidFill>
                </w14:textFill>
              </w:rPr>
              <w:t>为施工组织设计评审因素，每项评审因素得分均以去掉一个最高分和一个最低分后的打分平均值确定（打分平均值保留小数点后两位，小数点后第三位四舍五入）。</w:t>
            </w:r>
          </w:p>
          <w:p w14:paraId="4743F03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default"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14:textFill>
                  <w14:solidFill>
                    <w14:schemeClr w14:val="tx1"/>
                  </w14:solidFill>
                </w14:textFill>
              </w:rPr>
              <w:t>）技术文件得分（A）按照以下规定确定</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3A7877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施工组织设计</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含BIM</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（满分</w:t>
            </w:r>
            <w:r>
              <w:rPr>
                <w:rFonts w:hint="eastAsia" w:ascii="Times New Roman" w:hAnsi="Times New Roman"/>
                <w:smallCaps w:val="0"/>
                <w:color w:val="000000" w:themeColor="text1"/>
                <w:highlight w:val="none"/>
                <w:lang w:val="en-US" w:eastAsia="zh-CN"/>
                <w14:textFill>
                  <w14:solidFill>
                    <w14:schemeClr w14:val="tx1"/>
                  </w14:solidFill>
                </w14:textFill>
              </w:rPr>
              <w:t>10</w:t>
            </w:r>
            <w:r>
              <w:rPr>
                <w:rFonts w:hint="eastAsia" w:ascii="Times New Roman" w:hAnsi="Times New Roman"/>
                <w:smallCaps w:val="0"/>
                <w:color w:val="000000" w:themeColor="text1"/>
                <w:highlight w:val="none"/>
                <w14:textFill>
                  <w14:solidFill>
                    <w14:schemeClr w14:val="tx1"/>
                  </w14:solidFill>
                </w14:textFill>
              </w:rPr>
              <w:t>分）</w:t>
            </w:r>
            <w:r>
              <w:rPr>
                <w:rFonts w:hint="eastAsia" w:ascii="Times New Roman" w:hAnsi="Times New Roman"/>
                <w:smallCaps w:val="0"/>
                <w:color w:val="000000" w:themeColor="text1"/>
                <w:highlight w:val="none"/>
                <w14:textFill>
                  <w14:solidFill>
                    <w14:schemeClr w14:val="tx1"/>
                  </w14:solidFill>
                </w14:textFill>
              </w:rPr>
              <w:t>评审完成后，评标委员会对投标人</w:t>
            </w:r>
            <w:r>
              <w:rPr>
                <w:rFonts w:hint="eastAsia" w:ascii="Times New Roman" w:hAnsi="Times New Roman"/>
                <w:smallCaps w:val="0"/>
                <w:color w:val="000000" w:themeColor="text1"/>
                <w:highlight w:val="none"/>
                <w14:textFill>
                  <w14:solidFill>
                    <w14:schemeClr w14:val="tx1"/>
                  </w14:solidFill>
                </w14:textFill>
              </w:rPr>
              <w:t>技术文件</w:t>
            </w:r>
            <w:r>
              <w:rPr>
                <w:rFonts w:hint="eastAsia" w:ascii="Times New Roman" w:hAnsi="Times New Roman"/>
                <w:smallCaps w:val="0"/>
                <w:color w:val="000000" w:themeColor="text1"/>
                <w:highlight w:val="none"/>
                <w:lang w:val="en-US" w:eastAsia="zh-CN"/>
                <w14:textFill>
                  <w14:solidFill>
                    <w14:schemeClr w14:val="tx1"/>
                  </w14:solidFill>
                </w14:textFill>
              </w:rPr>
              <w:t>详细评审</w:t>
            </w:r>
            <w:r>
              <w:rPr>
                <w:rFonts w:hint="eastAsia" w:ascii="Times New Roman" w:hAnsi="Times New Roman"/>
                <w:smallCaps w:val="0"/>
                <w:color w:val="000000" w:themeColor="text1"/>
                <w:highlight w:val="none"/>
                <w14:textFill>
                  <w14:solidFill>
                    <w14:schemeClr w14:val="tx1"/>
                  </w14:solidFill>
                </w14:textFill>
              </w:rPr>
              <w:t>汇总得分</w:t>
            </w:r>
            <w:r>
              <w:rPr>
                <w:rFonts w:hint="eastAsia" w:ascii="Times New Roman" w:hAnsi="Times New Roman"/>
                <w:smallCaps w:val="0"/>
                <w:color w:val="000000" w:themeColor="text1"/>
                <w:highlight w:val="none"/>
                <w14:textFill>
                  <w14:solidFill>
                    <w14:schemeClr w14:val="tx1"/>
                  </w14:solidFill>
                </w14:textFill>
              </w:rPr>
              <w:t>按照由高到低的顺序依次确定排名，按照排名先后顺序确定最终得分如下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第一名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10分，第二名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8分，第三名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6分，第四名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4分，第五名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2分。排名相同的，得分并列且占排序。</w:t>
            </w:r>
          </w:p>
          <w:p w14:paraId="07BAB21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评标委员会各成员施工组织设计评审汇总得分在招标文件规定评审总分的90%以上（含）、60%以下（含）的投标人，该评委应提出充足的理由，该理由在评标委员会集体讨论并确认后记入评标报告，否则该评委应当且仅就评分理由重新提出充足的理由。</w:t>
            </w:r>
          </w:p>
          <w:p w14:paraId="70CF416D">
            <w:pPr>
              <w:pStyle w:val="4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lang w:eastAsia="zh-CN"/>
                <w14:textFill>
                  <w14:solidFill>
                    <w14:schemeClr w14:val="tx1"/>
                  </w14:solidFill>
                </w14:textFill>
              </w:rPr>
              <w:t>）</w:t>
            </w:r>
            <w:r>
              <w:rPr>
                <w:rFonts w:hint="default" w:ascii="Times New Roman" w:hAnsi="Times New Roman"/>
                <w:smallCaps w:val="0"/>
                <w:color w:val="000000" w:themeColor="text1"/>
                <w:highlight w:val="none"/>
                <w:lang w:val="en-US" w:eastAsia="zh-CN"/>
                <w14:textFill>
                  <w14:solidFill>
                    <w14:schemeClr w14:val="tx1"/>
                  </w14:solidFill>
                </w14:textFill>
              </w:rPr>
              <w:t>符合《政府采购促进中小企业发展管理办法》（财库〔2020〕46号）第</w:t>
            </w:r>
            <w:r>
              <w:rPr>
                <w:rFonts w:hint="eastAsia" w:ascii="Times New Roman" w:hAnsi="Times New Roman"/>
                <w:smallCaps w:val="0"/>
                <w:color w:val="000000" w:themeColor="text1"/>
                <w:highlight w:val="none"/>
                <w:lang w:val="en-US" w:eastAsia="zh-CN"/>
                <w14:textFill>
                  <w14:solidFill>
                    <w14:schemeClr w14:val="tx1"/>
                  </w14:solidFill>
                </w14:textFill>
              </w:rPr>
              <w:t>九</w:t>
            </w:r>
            <w:r>
              <w:rPr>
                <w:rFonts w:hint="default" w:ascii="Times New Roman" w:hAnsi="Times New Roman"/>
                <w:smallCaps w:val="0"/>
                <w:color w:val="000000" w:themeColor="text1"/>
                <w:highlight w:val="none"/>
                <w:lang w:val="en-US" w:eastAsia="zh-CN"/>
                <w14:textFill>
                  <w14:solidFill>
                    <w14:schemeClr w14:val="tx1"/>
                  </w14:solidFill>
                </w14:textFill>
              </w:rPr>
              <w:t>条第一款情形时，未预留份额专门面向中小企业采购的采购项目，以及预留份额项目中的非预留部分采购包采购时，小微企业报价扣除比例</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default" w:ascii="Times New Roman" w:hAnsi="Times New Roman"/>
                <w:smallCaps w:val="0"/>
                <w:color w:val="000000" w:themeColor="text1"/>
                <w:highlight w:val="none"/>
                <w:lang w:val="en-US" w:eastAsia="zh-CN"/>
                <w14:textFill>
                  <w14:solidFill>
                    <w14:schemeClr w14:val="tx1"/>
                  </w14:solidFill>
                </w14:textFill>
              </w:rPr>
              <w:t>1)小型和微型企业</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default" w:ascii="Times New Roman" w:hAnsi="Times New Roman"/>
                <w:smallCaps w:val="0"/>
                <w:color w:val="000000" w:themeColor="text1"/>
                <w:highlight w:val="none"/>
                <w:u w:val="single"/>
                <w:lang w:val="en-US" w:eastAsia="zh-CN"/>
                <w14:textFill>
                  <w14:solidFill>
                    <w14:schemeClr w14:val="tx1"/>
                  </w14:solidFill>
                </w14:textFill>
              </w:rPr>
              <w:t>%</w:t>
            </w:r>
            <w:r>
              <w:rPr>
                <w:rFonts w:hint="default" w:ascii="Times New Roman" w:hAnsi="Times New Roman"/>
                <w:smallCaps w:val="0"/>
                <w:color w:val="000000" w:themeColor="text1"/>
                <w:highlight w:val="none"/>
                <w:lang w:val="en-US" w:eastAsia="zh-CN"/>
                <w14:textFill>
                  <w14:solidFill>
                    <w14:schemeClr w14:val="tx1"/>
                  </w14:solidFill>
                </w14:textFill>
              </w:rPr>
              <w:t>(10%-20%)</w:t>
            </w:r>
            <w:r>
              <w:rPr>
                <w:rFonts w:hint="eastAsia" w:ascii="Times New Roman" w:hAnsi="Times New Roman"/>
                <w:smallCaps w:val="0"/>
                <w:color w:val="000000" w:themeColor="text1"/>
                <w:highlight w:val="none"/>
                <w:lang w:val="en-US" w:eastAsia="zh-CN"/>
                <w14:textFill>
                  <w14:solidFill>
                    <w14:schemeClr w14:val="tx1"/>
                  </w14:solidFill>
                </w14:textFill>
              </w:rPr>
              <w:t>；</w:t>
            </w:r>
            <w:r>
              <w:rPr>
                <w:rFonts w:hint="default" w:ascii="Times New Roman" w:hAnsi="Times New Roman"/>
                <w:smallCaps w:val="0"/>
                <w:color w:val="000000" w:themeColor="text1"/>
                <w:highlight w:val="none"/>
                <w:lang w:val="en-US" w:eastAsia="zh-CN"/>
                <w14:textFill>
                  <w14:solidFill>
                    <w14:schemeClr w14:val="tx1"/>
                  </w14:solidFill>
                </w14:textFill>
              </w:rPr>
              <w:t>2)对于联合协议或者分包意向协议约定小微企业的合同份额占到合同总金额30%时，对联合体或者大中型企业的报价的扣除比例</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default" w:ascii="Times New Roman" w:hAnsi="Times New Roman"/>
                <w:smallCaps w:val="0"/>
                <w:color w:val="000000" w:themeColor="text1"/>
                <w:highlight w:val="none"/>
                <w:lang w:val="en-US" w:eastAsia="zh-CN"/>
                <w14:textFill>
                  <w14:solidFill>
                    <w14:schemeClr w14:val="tx1"/>
                  </w14:solidFill>
                </w14:textFill>
              </w:rPr>
              <w:t>(4%-6%)。</w:t>
            </w:r>
          </w:p>
          <w:p w14:paraId="7D568D5E">
            <w:pPr>
              <w:pStyle w:val="4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default" w:ascii="Times New Roman" w:hAnsi="Times New Roman"/>
                <w:smallCaps w:val="0"/>
                <w:color w:val="000000" w:themeColor="text1"/>
                <w:highlight w:val="none"/>
                <w:lang w:val="en-US" w:eastAsia="zh-CN"/>
                <w14:textFill>
                  <w14:solidFill>
                    <w14:schemeClr w14:val="tx1"/>
                  </w14:solidFill>
                </w14:textFill>
              </w:rPr>
              <w:t>（6）评标委员会对进入详细评审的投标人，按其评标价由低到高的顺序依次确定排名，按照排名先后顺序确定，第一名</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default" w:ascii="Times New Roman" w:hAnsi="Times New Roman"/>
                <w:smallCaps w:val="0"/>
                <w:color w:val="000000" w:themeColor="text1"/>
                <w:highlight w:val="none"/>
                <w:lang w:val="en-US" w:eastAsia="zh-CN"/>
                <w14:textFill>
                  <w14:solidFill>
                    <w14:schemeClr w14:val="tx1"/>
                  </w14:solidFill>
                </w14:textFill>
              </w:rPr>
              <w:t>5分；第二名</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default" w:ascii="Times New Roman" w:hAnsi="Times New Roman"/>
                <w:smallCaps w:val="0"/>
                <w:color w:val="000000" w:themeColor="text1"/>
                <w:highlight w:val="none"/>
                <w:lang w:val="en-US" w:eastAsia="zh-CN"/>
                <w14:textFill>
                  <w14:solidFill>
                    <w14:schemeClr w14:val="tx1"/>
                  </w14:solidFill>
                </w14:textFill>
              </w:rPr>
              <w:t>4分、第三名</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default" w:ascii="Times New Roman" w:hAnsi="Times New Roman"/>
                <w:smallCaps w:val="0"/>
                <w:color w:val="000000" w:themeColor="text1"/>
                <w:highlight w:val="none"/>
                <w:lang w:val="en-US" w:eastAsia="zh-CN"/>
                <w14:textFill>
                  <w14:solidFill>
                    <w14:schemeClr w14:val="tx1"/>
                  </w14:solidFill>
                </w14:textFill>
              </w:rPr>
              <w:t>3分、第四名</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default" w:ascii="Times New Roman" w:hAnsi="Times New Roman"/>
                <w:smallCaps w:val="0"/>
                <w:color w:val="000000" w:themeColor="text1"/>
                <w:highlight w:val="none"/>
                <w:lang w:val="en-US" w:eastAsia="zh-CN"/>
                <w14:textFill>
                  <w14:solidFill>
                    <w14:schemeClr w14:val="tx1"/>
                  </w14:solidFill>
                </w14:textFill>
              </w:rPr>
              <w:t>2分、第五名</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default" w:ascii="Times New Roman" w:hAnsi="Times New Roman"/>
                <w:smallCaps w:val="0"/>
                <w:color w:val="000000" w:themeColor="text1"/>
                <w:highlight w:val="none"/>
                <w:lang w:val="en-US" w:eastAsia="zh-CN"/>
                <w14:textFill>
                  <w14:solidFill>
                    <w14:schemeClr w14:val="tx1"/>
                  </w14:solidFill>
                </w14:textFill>
              </w:rPr>
              <w:t>1分。报价相同的，得分并列且占排序。</w:t>
            </w:r>
          </w:p>
        </w:tc>
      </w:tr>
      <w:tr w14:paraId="302C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48" w:type="pct"/>
            <w:gridSpan w:val="3"/>
            <w:noWrap w:val="0"/>
            <w:vAlign w:val="center"/>
          </w:tcPr>
          <w:p w14:paraId="218137E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3251" w:type="pct"/>
            <w:gridSpan w:val="2"/>
            <w:noWrap w:val="0"/>
            <w:vAlign w:val="center"/>
          </w:tcPr>
          <w:p w14:paraId="29144AD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bl>
    <w:p w14:paraId="47ADBD3C">
      <w:pPr>
        <w:pageBreakBefore w:val="0"/>
        <w:widowControl w:val="0"/>
        <w:kinsoku/>
        <w:wordWrap w:val="0"/>
        <w:overflowPunct/>
        <w:topLinePunct w:val="0"/>
        <w:autoSpaceDE/>
        <w:autoSpaceDN/>
        <w:bidi w:val="0"/>
        <w:snapToGrid/>
        <w:textAlignment w:val="auto"/>
        <w:rPr>
          <w:rStyle w:val="78"/>
          <w:rFonts w:ascii="Times New Roman" w:hAnsi="Times New Roman"/>
          <w:smallCaps w:val="0"/>
          <w:color w:val="000000" w:themeColor="text1"/>
          <w:highlight w:val="none"/>
          <w14:textFill>
            <w14:solidFill>
              <w14:schemeClr w14:val="tx1"/>
            </w14:solidFill>
          </w14:textFill>
        </w:rPr>
      </w:pPr>
      <w:r>
        <w:rPr>
          <w:rFonts w:ascii="Times New Roman" w:hAnsi="Times New Roman"/>
          <w:smallCaps w:val="0"/>
          <w:color w:val="000000" w:themeColor="text1"/>
          <w:highlight w:val="none"/>
          <w14:textFill>
            <w14:solidFill>
              <w14:schemeClr w14:val="tx1"/>
            </w14:solidFill>
          </w14:textFill>
        </w:rPr>
        <w:br w:type="page"/>
      </w:r>
      <w:bookmarkStart w:id="594" w:name="_Toc24048"/>
      <w:r>
        <w:rPr>
          <w:rStyle w:val="78"/>
          <w:rFonts w:hint="eastAsia" w:ascii="Times New Roman" w:hAnsi="Times New Roman"/>
          <w:smallCaps w:val="0"/>
          <w:color w:val="000000" w:themeColor="text1"/>
          <w:highlight w:val="none"/>
          <w14:textFill>
            <w14:solidFill>
              <w14:schemeClr w14:val="tx1"/>
            </w14:solidFill>
          </w14:textFill>
        </w:rPr>
        <w:t>附件1</w:t>
      </w:r>
      <w:r>
        <w:rPr>
          <w:rStyle w:val="78"/>
          <w:rFonts w:hint="eastAsia" w:ascii="Times New Roman" w:hAnsi="Times New Roman" w:eastAsia="黑体"/>
          <w:smallCaps w:val="0"/>
          <w:color w:val="000000" w:themeColor="text1"/>
          <w:highlight w:val="none"/>
          <w:u w:val="none"/>
          <w:lang w:eastAsia="zh-CN"/>
          <w14:textFill>
            <w14:solidFill>
              <w14:schemeClr w14:val="tx1"/>
            </w14:solidFill>
          </w14:textFill>
        </w:rPr>
        <w:t>：</w:t>
      </w:r>
      <w:r>
        <w:rPr>
          <w:rStyle w:val="78"/>
          <w:rFonts w:hint="eastAsia" w:ascii="Times New Roman" w:hAnsi="Times New Roman"/>
          <w:smallCaps w:val="0"/>
          <w:color w:val="000000" w:themeColor="text1"/>
          <w:highlight w:val="none"/>
          <w14:textFill>
            <w14:solidFill>
              <w14:schemeClr w14:val="tx1"/>
            </w14:solidFill>
          </w14:textFill>
        </w:rPr>
        <w:t>有效值计算方法</w:t>
      </w:r>
    </w:p>
    <w:bookmarkEnd w:id="594"/>
    <w:p w14:paraId="6BFC0518">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1.初步筛查和有效值计算规则、范围</w:t>
      </w:r>
    </w:p>
    <w:p w14:paraId="5B1CF59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（1）对在规定的投标截止时间前通过电子交易系统成功上传投标文件的投标人随机发放签号。</w:t>
      </w:r>
    </w:p>
    <w:p w14:paraId="2A6D20F8">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（2）纳入初步筛查范围的投标文件</w:t>
      </w:r>
    </w:p>
    <w:p w14:paraId="675E30F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①纳入条件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已发签号且成功解密并导入电子交易系统的。</w:t>
      </w:r>
    </w:p>
    <w:p w14:paraId="4BDFD00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②数量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符合纳入条件的投标文件全部纳入初步筛查。</w:t>
      </w:r>
    </w:p>
    <w:p w14:paraId="35469FDE">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（3）初步筛查内容</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0F64D5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适用于采用“异常低价”的项目</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投标函文字报价≤最高投标限价*（1-M值），其中投标函文字报价＜最高投标限价*异常低价规定指标的，须通过异常低价评审（异常低价评审见</w:t>
      </w:r>
      <w:r>
        <w:rPr>
          <w:rFonts w:hint="eastAsia" w:ascii="Times New Roman" w:hAnsi="Times New Roman"/>
          <w:smallCaps w:val="0"/>
          <w:color w:val="000000" w:themeColor="text1"/>
          <w:highlight w:val="none"/>
          <w:lang w:val="en-US" w:eastAsia="zh-CN"/>
          <w14:textFill>
            <w14:solidFill>
              <w14:schemeClr w14:val="tx1"/>
            </w14:solidFill>
          </w14:textFill>
        </w:rPr>
        <w:t>对应评审项要求</w:t>
      </w:r>
      <w:r>
        <w:rPr>
          <w:rFonts w:hint="eastAsia" w:ascii="Times New Roman" w:hAnsi="Times New Roman"/>
          <w:smallCaps w:val="0"/>
          <w:color w:val="000000" w:themeColor="text1"/>
          <w:highlight w:val="none"/>
          <w14:textFill>
            <w14:solidFill>
              <w14:schemeClr w14:val="tx1"/>
            </w14:solidFill>
          </w14:textFill>
        </w:rPr>
        <w:t>）；规定降幅M值见评标办法前附表。</w:t>
      </w:r>
    </w:p>
    <w:p w14:paraId="172A1E85">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适用于不采用“异常低价”的项目</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投标函文字报价≤最高投标限价*（1-M值），规定降幅M值见评标办法前附表。</w:t>
      </w:r>
    </w:p>
    <w:p w14:paraId="51F1D10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②投标文件制作机器码不同；</w:t>
      </w:r>
    </w:p>
    <w:p w14:paraId="653B65B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③投标总报价未出现明显失误，如数量级错误、金额单位错误等；</w:t>
      </w:r>
    </w:p>
    <w:p w14:paraId="698EF1BF">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w:t>
      </w:r>
    </w:p>
    <w:p w14:paraId="49D2C947">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6F9990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①初步筛查符合的投标函文字报价纳入有效值计算，初步筛查不符合的投标函文字报价不纳入有效值计算；</w:t>
      </w:r>
    </w:p>
    <w:p w14:paraId="10CBA0AA">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②如出现符合初步筛查投标人数量不足三家的，评标委员会将否决所有投标。</w:t>
      </w:r>
    </w:p>
    <w:p w14:paraId="3A04F886">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2.确定有效值</w:t>
      </w:r>
    </w:p>
    <w:p w14:paraId="04962FD3">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2.1计算组距</w:t>
      </w:r>
    </w:p>
    <w:p w14:paraId="6282C66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将所有纳入有效值计算范围的报价由高到低进行排序（即a1、a2、a3……an-2、an-1、an），相同报价均占排序，从最高报价起，计算每一个报价与它的后一个报价相减得出差值（即a1–a2、a2–a3……an-2–an-1、an-1–an）。对所有差值按照由高到低进行排序，相同差值均占排序，从最高差值开始，按照由高到低的顺序取规定数量个差值计算算术平均值作为组距D值（精确到小数点后两位，第三位四舍五入）。</w:t>
      </w:r>
    </w:p>
    <w:p w14:paraId="2A6EBF2C">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规定数量的确定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当符合初步筛查投标人数量不足5家时，规定数量为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1个；当符合初步筛查投标人数量不少于5家时，以已发签号总数除以5，其余数所对应值乘以所有差值数量得出规定数量（小数点后第一位四舍五入后取整数），见下表</w:t>
      </w:r>
      <w:r>
        <w:rPr>
          <w:rFonts w:hint="eastAsia" w:ascii="Times New Roman" w:hAnsi="Times New Roman"/>
          <w:smallCaps w:val="0"/>
          <w:color w:val="000000" w:themeColor="text1"/>
          <w:highlight w:val="none"/>
          <w:u w:val="none"/>
          <w:lang w:eastAsia="zh-CN"/>
          <w14:textFill>
            <w14:solidFill>
              <w14:schemeClr w14:val="tx1"/>
            </w14:solidFill>
          </w14:textFill>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6278"/>
      </w:tblGrid>
      <w:tr w14:paraId="5C12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579" w:type="pct"/>
            <w:noWrap w:val="0"/>
            <w:vAlign w:val="center"/>
          </w:tcPr>
          <w:p w14:paraId="4AE340C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余数</w:t>
            </w:r>
          </w:p>
        </w:tc>
        <w:tc>
          <w:tcPr>
            <w:tcW w:w="3421" w:type="pct"/>
            <w:noWrap w:val="0"/>
            <w:vAlign w:val="center"/>
          </w:tcPr>
          <w:p w14:paraId="2C034A5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对应值</w:t>
            </w:r>
          </w:p>
        </w:tc>
      </w:tr>
      <w:tr w14:paraId="75E7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579" w:type="pct"/>
            <w:noWrap w:val="0"/>
            <w:vAlign w:val="center"/>
          </w:tcPr>
          <w:p w14:paraId="2C5BEF3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w:t>
            </w:r>
          </w:p>
        </w:tc>
        <w:tc>
          <w:tcPr>
            <w:tcW w:w="3421" w:type="pct"/>
            <w:noWrap w:val="0"/>
            <w:vAlign w:val="center"/>
          </w:tcPr>
          <w:p w14:paraId="32E20EA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15%</w:t>
            </w:r>
          </w:p>
        </w:tc>
      </w:tr>
      <w:tr w14:paraId="6779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9" w:type="pct"/>
            <w:noWrap w:val="0"/>
            <w:vAlign w:val="center"/>
          </w:tcPr>
          <w:p w14:paraId="3BDF001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3421" w:type="pct"/>
            <w:noWrap w:val="0"/>
            <w:vAlign w:val="center"/>
          </w:tcPr>
          <w:p w14:paraId="724102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20%</w:t>
            </w:r>
          </w:p>
        </w:tc>
      </w:tr>
      <w:tr w14:paraId="060C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9" w:type="pct"/>
            <w:noWrap w:val="0"/>
            <w:vAlign w:val="center"/>
          </w:tcPr>
          <w:p w14:paraId="35E8CF7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p>
        </w:tc>
        <w:tc>
          <w:tcPr>
            <w:tcW w:w="3421" w:type="pct"/>
            <w:noWrap w:val="0"/>
            <w:vAlign w:val="center"/>
          </w:tcPr>
          <w:p w14:paraId="30F6059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25%</w:t>
            </w:r>
          </w:p>
        </w:tc>
      </w:tr>
      <w:tr w14:paraId="05F4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9" w:type="pct"/>
            <w:noWrap w:val="0"/>
            <w:vAlign w:val="center"/>
          </w:tcPr>
          <w:p w14:paraId="689F3FF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p>
        </w:tc>
        <w:tc>
          <w:tcPr>
            <w:tcW w:w="3421" w:type="pct"/>
            <w:noWrap w:val="0"/>
            <w:vAlign w:val="center"/>
          </w:tcPr>
          <w:p w14:paraId="64A9A6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30%</w:t>
            </w:r>
          </w:p>
        </w:tc>
      </w:tr>
      <w:tr w14:paraId="7989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9" w:type="pct"/>
            <w:noWrap w:val="0"/>
            <w:vAlign w:val="center"/>
          </w:tcPr>
          <w:p w14:paraId="2B9DE32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w:t>
            </w:r>
          </w:p>
        </w:tc>
        <w:tc>
          <w:tcPr>
            <w:tcW w:w="3421" w:type="pct"/>
            <w:noWrap w:val="0"/>
            <w:vAlign w:val="center"/>
          </w:tcPr>
          <w:p w14:paraId="4440045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w:t>
            </w:r>
          </w:p>
        </w:tc>
      </w:tr>
    </w:tbl>
    <w:p w14:paraId="72B62A98">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2.2数据分组</w:t>
      </w:r>
    </w:p>
    <w:p w14:paraId="16A3EFF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从所有纳入有效值计算范围的报价中的最高报价（含最高报价）开始，按照组距D值向低价端依次对报价进行分组，等于各组上限值的报价列入本组，等于各组下限值的报价，列入下一组，至最低报价（含最低报价）不足一个组距的，单独作为一组。</w:t>
      </w:r>
    </w:p>
    <w:p w14:paraId="61B0558A">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2.3确定有效值</w:t>
      </w:r>
    </w:p>
    <w:p w14:paraId="526EA781">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对分组后各组内的数据按照报价由高到低进行排序，组内无数据的，不参与组数计算。总组数确定后，各组组号按其组内最低报价由高到低顺序进行排序。设总组数为S，取排序倒数第K组中最低报价为有效值</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428F204">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 1 \* GB3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①</w:t>
      </w:r>
      <w:r>
        <w:rPr>
          <w:rFonts w:hint="eastAsia" w:ascii="Times New Roman" w:hAnsi="Times New Roman"/>
          <w:smallCaps w:val="0"/>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t>当S≤5，K=2，取排序倒数第2组中最低报价为有效值；</w:t>
      </w:r>
    </w:p>
    <w:p w14:paraId="188D0B58">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 2 \* GB3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②</w:t>
      </w:r>
      <w:r>
        <w:rPr>
          <w:rFonts w:hint="eastAsia" w:ascii="Times New Roman" w:hAnsi="Times New Roman"/>
          <w:smallCaps w:val="0"/>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t>当5＜S≤10，K=3，取排序倒数第3组中最低报价为有效值；</w:t>
      </w:r>
    </w:p>
    <w:p w14:paraId="41F32C3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 3 \* GB3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③</w:t>
      </w:r>
      <w:r>
        <w:rPr>
          <w:rFonts w:hint="eastAsia" w:ascii="Times New Roman" w:hAnsi="Times New Roman"/>
          <w:smallCaps w:val="0"/>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t>当10＜S≤15，K=4，取排序倒数第4组中最低报价为有效值；</w:t>
      </w:r>
    </w:p>
    <w:p w14:paraId="418E467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 4 \* GB3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④</w:t>
      </w:r>
      <w:r>
        <w:rPr>
          <w:rFonts w:hint="eastAsia" w:ascii="Times New Roman" w:hAnsi="Times New Roman"/>
          <w:smallCaps w:val="0"/>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t>当15＜S≤20，K=5，取排序倒数第5组中最低报价为有效值；</w:t>
      </w:r>
    </w:p>
    <w:p w14:paraId="4D698B25">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fldChar w:fldCharType="begin"/>
      </w:r>
      <w:r>
        <w:rPr>
          <w:rFonts w:hint="eastAsia" w:ascii="Times New Roman" w:hAnsi="Times New Roman"/>
          <w:smallCaps w:val="0"/>
          <w:color w:val="000000" w:themeColor="text1"/>
          <w:highlight w:val="none"/>
          <w14:textFill>
            <w14:solidFill>
              <w14:schemeClr w14:val="tx1"/>
            </w14:solidFill>
          </w14:textFill>
        </w:rPr>
        <w:instrText xml:space="preserve"> = 5 \* GB3 </w:instrText>
      </w:r>
      <w:r>
        <w:rPr>
          <w:rFonts w:hint="eastAsia" w:ascii="Times New Roman" w:hAnsi="Times New Roman"/>
          <w:smallCaps w:val="0"/>
          <w:color w:val="000000" w:themeColor="text1"/>
          <w:highlight w:val="none"/>
          <w14:textFill>
            <w14:solidFill>
              <w14:schemeClr w14:val="tx1"/>
            </w14:solidFill>
          </w14:textFill>
        </w:rPr>
        <w:fldChar w:fldCharType="separate"/>
      </w:r>
      <w:r>
        <w:rPr>
          <w:rFonts w:hint="eastAsia" w:ascii="Times New Roman" w:hAnsi="Times New Roman"/>
          <w:smallCaps w:val="0"/>
          <w:color w:val="000000" w:themeColor="text1"/>
          <w:highlight w:val="none"/>
          <w14:textFill>
            <w14:solidFill>
              <w14:schemeClr w14:val="tx1"/>
            </w14:solidFill>
          </w14:textFill>
        </w:rPr>
        <w:t>⑤</w:t>
      </w:r>
      <w:r>
        <w:rPr>
          <w:rFonts w:hint="eastAsia" w:ascii="Times New Roman" w:hAnsi="Times New Roman"/>
          <w:smallCaps w:val="0"/>
          <w:color w:val="000000" w:themeColor="text1"/>
          <w:highlight w:val="none"/>
          <w14:textFill>
            <w14:solidFill>
              <w14:schemeClr w14:val="tx1"/>
            </w14:solidFill>
          </w14:textFill>
        </w:rPr>
        <w:fldChar w:fldCharType="end"/>
      </w:r>
      <w:r>
        <w:rPr>
          <w:rFonts w:hint="eastAsia" w:ascii="Times New Roman" w:hAnsi="Times New Roman"/>
          <w:smallCaps w:val="0"/>
          <w:color w:val="000000" w:themeColor="text1"/>
          <w:highlight w:val="none"/>
          <w14:textFill>
            <w14:solidFill>
              <w14:schemeClr w14:val="tx1"/>
            </w14:solidFill>
          </w14:textFill>
        </w:rPr>
        <w:t>当20＜S≤25，K=6，取排序倒数第6组中最低报价为有效值；</w:t>
      </w:r>
    </w:p>
    <w:p w14:paraId="65E10DCF">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……以此类推。</w:t>
      </w:r>
    </w:p>
    <w:p w14:paraId="6213D97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有效值除存在计算错误之外，不随任何因素发生变化。有效值计算过程的举例详见如下。</w:t>
      </w:r>
    </w:p>
    <w:p w14:paraId="24BA7FCA">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举例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某项目系统成功接收投标文件的投标人总数为15家，已发签号总数为15个，经初步筛查，15家投标人均符合要求，报价、差值及差值排序分别为（单位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元）</w:t>
      </w:r>
      <w:r>
        <w:rPr>
          <w:rFonts w:hint="eastAsia" w:ascii="Times New Roman" w:hAnsi="Times New Roman"/>
          <w:smallCaps w:val="0"/>
          <w:color w:val="000000" w:themeColor="text1"/>
          <w:highlight w:val="none"/>
          <w:u w:val="none"/>
          <w:lang w:eastAsia="zh-CN"/>
          <w14:textFill>
            <w14:solidFill>
              <w14:schemeClr w14:val="tx1"/>
            </w14:solidFill>
          </w14:textFill>
        </w:rPr>
        <w: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8"/>
        <w:gridCol w:w="2705"/>
        <w:gridCol w:w="3412"/>
      </w:tblGrid>
      <w:tr w14:paraId="054A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397A22E7">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eastAsia="宋体" w:cs="宋体"/>
                <w:b/>
                <w:smallCaps w:val="0"/>
                <w:color w:val="000000" w:themeColor="text1"/>
                <w:szCs w:val="24"/>
                <w:highlight w:val="none"/>
                <w14:textFill>
                  <w14:solidFill>
                    <w14:schemeClr w14:val="tx1"/>
                  </w14:solidFill>
                </w14:textFill>
              </w:rPr>
            </w:pPr>
            <w:r>
              <w:rPr>
                <w:rFonts w:hint="eastAsia" w:ascii="Times New Roman" w:hAnsi="Times New Roman" w:eastAsia="宋体" w:cs="宋体"/>
                <w:b/>
                <w:smallCaps w:val="0"/>
                <w:color w:val="000000" w:themeColor="text1"/>
                <w:szCs w:val="24"/>
                <w:highlight w:val="none"/>
                <w14:textFill>
                  <w14:solidFill>
                    <w14:schemeClr w14:val="tx1"/>
                  </w14:solidFill>
                </w14:textFill>
              </w:rPr>
              <w:t>报价</w:t>
            </w:r>
          </w:p>
        </w:tc>
        <w:tc>
          <w:tcPr>
            <w:tcW w:w="1474" w:type="pct"/>
            <w:noWrap w:val="0"/>
            <w:vAlign w:val="center"/>
          </w:tcPr>
          <w:p w14:paraId="18C04DC2">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eastAsia="宋体" w:cs="宋体"/>
                <w:b/>
                <w:smallCaps w:val="0"/>
                <w:color w:val="000000" w:themeColor="text1"/>
                <w:szCs w:val="24"/>
                <w:highlight w:val="none"/>
                <w14:textFill>
                  <w14:solidFill>
                    <w14:schemeClr w14:val="tx1"/>
                  </w14:solidFill>
                </w14:textFill>
              </w:rPr>
            </w:pPr>
            <w:r>
              <w:rPr>
                <w:rFonts w:hint="eastAsia" w:ascii="Times New Roman" w:hAnsi="Times New Roman" w:eastAsia="宋体" w:cs="宋体"/>
                <w:b/>
                <w:smallCaps w:val="0"/>
                <w:color w:val="000000" w:themeColor="text1"/>
                <w:szCs w:val="24"/>
                <w:highlight w:val="none"/>
                <w14:textFill>
                  <w14:solidFill>
                    <w14:schemeClr w14:val="tx1"/>
                  </w14:solidFill>
                </w14:textFill>
              </w:rPr>
              <w:t>差值</w:t>
            </w:r>
          </w:p>
        </w:tc>
        <w:tc>
          <w:tcPr>
            <w:tcW w:w="1859" w:type="pct"/>
            <w:noWrap w:val="0"/>
            <w:vAlign w:val="center"/>
          </w:tcPr>
          <w:p w14:paraId="453CCF5E">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eastAsia="宋体" w:cs="宋体"/>
                <w:b/>
                <w:smallCaps w:val="0"/>
                <w:color w:val="000000" w:themeColor="text1"/>
                <w:szCs w:val="24"/>
                <w:highlight w:val="none"/>
                <w14:textFill>
                  <w14:solidFill>
                    <w14:schemeClr w14:val="tx1"/>
                  </w14:solidFill>
                </w14:textFill>
              </w:rPr>
            </w:pPr>
            <w:r>
              <w:rPr>
                <w:rFonts w:hint="eastAsia" w:ascii="Times New Roman" w:hAnsi="Times New Roman" w:eastAsia="宋体" w:cs="宋体"/>
                <w:b/>
                <w:smallCaps w:val="0"/>
                <w:color w:val="000000" w:themeColor="text1"/>
                <w:szCs w:val="24"/>
                <w:highlight w:val="none"/>
                <w14:textFill>
                  <w14:solidFill>
                    <w14:schemeClr w14:val="tx1"/>
                  </w14:solidFill>
                </w14:textFill>
              </w:rPr>
              <w:t>差值排序</w:t>
            </w:r>
          </w:p>
        </w:tc>
      </w:tr>
      <w:tr w14:paraId="42E6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09FEB42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110</w:t>
            </w:r>
          </w:p>
        </w:tc>
        <w:tc>
          <w:tcPr>
            <w:tcW w:w="1474" w:type="pct"/>
            <w:noWrap w:val="0"/>
            <w:vAlign w:val="center"/>
          </w:tcPr>
          <w:p w14:paraId="02DBE9C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1859" w:type="pct"/>
            <w:noWrap w:val="0"/>
            <w:vAlign w:val="center"/>
          </w:tcPr>
          <w:p w14:paraId="25E3BE8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357B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55D60D7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109</w:t>
            </w:r>
          </w:p>
        </w:tc>
        <w:tc>
          <w:tcPr>
            <w:tcW w:w="1474" w:type="pct"/>
            <w:noWrap w:val="0"/>
            <w:vAlign w:val="center"/>
          </w:tcPr>
          <w:p w14:paraId="5209AB9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1859" w:type="pct"/>
            <w:noWrap w:val="0"/>
            <w:vAlign w:val="center"/>
          </w:tcPr>
          <w:p w14:paraId="6C16ECF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p>
        </w:tc>
      </w:tr>
      <w:tr w14:paraId="15D1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28C0D8D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107</w:t>
            </w:r>
          </w:p>
        </w:tc>
        <w:tc>
          <w:tcPr>
            <w:tcW w:w="1474" w:type="pct"/>
            <w:noWrap w:val="0"/>
            <w:vAlign w:val="center"/>
          </w:tcPr>
          <w:p w14:paraId="70E5440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p>
        </w:tc>
        <w:tc>
          <w:tcPr>
            <w:tcW w:w="1859" w:type="pct"/>
            <w:noWrap w:val="0"/>
            <w:vAlign w:val="center"/>
          </w:tcPr>
          <w:p w14:paraId="6F20BAC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1.7</w:t>
            </w:r>
          </w:p>
        </w:tc>
      </w:tr>
      <w:tr w14:paraId="7FFF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727B37E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106</w:t>
            </w:r>
          </w:p>
        </w:tc>
        <w:tc>
          <w:tcPr>
            <w:tcW w:w="1474" w:type="pct"/>
            <w:noWrap w:val="0"/>
            <w:vAlign w:val="center"/>
          </w:tcPr>
          <w:p w14:paraId="5BDB90E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1859" w:type="pct"/>
            <w:noWrap w:val="0"/>
            <w:vAlign w:val="center"/>
          </w:tcPr>
          <w:p w14:paraId="7D59829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w:t>
            </w:r>
          </w:p>
        </w:tc>
      </w:tr>
      <w:tr w14:paraId="6CA7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30106EF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105.8</w:t>
            </w:r>
          </w:p>
        </w:tc>
        <w:tc>
          <w:tcPr>
            <w:tcW w:w="1474" w:type="pct"/>
            <w:noWrap w:val="0"/>
            <w:vAlign w:val="center"/>
          </w:tcPr>
          <w:p w14:paraId="5652D26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0.2</w:t>
            </w:r>
          </w:p>
        </w:tc>
        <w:tc>
          <w:tcPr>
            <w:tcW w:w="1859" w:type="pct"/>
            <w:noWrap w:val="0"/>
            <w:vAlign w:val="center"/>
          </w:tcPr>
          <w:p w14:paraId="61E541D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r>
      <w:tr w14:paraId="265D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1DE9497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105.3</w:t>
            </w:r>
          </w:p>
        </w:tc>
        <w:tc>
          <w:tcPr>
            <w:tcW w:w="1474" w:type="pct"/>
            <w:noWrap w:val="0"/>
            <w:vAlign w:val="center"/>
          </w:tcPr>
          <w:p w14:paraId="3584C6D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0.5</w:t>
            </w:r>
          </w:p>
        </w:tc>
        <w:tc>
          <w:tcPr>
            <w:tcW w:w="1859" w:type="pct"/>
            <w:noWrap w:val="0"/>
            <w:vAlign w:val="center"/>
          </w:tcPr>
          <w:p w14:paraId="6E6F1AB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r>
      <w:tr w14:paraId="3A51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44FF1AF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105.1</w:t>
            </w:r>
          </w:p>
        </w:tc>
        <w:tc>
          <w:tcPr>
            <w:tcW w:w="1474" w:type="pct"/>
            <w:noWrap w:val="0"/>
            <w:vAlign w:val="center"/>
          </w:tcPr>
          <w:p w14:paraId="56897C8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0.2</w:t>
            </w:r>
          </w:p>
        </w:tc>
        <w:tc>
          <w:tcPr>
            <w:tcW w:w="1859" w:type="pct"/>
            <w:noWrap w:val="0"/>
            <w:vAlign w:val="center"/>
          </w:tcPr>
          <w:p w14:paraId="2B227B4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r>
      <w:tr w14:paraId="48B1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22B537F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104</w:t>
            </w:r>
          </w:p>
        </w:tc>
        <w:tc>
          <w:tcPr>
            <w:tcW w:w="1474" w:type="pct"/>
            <w:noWrap w:val="0"/>
            <w:vAlign w:val="center"/>
          </w:tcPr>
          <w:p w14:paraId="28B523D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w:t>
            </w:r>
          </w:p>
        </w:tc>
        <w:tc>
          <w:tcPr>
            <w:tcW w:w="1859" w:type="pct"/>
            <w:noWrap w:val="0"/>
            <w:vAlign w:val="center"/>
          </w:tcPr>
          <w:p w14:paraId="64718D7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r>
      <w:tr w14:paraId="6999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71766C6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103</w:t>
            </w:r>
          </w:p>
        </w:tc>
        <w:tc>
          <w:tcPr>
            <w:tcW w:w="1474" w:type="pct"/>
            <w:noWrap w:val="0"/>
            <w:vAlign w:val="center"/>
          </w:tcPr>
          <w:p w14:paraId="3FE601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1859" w:type="pct"/>
            <w:noWrap w:val="0"/>
            <w:vAlign w:val="center"/>
          </w:tcPr>
          <w:p w14:paraId="15D3D8F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0.5</w:t>
            </w:r>
          </w:p>
        </w:tc>
      </w:tr>
      <w:tr w14:paraId="2D96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38948A1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102</w:t>
            </w:r>
          </w:p>
        </w:tc>
        <w:tc>
          <w:tcPr>
            <w:tcW w:w="1474" w:type="pct"/>
            <w:noWrap w:val="0"/>
            <w:vAlign w:val="center"/>
          </w:tcPr>
          <w:p w14:paraId="25D842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1859" w:type="pct"/>
            <w:noWrap w:val="0"/>
            <w:vAlign w:val="center"/>
          </w:tcPr>
          <w:p w14:paraId="02AC8D0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0.2</w:t>
            </w:r>
          </w:p>
        </w:tc>
      </w:tr>
      <w:tr w14:paraId="319B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063C52E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100.3</w:t>
            </w:r>
          </w:p>
        </w:tc>
        <w:tc>
          <w:tcPr>
            <w:tcW w:w="1474" w:type="pct"/>
            <w:noWrap w:val="0"/>
            <w:vAlign w:val="center"/>
          </w:tcPr>
          <w:p w14:paraId="7328079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1.7</w:t>
            </w:r>
          </w:p>
        </w:tc>
        <w:tc>
          <w:tcPr>
            <w:tcW w:w="1859" w:type="pct"/>
            <w:noWrap w:val="0"/>
            <w:vAlign w:val="center"/>
          </w:tcPr>
          <w:p w14:paraId="62B6CB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0.2</w:t>
            </w:r>
          </w:p>
        </w:tc>
      </w:tr>
      <w:tr w14:paraId="442F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7B6D6B7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100.2</w:t>
            </w:r>
          </w:p>
        </w:tc>
        <w:tc>
          <w:tcPr>
            <w:tcW w:w="1474" w:type="pct"/>
            <w:noWrap w:val="0"/>
            <w:vAlign w:val="center"/>
          </w:tcPr>
          <w:p w14:paraId="7E77FDF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0.1</w:t>
            </w:r>
          </w:p>
        </w:tc>
        <w:tc>
          <w:tcPr>
            <w:tcW w:w="1859" w:type="pct"/>
            <w:noWrap w:val="0"/>
            <w:vAlign w:val="center"/>
          </w:tcPr>
          <w:p w14:paraId="5623D81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0.1</w:t>
            </w:r>
          </w:p>
        </w:tc>
      </w:tr>
      <w:tr w14:paraId="4478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7A64536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100.1</w:t>
            </w:r>
          </w:p>
        </w:tc>
        <w:tc>
          <w:tcPr>
            <w:tcW w:w="1474" w:type="pct"/>
            <w:noWrap w:val="0"/>
            <w:vAlign w:val="center"/>
          </w:tcPr>
          <w:p w14:paraId="09D9DFC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0.1</w:t>
            </w:r>
          </w:p>
        </w:tc>
        <w:tc>
          <w:tcPr>
            <w:tcW w:w="1859" w:type="pct"/>
            <w:noWrap w:val="0"/>
            <w:vAlign w:val="center"/>
          </w:tcPr>
          <w:p w14:paraId="051D812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0.1</w:t>
            </w:r>
          </w:p>
        </w:tc>
      </w:tr>
      <w:tr w14:paraId="7FAC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6B67E62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100</w:t>
            </w:r>
          </w:p>
        </w:tc>
        <w:tc>
          <w:tcPr>
            <w:tcW w:w="1474" w:type="pct"/>
            <w:noWrap w:val="0"/>
            <w:vAlign w:val="center"/>
          </w:tcPr>
          <w:p w14:paraId="372A22E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0.1</w:t>
            </w:r>
          </w:p>
        </w:tc>
        <w:tc>
          <w:tcPr>
            <w:tcW w:w="1859" w:type="pct"/>
            <w:noWrap w:val="0"/>
            <w:vAlign w:val="center"/>
          </w:tcPr>
          <w:p w14:paraId="7C3F702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0.1</w:t>
            </w:r>
          </w:p>
        </w:tc>
      </w:tr>
      <w:tr w14:paraId="39E7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666" w:type="pct"/>
            <w:noWrap w:val="0"/>
            <w:vAlign w:val="center"/>
          </w:tcPr>
          <w:p w14:paraId="46BF0E8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100</w:t>
            </w:r>
          </w:p>
        </w:tc>
        <w:tc>
          <w:tcPr>
            <w:tcW w:w="1474" w:type="pct"/>
            <w:noWrap w:val="0"/>
            <w:vAlign w:val="center"/>
          </w:tcPr>
          <w:p w14:paraId="66CB5E5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w:t>
            </w:r>
          </w:p>
        </w:tc>
        <w:tc>
          <w:tcPr>
            <w:tcW w:w="1859" w:type="pct"/>
            <w:noWrap w:val="0"/>
            <w:vAlign w:val="center"/>
          </w:tcPr>
          <w:p w14:paraId="037D318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0</w:t>
            </w:r>
          </w:p>
        </w:tc>
      </w:tr>
    </w:tbl>
    <w:p w14:paraId="599AEDF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首先，从最高报价起，计算每一个报价与它的后一个报价相减得出差值，所有差值按照由高到低进行排序，从最高差值开始，按照由高到低的顺序取规定数量个差值。本项目已发签号总数15个，除以5后，其余数为0，所对应值为15%，所有差值数量为14个，得出规定数量为2个。按照所有差值由高到低顺序取2个差值进行算术平均值，计算结果为1.85（即组距D为1.85）；</w:t>
      </w:r>
    </w:p>
    <w:p w14:paraId="3AC39123">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其次，从最高报价（含最高报价）开始，按照D值为组距向低价端进行分组</w:t>
      </w:r>
      <w:r>
        <w:rPr>
          <w:rFonts w:hint="eastAsia" w:ascii="Times New Roman" w:hAnsi="Times New Roman"/>
          <w:smallCaps w:val="0"/>
          <w:color w:val="000000" w:themeColor="text1"/>
          <w:highlight w:val="none"/>
          <w:u w:val="none"/>
          <w:lang w:eastAsia="zh-CN"/>
          <w14:textFill>
            <w14:solidFill>
              <w14:schemeClr w14:val="tx1"/>
            </w14:solidFill>
          </w14:textFill>
        </w:rPr>
        <w: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497"/>
        <w:gridCol w:w="1529"/>
        <w:gridCol w:w="3360"/>
        <w:gridCol w:w="1574"/>
      </w:tblGrid>
      <w:tr w14:paraId="7DEF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58AAB28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组号</w:t>
            </w:r>
          </w:p>
        </w:tc>
        <w:tc>
          <w:tcPr>
            <w:tcW w:w="816" w:type="pct"/>
            <w:noWrap w:val="0"/>
            <w:vAlign w:val="center"/>
          </w:tcPr>
          <w:p w14:paraId="51124E6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各组</w:t>
            </w:r>
          </w:p>
          <w:p w14:paraId="24513E2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上限值</w:t>
            </w:r>
          </w:p>
        </w:tc>
        <w:tc>
          <w:tcPr>
            <w:tcW w:w="833" w:type="pct"/>
            <w:noWrap w:val="0"/>
            <w:vAlign w:val="center"/>
          </w:tcPr>
          <w:p w14:paraId="4708ED8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各组</w:t>
            </w:r>
          </w:p>
          <w:p w14:paraId="01E52B5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下限值</w:t>
            </w:r>
          </w:p>
        </w:tc>
        <w:tc>
          <w:tcPr>
            <w:tcW w:w="1831" w:type="pct"/>
            <w:noWrap w:val="0"/>
            <w:vAlign w:val="center"/>
          </w:tcPr>
          <w:p w14:paraId="3063EDF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各组内</w:t>
            </w:r>
          </w:p>
          <w:p w14:paraId="1E26628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w:t>
            </w:r>
          </w:p>
        </w:tc>
        <w:tc>
          <w:tcPr>
            <w:tcW w:w="858" w:type="pct"/>
            <w:noWrap w:val="0"/>
            <w:vAlign w:val="center"/>
          </w:tcPr>
          <w:p w14:paraId="7CE9EB9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各组内</w:t>
            </w:r>
          </w:p>
          <w:p w14:paraId="7538ABF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最低值</w:t>
            </w:r>
          </w:p>
        </w:tc>
      </w:tr>
      <w:tr w14:paraId="1070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510AF19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第1组</w:t>
            </w:r>
          </w:p>
        </w:tc>
        <w:tc>
          <w:tcPr>
            <w:tcW w:w="816" w:type="pct"/>
            <w:noWrap w:val="0"/>
            <w:vAlign w:val="center"/>
          </w:tcPr>
          <w:p w14:paraId="0FA06AE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110</w:t>
            </w:r>
          </w:p>
        </w:tc>
        <w:tc>
          <w:tcPr>
            <w:tcW w:w="833" w:type="pct"/>
            <w:noWrap w:val="0"/>
            <w:vAlign w:val="center"/>
          </w:tcPr>
          <w:p w14:paraId="4090CE2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108.15</w:t>
            </w:r>
          </w:p>
        </w:tc>
        <w:tc>
          <w:tcPr>
            <w:tcW w:w="1831" w:type="pct"/>
            <w:noWrap w:val="0"/>
            <w:vAlign w:val="center"/>
          </w:tcPr>
          <w:p w14:paraId="76B4ADF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110、109</w:t>
            </w:r>
          </w:p>
        </w:tc>
        <w:tc>
          <w:tcPr>
            <w:tcW w:w="858" w:type="pct"/>
            <w:noWrap w:val="0"/>
            <w:vAlign w:val="center"/>
          </w:tcPr>
          <w:p w14:paraId="7DE8479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109</w:t>
            </w:r>
          </w:p>
        </w:tc>
      </w:tr>
      <w:tr w14:paraId="17B6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3347DC9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第2组</w:t>
            </w:r>
          </w:p>
        </w:tc>
        <w:tc>
          <w:tcPr>
            <w:tcW w:w="816" w:type="pct"/>
            <w:noWrap w:val="0"/>
            <w:vAlign w:val="center"/>
          </w:tcPr>
          <w:p w14:paraId="7195AF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108.15</w:t>
            </w:r>
          </w:p>
        </w:tc>
        <w:tc>
          <w:tcPr>
            <w:tcW w:w="833" w:type="pct"/>
            <w:noWrap w:val="0"/>
            <w:vAlign w:val="center"/>
          </w:tcPr>
          <w:p w14:paraId="6781693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106.3</w:t>
            </w:r>
          </w:p>
        </w:tc>
        <w:tc>
          <w:tcPr>
            <w:tcW w:w="1831" w:type="pct"/>
            <w:noWrap w:val="0"/>
            <w:vAlign w:val="center"/>
          </w:tcPr>
          <w:p w14:paraId="73E3951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107</w:t>
            </w:r>
          </w:p>
        </w:tc>
        <w:tc>
          <w:tcPr>
            <w:tcW w:w="858" w:type="pct"/>
            <w:noWrap w:val="0"/>
            <w:vAlign w:val="center"/>
          </w:tcPr>
          <w:p w14:paraId="1EEE97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107</w:t>
            </w:r>
          </w:p>
        </w:tc>
      </w:tr>
      <w:tr w14:paraId="096A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4402D03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第3组</w:t>
            </w:r>
          </w:p>
        </w:tc>
        <w:tc>
          <w:tcPr>
            <w:tcW w:w="816" w:type="pct"/>
            <w:noWrap w:val="0"/>
            <w:vAlign w:val="center"/>
          </w:tcPr>
          <w:p w14:paraId="13D7B6D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106.3</w:t>
            </w:r>
          </w:p>
        </w:tc>
        <w:tc>
          <w:tcPr>
            <w:tcW w:w="833" w:type="pct"/>
            <w:noWrap w:val="0"/>
            <w:vAlign w:val="center"/>
          </w:tcPr>
          <w:p w14:paraId="51A1519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104.45</w:t>
            </w:r>
          </w:p>
        </w:tc>
        <w:tc>
          <w:tcPr>
            <w:tcW w:w="1831" w:type="pct"/>
            <w:noWrap w:val="0"/>
            <w:vAlign w:val="center"/>
          </w:tcPr>
          <w:p w14:paraId="69D3D81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106、105.8、105.3、105.1</w:t>
            </w:r>
          </w:p>
        </w:tc>
        <w:tc>
          <w:tcPr>
            <w:tcW w:w="858" w:type="pct"/>
            <w:noWrap w:val="0"/>
            <w:vAlign w:val="center"/>
          </w:tcPr>
          <w:p w14:paraId="3CEAED5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105.1</w:t>
            </w:r>
          </w:p>
        </w:tc>
      </w:tr>
      <w:tr w14:paraId="7C94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3DB7AC0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第4组</w:t>
            </w:r>
          </w:p>
        </w:tc>
        <w:tc>
          <w:tcPr>
            <w:tcW w:w="816" w:type="pct"/>
            <w:noWrap w:val="0"/>
            <w:vAlign w:val="center"/>
          </w:tcPr>
          <w:p w14:paraId="012DD92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104.45</w:t>
            </w:r>
          </w:p>
        </w:tc>
        <w:tc>
          <w:tcPr>
            <w:tcW w:w="833" w:type="pct"/>
            <w:noWrap w:val="0"/>
            <w:vAlign w:val="center"/>
          </w:tcPr>
          <w:p w14:paraId="22988D6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102.6</w:t>
            </w:r>
          </w:p>
        </w:tc>
        <w:tc>
          <w:tcPr>
            <w:tcW w:w="1831" w:type="pct"/>
            <w:noWrap w:val="0"/>
            <w:vAlign w:val="center"/>
          </w:tcPr>
          <w:p w14:paraId="68E9EC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104、103</w:t>
            </w:r>
          </w:p>
        </w:tc>
        <w:tc>
          <w:tcPr>
            <w:tcW w:w="858" w:type="pct"/>
            <w:noWrap w:val="0"/>
            <w:vAlign w:val="center"/>
          </w:tcPr>
          <w:p w14:paraId="1268E9C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103</w:t>
            </w:r>
          </w:p>
        </w:tc>
      </w:tr>
      <w:tr w14:paraId="7858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4B673C2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第5组</w:t>
            </w:r>
          </w:p>
        </w:tc>
        <w:tc>
          <w:tcPr>
            <w:tcW w:w="816" w:type="pct"/>
            <w:noWrap w:val="0"/>
            <w:vAlign w:val="center"/>
          </w:tcPr>
          <w:p w14:paraId="3500032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102.6</w:t>
            </w:r>
          </w:p>
        </w:tc>
        <w:tc>
          <w:tcPr>
            <w:tcW w:w="833" w:type="pct"/>
            <w:noWrap w:val="0"/>
            <w:vAlign w:val="center"/>
          </w:tcPr>
          <w:p w14:paraId="597E891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100.75</w:t>
            </w:r>
          </w:p>
        </w:tc>
        <w:tc>
          <w:tcPr>
            <w:tcW w:w="1831" w:type="pct"/>
            <w:noWrap w:val="0"/>
            <w:vAlign w:val="center"/>
          </w:tcPr>
          <w:p w14:paraId="1548680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102</w:t>
            </w:r>
          </w:p>
        </w:tc>
        <w:tc>
          <w:tcPr>
            <w:tcW w:w="858" w:type="pct"/>
            <w:noWrap w:val="0"/>
            <w:vAlign w:val="center"/>
          </w:tcPr>
          <w:p w14:paraId="75DD840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102</w:t>
            </w:r>
          </w:p>
        </w:tc>
      </w:tr>
      <w:tr w14:paraId="60B0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12508CF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第6组</w:t>
            </w:r>
          </w:p>
        </w:tc>
        <w:tc>
          <w:tcPr>
            <w:tcW w:w="816" w:type="pct"/>
            <w:noWrap w:val="0"/>
            <w:vAlign w:val="center"/>
          </w:tcPr>
          <w:p w14:paraId="704847F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100.75</w:t>
            </w:r>
          </w:p>
        </w:tc>
        <w:tc>
          <w:tcPr>
            <w:tcW w:w="833" w:type="pct"/>
            <w:noWrap w:val="0"/>
            <w:vAlign w:val="center"/>
          </w:tcPr>
          <w:p w14:paraId="4B80A71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98.9</w:t>
            </w:r>
          </w:p>
        </w:tc>
        <w:tc>
          <w:tcPr>
            <w:tcW w:w="1831" w:type="pct"/>
            <w:noWrap w:val="0"/>
            <w:vAlign w:val="center"/>
          </w:tcPr>
          <w:p w14:paraId="51FEF4E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100.3、100.2、100.1、100、100</w:t>
            </w:r>
          </w:p>
        </w:tc>
        <w:tc>
          <w:tcPr>
            <w:tcW w:w="858" w:type="pct"/>
            <w:noWrap w:val="0"/>
            <w:vAlign w:val="center"/>
          </w:tcPr>
          <w:p w14:paraId="12E4EC1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100</w:t>
            </w:r>
          </w:p>
        </w:tc>
      </w:tr>
    </w:tbl>
    <w:p w14:paraId="6AADBA9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最后，总组数为6组，在5组和10组范围内，取排序倒数第3组中最低值作为有效值，即有效值为103。</w:t>
      </w:r>
    </w:p>
    <w:p w14:paraId="0ED6571E">
      <w:pPr>
        <w:pageBreakBefore w:val="0"/>
        <w:kinsoku/>
        <w:wordWrap w:val="0"/>
        <w:overflowPunct/>
        <w:bidi w:val="0"/>
        <w:rPr>
          <w:rStyle w:val="78"/>
          <w:rFonts w:hint="eastAsia" w:ascii="Times New Roman" w:hAnsi="Times New Roman"/>
          <w:bCs w:val="0"/>
          <w:smallCaps w:val="0"/>
          <w:color w:val="000000" w:themeColor="text1"/>
          <w:kern w:val="2"/>
          <w:highlight w:val="none"/>
          <w:lang w:val="en-US" w:eastAsia="zh-CN" w:bidi="ar-SA"/>
          <w14:textFill>
            <w14:solidFill>
              <w14:schemeClr w14:val="tx1"/>
            </w14:solidFill>
          </w14:textFill>
        </w:rPr>
      </w:pPr>
      <w:r>
        <w:rPr>
          <w:rFonts w:hint="eastAsia" w:ascii="Times New Roman" w:hAnsi="Times New Roman" w:eastAsia="宋体" w:cs="宋体"/>
          <w:smallCaps w:val="0"/>
          <w:color w:val="000000" w:themeColor="text1"/>
          <w:highlight w:val="none"/>
          <w14:textFill>
            <w14:solidFill>
              <w14:schemeClr w14:val="tx1"/>
            </w14:solidFill>
          </w14:textFill>
        </w:rPr>
        <w:br w:type="page"/>
      </w:r>
      <w:bookmarkStart w:id="595" w:name="_Toc18923"/>
      <w:r>
        <w:rPr>
          <w:rStyle w:val="78"/>
          <w:rFonts w:hint="eastAsia" w:ascii="Times New Roman" w:hAnsi="Times New Roman"/>
          <w:bCs w:val="0"/>
          <w:smallCaps w:val="0"/>
          <w:color w:val="000000" w:themeColor="text1"/>
          <w:kern w:val="2"/>
          <w:highlight w:val="none"/>
          <w:lang w:val="en-US" w:eastAsia="zh-CN" w:bidi="ar-SA"/>
          <w14:textFill>
            <w14:solidFill>
              <w14:schemeClr w14:val="tx1"/>
            </w14:solidFill>
          </w14:textFill>
        </w:rPr>
        <w:t>附件2</w:t>
      </w:r>
      <w:r>
        <w:rPr>
          <w:rStyle w:val="78"/>
          <w:rFonts w:hint="eastAsia" w:ascii="Times New Roman" w:hAnsi="Times New Roman"/>
          <w:bCs w:val="0"/>
          <w:smallCaps w:val="0"/>
          <w:color w:val="000000" w:themeColor="text1"/>
          <w:kern w:val="2"/>
          <w:highlight w:val="none"/>
          <w:u w:val="none"/>
          <w:lang w:val="en-US" w:eastAsia="zh-CN" w:bidi="ar-SA"/>
          <w14:textFill>
            <w14:solidFill>
              <w14:schemeClr w14:val="tx1"/>
            </w14:solidFill>
          </w14:textFill>
        </w:rPr>
        <w:t>：</w:t>
      </w:r>
      <w:r>
        <w:rPr>
          <w:rStyle w:val="78"/>
          <w:rFonts w:hint="eastAsia" w:ascii="Times New Roman" w:hAnsi="Times New Roman"/>
          <w:bCs w:val="0"/>
          <w:smallCaps w:val="0"/>
          <w:color w:val="000000" w:themeColor="text1"/>
          <w:kern w:val="2"/>
          <w:highlight w:val="none"/>
          <w:lang w:val="en-US" w:eastAsia="zh-CN" w:bidi="ar-SA"/>
          <w14:textFill>
            <w14:solidFill>
              <w14:schemeClr w14:val="tx1"/>
            </w14:solidFill>
          </w14:textFill>
        </w:rPr>
        <w:t>评审选择规则</w:t>
      </w:r>
    </w:p>
    <w:bookmarkEnd w:id="595"/>
    <w:p w14:paraId="025FB34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委员会对投标函文字报价不低于有效值的投标人按照由低到高的顺序确定前5家依次进行商务、报价和技术文件初步评审，如任一环节未通过评审，则按照投标函文字报价由低到高的顺序依次进行递补，直到通过初步评审的投标人满足5家。如按投标函文字报价由低到高的顺序递补，通过初步评审的投标人无法满足5家时，则通过初步评审的投标人全部进入</w:t>
      </w:r>
      <w:r>
        <w:rPr>
          <w:rFonts w:hint="eastAsia" w:ascii="Times New Roman" w:hAnsi="Times New Roman"/>
          <w:smallCaps w:val="0"/>
          <w:color w:val="000000" w:themeColor="text1"/>
          <w:highlight w:val="none"/>
          <w:lang w:val="en-US" w:eastAsia="zh-CN"/>
          <w14:textFill>
            <w14:solidFill>
              <w14:schemeClr w14:val="tx1"/>
            </w14:solidFill>
          </w14:textFill>
        </w:rPr>
        <w:t>技术文件详细评审</w:t>
      </w:r>
      <w:r>
        <w:rPr>
          <w:rFonts w:hint="eastAsia" w:ascii="Times New Roman" w:hAnsi="Times New Roman"/>
          <w:smallCaps w:val="0"/>
          <w:color w:val="000000" w:themeColor="text1"/>
          <w:highlight w:val="none"/>
          <w14:textFill>
            <w14:solidFill>
              <w14:schemeClr w14:val="tx1"/>
            </w14:solidFill>
          </w14:textFill>
        </w:rPr>
        <w:t>。</w:t>
      </w:r>
    </w:p>
    <w:p w14:paraId="3508023D">
      <w:pPr>
        <w:pStyle w:val="79"/>
        <w:pageBreakBefore w:val="0"/>
        <w:kinsoku/>
        <w:wordWrap w:val="0"/>
        <w:overflowPunct/>
        <w:bidi w:val="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出现报价相同的投标人均占排序</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排序先后按照</w:t>
      </w:r>
      <w:r>
        <w:rPr>
          <w:rFonts w:hint="eastAsia" w:ascii="Times New Roman" w:hAnsi="Times New Roman"/>
          <w:smallCaps w:val="0"/>
          <w:color w:val="000000" w:themeColor="text1"/>
          <w:highlight w:val="none"/>
          <w:lang w:val="en-US" w:eastAsia="zh-CN"/>
          <w14:textFill>
            <w14:solidFill>
              <w14:schemeClr w14:val="tx1"/>
            </w14:solidFill>
          </w14:textFill>
        </w:rPr>
        <w:t>评标办法前附表已明确的规则确定</w:t>
      </w:r>
      <w:r>
        <w:rPr>
          <w:rFonts w:hint="eastAsia" w:ascii="Times New Roman" w:hAnsi="Times New Roman"/>
          <w:smallCaps w:val="0"/>
          <w:color w:val="000000" w:themeColor="text1"/>
          <w:highlight w:val="none"/>
          <w:lang w:eastAsia="zh-CN"/>
          <w14:textFill>
            <w14:solidFill>
              <w14:schemeClr w14:val="tx1"/>
            </w14:solidFill>
          </w14:textFill>
        </w:rPr>
        <w:t>。</w:t>
      </w:r>
    </w:p>
    <w:p w14:paraId="5D9DF15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6A9B469E">
      <w:pPr>
        <w:pageBreakBefore w:val="0"/>
        <w:widowControl w:val="0"/>
        <w:kinsoku/>
        <w:wordWrap w:val="0"/>
        <w:overflowPunct/>
        <w:topLinePunct w:val="0"/>
        <w:autoSpaceDE/>
        <w:autoSpaceDN/>
        <w:bidi w:val="0"/>
        <w:snapToGrid/>
        <w:textAlignment w:val="auto"/>
        <w:rPr>
          <w:rStyle w:val="78"/>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bookmarkStart w:id="596" w:name="_Toc20152"/>
      <w:r>
        <w:rPr>
          <w:rStyle w:val="78"/>
          <w:rFonts w:hint="eastAsia" w:ascii="Times New Roman" w:hAnsi="Times New Roman"/>
          <w:smallCaps w:val="0"/>
          <w:color w:val="000000" w:themeColor="text1"/>
          <w:highlight w:val="none"/>
          <w14:textFill>
            <w14:solidFill>
              <w14:schemeClr w14:val="tx1"/>
            </w14:solidFill>
          </w14:textFill>
        </w:rPr>
        <w:t>附件3</w:t>
      </w:r>
      <w:r>
        <w:rPr>
          <w:rStyle w:val="78"/>
          <w:rFonts w:hint="eastAsia" w:ascii="Times New Roman" w:hAnsi="Times New Roman" w:eastAsia="黑体"/>
          <w:smallCaps w:val="0"/>
          <w:color w:val="000000" w:themeColor="text1"/>
          <w:highlight w:val="none"/>
          <w:u w:val="none"/>
          <w:lang w:eastAsia="zh-CN"/>
          <w14:textFill>
            <w14:solidFill>
              <w14:schemeClr w14:val="tx1"/>
            </w14:solidFill>
          </w14:textFill>
        </w:rPr>
        <w:t>：</w:t>
      </w:r>
      <w:r>
        <w:rPr>
          <w:rStyle w:val="78"/>
          <w:rFonts w:hint="eastAsia" w:ascii="Times New Roman" w:hAnsi="Times New Roman"/>
          <w:smallCaps w:val="0"/>
          <w:color w:val="000000" w:themeColor="text1"/>
          <w:highlight w:val="none"/>
          <w14:textFill>
            <w14:solidFill>
              <w14:schemeClr w14:val="tx1"/>
            </w14:solidFill>
          </w14:textFill>
        </w:rPr>
        <w:t>否决投标的其他情形</w:t>
      </w:r>
    </w:p>
    <w:bookmarkEnd w:id="596"/>
    <w:p w14:paraId="47691C5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1.评标委员会应对在评标过程中发现的投标人与投标人之间、投标人与招标人之间存在的串通投标的情形进行评审和认定。投标人存在串通投标、弄虚作假、行贿等违法行为的，评标委员会应否决其投标。</w:t>
      </w:r>
    </w:p>
    <w:p w14:paraId="1C82213F">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（1）有下列情形之一的，属于投标人相互串通投标</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8F23B6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①投标人之间协商投标报价等投标文件的实质性内容；</w:t>
      </w:r>
    </w:p>
    <w:p w14:paraId="60F1D03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②投标人之间约定中标人；</w:t>
      </w:r>
    </w:p>
    <w:p w14:paraId="713F8B7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③投标人之间约定部分投标人放弃投标或中标；</w:t>
      </w:r>
    </w:p>
    <w:p w14:paraId="59B4E95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④属于同一集团、协会、商会等组织成员的投标人按照该组织要求协同投标；</w:t>
      </w:r>
    </w:p>
    <w:p w14:paraId="4B8E7C2D">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⑤投标人之间为谋取中标或排斥特定投标人而采取的其他联合行动。</w:t>
      </w:r>
    </w:p>
    <w:p w14:paraId="27DF2D14">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（2）有下列情形之一的，视为投标人相互串通投标</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12E3E4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①不同投标人的投标文件由同一单位或个人编制；</w:t>
      </w:r>
    </w:p>
    <w:p w14:paraId="0AE46BF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②不同投标人委托同一单位或个人办理投标事宜；</w:t>
      </w:r>
    </w:p>
    <w:p w14:paraId="756C25F8">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③不同投标人的投标文件载明的项目管理成员为同一人；</w:t>
      </w:r>
    </w:p>
    <w:p w14:paraId="39ECEBFD">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④不同投标人的投标文件异常一致或投标报价呈规律性差异；</w:t>
      </w:r>
    </w:p>
    <w:p w14:paraId="37E453A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⑤不同投标人的投标文件相互混装；</w:t>
      </w:r>
    </w:p>
    <w:p w14:paraId="657BB93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⑥不同投标人的投标保证金从同一单位或个人的账户转出。</w:t>
      </w:r>
    </w:p>
    <w:p w14:paraId="07F54EA7">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（3）有下列情形之一的，属于招标人与投标人串通投标</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F8262D2">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①招标人在开标前开启投标文件并将有关信息泄露给其他投标人；</w:t>
      </w:r>
    </w:p>
    <w:p w14:paraId="0F9C9A7D">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②招标人直接或间接向投标人泄露标底、评标委员会成员等信息；</w:t>
      </w:r>
    </w:p>
    <w:p w14:paraId="380410A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③招标人明示或暗示投标人压低或抬高投标报价；</w:t>
      </w:r>
    </w:p>
    <w:p w14:paraId="2FA1933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④招标人授意投标人撤换、修改投标文件；</w:t>
      </w:r>
    </w:p>
    <w:p w14:paraId="63DDD3A2">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⑤招标人明示或暗示投标人为特定投标人中标提供方便；</w:t>
      </w:r>
    </w:p>
    <w:p w14:paraId="1A67924F">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⑥招标人与投标人为谋求特定投标人中标而采取的其他串通行为。</w:t>
      </w:r>
    </w:p>
    <w:p w14:paraId="3261C886">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（4）投标人有下列情形之一的，属于弄虚作假的行为</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981A01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①使用通过受让或租借等方式获取的资格、资质证书投标；</w:t>
      </w:r>
    </w:p>
    <w:p w14:paraId="57A9FBC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②使用伪造、变造的许可证件；</w:t>
      </w:r>
    </w:p>
    <w:p w14:paraId="5C33A93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③提供虚假的财务状况或业绩；</w:t>
      </w:r>
    </w:p>
    <w:p w14:paraId="458BD0C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④提供虚假的项目经理或主要技术人员简历、劳动关系证明；</w:t>
      </w:r>
    </w:p>
    <w:p w14:paraId="78A9FFC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⑤提供虚假的信用状况；</w:t>
      </w:r>
    </w:p>
    <w:p w14:paraId="5D90BFF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⑥其他弄虚作假的行为。</w:t>
      </w:r>
    </w:p>
    <w:p w14:paraId="0630A69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u w:val="singl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r>
        <w:rPr>
          <w:rFonts w:hint="eastAsia" w:ascii="Times New Roman" w:hAnsi="Times New Roman"/>
          <w:smallCaps w:val="0"/>
          <w:color w:val="000000" w:themeColor="text1"/>
          <w:highlight w:val="none"/>
          <w:u w:val="single"/>
          <w14:textFill>
            <w14:solidFill>
              <w14:schemeClr w14:val="tx1"/>
            </w14:solidFill>
          </w14:textFill>
        </w:rPr>
        <w:t>……</w:t>
      </w:r>
    </w:p>
    <w:p w14:paraId="383A1DEA">
      <w:pPr>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u w:val="singl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br w:type="page"/>
      </w:r>
    </w:p>
    <w:p w14:paraId="1DE52692">
      <w:pPr>
        <w:pStyle w:val="77"/>
        <w:pageBreakBefore w:val="0"/>
        <w:widowControl w:val="0"/>
        <w:kinsoku/>
        <w:wordWrap w:val="0"/>
        <w:overflowPunct/>
        <w:topLinePunct w:val="0"/>
        <w:autoSpaceDE/>
        <w:autoSpaceDN/>
        <w:bidi w:val="0"/>
        <w:snapToGrid/>
        <w:spacing w:before="0"/>
        <w:textAlignment w:val="auto"/>
        <w:outlineLvl w:val="9"/>
        <w:rPr>
          <w:rStyle w:val="78"/>
          <w:rFonts w:hint="eastAsia" w:ascii="Times New Roman" w:hAnsi="Times New Roman"/>
          <w:b w:val="0"/>
          <w:bCs w:val="0"/>
          <w:smallCaps w:val="0"/>
          <w:color w:val="000000" w:themeColor="text1"/>
          <w:kern w:val="2"/>
          <w:highlight w:val="none"/>
          <w:lang w:val="en-US" w:eastAsia="zh-CN" w:bidi="ar-SA"/>
          <w14:textFill>
            <w14:solidFill>
              <w14:schemeClr w14:val="tx1"/>
            </w14:solidFill>
          </w14:textFill>
        </w:rPr>
      </w:pPr>
      <w:bookmarkStart w:id="597" w:name="_Toc28101"/>
      <w:r>
        <w:rPr>
          <w:rStyle w:val="78"/>
          <w:rFonts w:hint="eastAsia" w:ascii="Times New Roman" w:hAnsi="Times New Roman"/>
          <w:b w:val="0"/>
          <w:bCs w:val="0"/>
          <w:smallCaps w:val="0"/>
          <w:color w:val="000000" w:themeColor="text1"/>
          <w:kern w:val="2"/>
          <w:highlight w:val="none"/>
          <w:lang w:val="en-US" w:eastAsia="zh-CN" w:bidi="ar-SA"/>
          <w14:textFill>
            <w14:solidFill>
              <w14:schemeClr w14:val="tx1"/>
            </w14:solidFill>
          </w14:textFill>
        </w:rPr>
        <w:t>附件4</w:t>
      </w:r>
      <w:r>
        <w:rPr>
          <w:rStyle w:val="78"/>
          <w:rFonts w:hint="eastAsia" w:ascii="Times New Roman" w:hAnsi="Times New Roman"/>
          <w:b w:val="0"/>
          <w:bCs w:val="0"/>
          <w:smallCaps w:val="0"/>
          <w:color w:val="000000" w:themeColor="text1"/>
          <w:kern w:val="2"/>
          <w:highlight w:val="none"/>
          <w:u w:val="none"/>
          <w:lang w:val="en-US" w:eastAsia="zh-CN" w:bidi="ar-SA"/>
          <w14:textFill>
            <w14:solidFill>
              <w14:schemeClr w14:val="tx1"/>
            </w14:solidFill>
          </w14:textFill>
        </w:rPr>
        <w:t>：</w:t>
      </w:r>
      <w:r>
        <w:rPr>
          <w:rStyle w:val="78"/>
          <w:rFonts w:hint="eastAsia" w:ascii="Times New Roman" w:hAnsi="Times New Roman"/>
          <w:b w:val="0"/>
          <w:bCs w:val="0"/>
          <w:smallCaps w:val="0"/>
          <w:color w:val="000000" w:themeColor="text1"/>
          <w:kern w:val="2"/>
          <w:highlight w:val="none"/>
          <w:lang w:val="en-US" w:eastAsia="zh-CN" w:bidi="ar-SA"/>
          <w14:textFill>
            <w14:solidFill>
              <w14:schemeClr w14:val="tx1"/>
            </w14:solidFill>
          </w14:textFill>
        </w:rPr>
        <w:t>异常低价评审</w:t>
      </w:r>
    </w:p>
    <w:bookmarkEnd w:id="597"/>
    <w:p w14:paraId="087449CC">
      <w:pPr>
        <w:pStyle w:val="79"/>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mallCaps w:val="0"/>
          <w:color w:val="000000" w:themeColor="text1"/>
          <w:highlight w:val="none"/>
          <w14:textFill>
            <w14:solidFill>
              <w14:schemeClr w14:val="tx1"/>
            </w14:solidFill>
          </w14:textFill>
        </w:rPr>
      </w:pPr>
    </w:p>
    <w:p w14:paraId="2A78339D">
      <w:pPr>
        <w:pageBreakBefore w:val="0"/>
        <w:kinsoku/>
        <w:wordWrap w:val="0"/>
        <w:overflowPunct/>
        <w:bidi w:val="0"/>
        <w:spacing w:before="240" w:beforeLines="100" w:after="240" w:afterLines="100" w:line="240" w:lineRule="auto"/>
        <w:jc w:val="left"/>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详见对应评审项</w:t>
      </w:r>
    </w:p>
    <w:p w14:paraId="04AAABB3">
      <w:pPr>
        <w:pageBreakBefore w:val="0"/>
        <w:kinsoku/>
        <w:wordWrap w:val="0"/>
        <w:overflowPunct/>
        <w:bidi w:val="0"/>
        <w:spacing w:before="240" w:beforeLines="100" w:after="240" w:afterLines="100" w:line="240" w:lineRule="auto"/>
        <w:jc w:val="left"/>
        <w:outlineLvl w:val="9"/>
        <w:rPr>
          <w:rStyle w:val="78"/>
          <w:rFonts w:hint="eastAsia" w:ascii="Times New Roman" w:hAnsi="Times New Roman"/>
          <w:b w:val="0"/>
          <w:bCs w:val="0"/>
          <w:smallCaps w:val="0"/>
          <w:color w:val="000000" w:themeColor="text1"/>
          <w:kern w:val="2"/>
          <w:highlight w:val="none"/>
          <w:lang w:val="en-US" w:eastAsia="zh-CN" w:bidi="ar-SA"/>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bookmarkStart w:id="598" w:name="_Toc12590"/>
    </w:p>
    <w:bookmarkEnd w:id="598"/>
    <w:p w14:paraId="28231910">
      <w:pPr>
        <w:pStyle w:val="77"/>
        <w:pageBreakBefore w:val="0"/>
        <w:widowControl w:val="0"/>
        <w:kinsoku/>
        <w:wordWrap w:val="0"/>
        <w:overflowPunct/>
        <w:topLinePunct w:val="0"/>
        <w:autoSpaceDE/>
        <w:autoSpaceDN/>
        <w:bidi w:val="0"/>
        <w:snapToGrid/>
        <w:spacing w:before="0"/>
        <w:textAlignment w:val="auto"/>
        <w:rPr>
          <w:rFonts w:hint="eastAsia" w:ascii="Times New Roman" w:hAnsi="Times New Roman"/>
          <w:smallCaps w:val="0"/>
          <w:color w:val="000000" w:themeColor="text1"/>
          <w:highlight w:val="none"/>
          <w14:textFill>
            <w14:solidFill>
              <w14:schemeClr w14:val="tx1"/>
            </w14:solidFill>
          </w14:textFill>
        </w:rPr>
      </w:pPr>
      <w:bookmarkStart w:id="599" w:name="_Toc130919097"/>
      <w:bookmarkStart w:id="600" w:name="_Toc19061"/>
      <w:bookmarkStart w:id="601" w:name="_Toc16663"/>
      <w:r>
        <w:rPr>
          <w:rFonts w:hint="eastAsia" w:ascii="Times New Roman" w:hAnsi="Times New Roman"/>
          <w:smallCaps w:val="0"/>
          <w:color w:val="000000" w:themeColor="text1"/>
          <w:highlight w:val="none"/>
          <w14:textFill>
            <w14:solidFill>
              <w14:schemeClr w14:val="tx1"/>
            </w14:solidFill>
          </w14:textFill>
        </w:rPr>
        <w:t>1. 评标方法</w:t>
      </w:r>
      <w:bookmarkEnd w:id="599"/>
      <w:bookmarkEnd w:id="600"/>
      <w:bookmarkEnd w:id="601"/>
    </w:p>
    <w:p w14:paraId="4B7BEF0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 本次评标采用</w:t>
      </w:r>
      <w:r>
        <w:rPr>
          <w:rFonts w:hint="eastAsia" w:ascii="Times New Roman" w:hAnsi="Times New Roman"/>
          <w:smallCaps w:val="0"/>
          <w:color w:val="000000" w:themeColor="text1"/>
          <w:highlight w:val="none"/>
          <w:lang w:val="en-US" w:eastAsia="zh-CN"/>
          <w14:textFill>
            <w14:solidFill>
              <w14:schemeClr w14:val="tx1"/>
            </w14:solidFill>
          </w14:textFill>
        </w:rPr>
        <w:t>合理低价法</w:t>
      </w:r>
      <w:r>
        <w:rPr>
          <w:rFonts w:hint="eastAsia" w:ascii="Times New Roman" w:hAnsi="Times New Roman"/>
          <w:smallCaps w:val="0"/>
          <w:color w:val="000000" w:themeColor="text1"/>
          <w:highlight w:val="none"/>
          <w14:textFill>
            <w14:solidFill>
              <w14:schemeClr w14:val="tx1"/>
            </w14:solidFill>
          </w14:textFill>
        </w:rPr>
        <w:t>。</w:t>
      </w:r>
    </w:p>
    <w:p w14:paraId="720084A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 评标委员会对符合招标文件初步筛查要求并纳入有效值计算范围的投标函文字报价进行有效值计算，对不低于有效值的投标函文字报价按照由低到高顺序依次进行商务文件初步评审、报价文件初步评审及技术文件初步评审并选择规定数量评审通过的投标人进行</w:t>
      </w:r>
      <w:r>
        <w:rPr>
          <w:rFonts w:hint="eastAsia" w:ascii="Times New Roman" w:hAnsi="Times New Roman"/>
          <w:smallCaps w:val="0"/>
          <w:color w:val="000000" w:themeColor="text1"/>
          <w:highlight w:val="none"/>
          <w:lang w:val="en-US" w:eastAsia="zh-CN"/>
          <w14:textFill>
            <w14:solidFill>
              <w14:schemeClr w14:val="tx1"/>
            </w14:solidFill>
          </w14:textFill>
        </w:rPr>
        <w:t>技术文件详细评审，并</w:t>
      </w:r>
      <w:r>
        <w:rPr>
          <w:rFonts w:hint="eastAsia" w:ascii="Times New Roman" w:hAnsi="Times New Roman"/>
          <w:smallCaps w:val="0"/>
          <w:color w:val="000000" w:themeColor="text1"/>
          <w:highlight w:val="none"/>
          <w14:textFill>
            <w14:solidFill>
              <w14:schemeClr w14:val="tx1"/>
            </w14:solidFill>
          </w14:textFill>
        </w:rPr>
        <w:t>计算得出最终总得分。</w:t>
      </w:r>
    </w:p>
    <w:p w14:paraId="670BB902">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 评标委员会按照最终总得分由高到低顺序推荐中标候选人，最终总得分相等时，中标候选人排序方法见评标办法前附表；或根据招标人授权直接确定中标人。不得推荐为中标候选人、确定为中标人的情形见本章第3.7款、第3.8.1项。</w:t>
      </w:r>
    </w:p>
    <w:p w14:paraId="3CF4930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 本次推荐中标候选人的先后顺序及最多可中标段数量见评标办法前附表。被推荐为第一中标候选人的标段个数已达到最多允许中标的标段个数的投标人，在后续标段不再被推荐为中标候选人，但仍参与评审。</w:t>
      </w:r>
    </w:p>
    <w:p w14:paraId="4514DB66">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1.5 评标结束后如有某标段的第一中标候选人发生变化的情况，不影响其他标段排序。</w:t>
      </w:r>
    </w:p>
    <w:p w14:paraId="36DB7036">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 招标人应当根据</w:t>
      </w:r>
      <w:r>
        <w:rPr>
          <w:rFonts w:hint="eastAsia" w:ascii="Times New Roman" w:hAnsi="Times New Roman"/>
          <w:smallCaps w:val="0"/>
          <w:color w:val="000000" w:themeColor="text1"/>
          <w:highlight w:val="none"/>
          <w:lang w:val="en-US" w:eastAsia="zh-CN"/>
          <w14:textFill>
            <w14:solidFill>
              <w14:schemeClr w14:val="tx1"/>
            </w14:solidFill>
          </w14:textFill>
        </w:rPr>
        <w:t>招标</w:t>
      </w:r>
      <w:r>
        <w:rPr>
          <w:rFonts w:hint="eastAsia" w:ascii="Times New Roman" w:hAnsi="Times New Roman"/>
          <w:smallCaps w:val="0"/>
          <w:color w:val="000000" w:themeColor="text1"/>
          <w:highlight w:val="none"/>
          <w14:textFill>
            <w14:solidFill>
              <w14:schemeClr w14:val="tx1"/>
            </w14:solidFill>
          </w14:textFill>
        </w:rPr>
        <w:t>项目的实际情况，在评标办法正文及前附表中列明所有否决投标的情形；第三章“评标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”没有列明的否决投标的情形，一律不得作为评审依据。</w:t>
      </w:r>
    </w:p>
    <w:p w14:paraId="50280AC7">
      <w:pPr>
        <w:pStyle w:val="77"/>
        <w:pageBreakBefore w:val="0"/>
        <w:widowControl w:val="0"/>
        <w:kinsoku/>
        <w:wordWrap w:val="0"/>
        <w:overflowPunct/>
        <w:topLinePunct w:val="0"/>
        <w:autoSpaceDE/>
        <w:autoSpaceDN/>
        <w:bidi w:val="0"/>
        <w:snapToGrid/>
        <w:spacing w:before="0"/>
        <w:textAlignment w:val="auto"/>
        <w:rPr>
          <w:rFonts w:hint="eastAsia" w:ascii="Times New Roman" w:hAnsi="Times New Roman"/>
          <w:smallCaps w:val="0"/>
          <w:color w:val="000000" w:themeColor="text1"/>
          <w:highlight w:val="none"/>
          <w14:textFill>
            <w14:solidFill>
              <w14:schemeClr w14:val="tx1"/>
            </w14:solidFill>
          </w14:textFill>
        </w:rPr>
      </w:pPr>
      <w:bookmarkStart w:id="602" w:name="_Toc17548"/>
      <w:bookmarkStart w:id="603" w:name="_Toc130919098"/>
      <w:bookmarkStart w:id="604" w:name="_Toc5338"/>
      <w:r>
        <w:rPr>
          <w:rFonts w:hint="eastAsia" w:ascii="Times New Roman" w:hAnsi="Times New Roman"/>
          <w:smallCaps w:val="0"/>
          <w:color w:val="000000" w:themeColor="text1"/>
          <w:highlight w:val="none"/>
          <w14:textFill>
            <w14:solidFill>
              <w14:schemeClr w14:val="tx1"/>
            </w14:solidFill>
          </w14:textFill>
        </w:rPr>
        <w:t>2. 评审标准</w:t>
      </w:r>
      <w:bookmarkEnd w:id="602"/>
      <w:bookmarkEnd w:id="603"/>
      <w:bookmarkEnd w:id="604"/>
    </w:p>
    <w:p w14:paraId="5EE708E8">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2.1 初步评审标准</w:t>
      </w:r>
    </w:p>
    <w:p w14:paraId="2581C42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 形式评审标准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2C3F6F0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2.1.2 资格评审标准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685DE8A8">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2.1.3 响应性评审标准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652FA96C">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2.2 详细评审标准</w:t>
      </w:r>
    </w:p>
    <w:p w14:paraId="0EEE1DF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2.2.1 技术文件和报价文件分值构成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74AC94D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2.2.2技术文件和报价文件评分标准</w:t>
      </w:r>
    </w:p>
    <w:p w14:paraId="44A4D52A">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（1）技术文件评分标准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0788A5F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（2）报价文件评分标准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53C67818">
      <w:pPr>
        <w:pStyle w:val="77"/>
        <w:pageBreakBefore w:val="0"/>
        <w:widowControl w:val="0"/>
        <w:kinsoku/>
        <w:wordWrap w:val="0"/>
        <w:overflowPunct/>
        <w:topLinePunct w:val="0"/>
        <w:autoSpaceDE/>
        <w:autoSpaceDN/>
        <w:bidi w:val="0"/>
        <w:snapToGrid/>
        <w:spacing w:before="0"/>
        <w:textAlignment w:val="auto"/>
        <w:rPr>
          <w:rFonts w:hint="eastAsia" w:ascii="Times New Roman" w:hAnsi="Times New Roman"/>
          <w:smallCaps w:val="0"/>
          <w:color w:val="000000" w:themeColor="text1"/>
          <w:highlight w:val="none"/>
          <w14:textFill>
            <w14:solidFill>
              <w14:schemeClr w14:val="tx1"/>
            </w14:solidFill>
          </w14:textFill>
        </w:rPr>
      </w:pPr>
      <w:bookmarkStart w:id="605" w:name="_Toc130919099"/>
      <w:bookmarkStart w:id="606" w:name="_Toc12424"/>
      <w:bookmarkStart w:id="607" w:name="_Toc29490"/>
      <w:r>
        <w:rPr>
          <w:rFonts w:hint="eastAsia" w:ascii="Times New Roman" w:hAnsi="Times New Roman"/>
          <w:smallCaps w:val="0"/>
          <w:color w:val="000000" w:themeColor="text1"/>
          <w:highlight w:val="none"/>
          <w14:textFill>
            <w14:solidFill>
              <w14:schemeClr w14:val="tx1"/>
            </w14:solidFill>
          </w14:textFill>
        </w:rPr>
        <w:t>3. 评标程序</w:t>
      </w:r>
      <w:bookmarkEnd w:id="605"/>
      <w:bookmarkEnd w:id="606"/>
      <w:bookmarkEnd w:id="607"/>
    </w:p>
    <w:p w14:paraId="7FA0AB59">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3.1 确定有效值</w:t>
      </w:r>
    </w:p>
    <w:p w14:paraId="1674A84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有效值计算方法见评标办法前附表。</w:t>
      </w:r>
    </w:p>
    <w:p w14:paraId="5E4DE198">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default" w:ascii="Times New Roman" w:hAnsi="Times New Roman"/>
          <w:smallCaps w:val="0"/>
          <w:color w:val="000000" w:themeColor="text1"/>
          <w:sz w:val="24"/>
          <w:szCs w:val="24"/>
          <w:highlight w:val="none"/>
          <w14:textFill>
            <w14:solidFill>
              <w14:schemeClr w14:val="tx1"/>
            </w14:solidFill>
          </w14:textFill>
        </w:rPr>
        <w:t>3.2</w:t>
      </w:r>
      <w:r>
        <w:rPr>
          <w:rFonts w:hint="eastAsia" w:ascii="Times New Roman" w:hAnsi="Times New Roman"/>
          <w:smallCaps w:val="0"/>
          <w:color w:val="000000" w:themeColor="text1"/>
          <w:sz w:val="24"/>
          <w:szCs w:val="24"/>
          <w:highlight w:val="none"/>
          <w14:textFill>
            <w14:solidFill>
              <w14:schemeClr w14:val="tx1"/>
            </w14:solidFill>
          </w14:textFill>
        </w:rPr>
        <w:t xml:space="preserve"> </w:t>
      </w:r>
      <w:r>
        <w:rPr>
          <w:rFonts w:hint="default" w:ascii="Times New Roman" w:hAnsi="Times New Roman"/>
          <w:smallCaps w:val="0"/>
          <w:color w:val="000000" w:themeColor="text1"/>
          <w:sz w:val="24"/>
          <w:szCs w:val="24"/>
          <w:highlight w:val="none"/>
          <w14:textFill>
            <w14:solidFill>
              <w14:schemeClr w14:val="tx1"/>
            </w14:solidFill>
          </w14:textFill>
        </w:rPr>
        <w:t>商务文件初步评审</w:t>
      </w:r>
    </w:p>
    <w:p w14:paraId="4CD0F61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3.2.1 评标委员会依据本章第2.1.1项、第2.1.2项、第2.1.3项规定的评审标准对商务文件进行初步评审。有一项不符合评审标准的，评标委员会应否决其投标。</w:t>
      </w:r>
    </w:p>
    <w:p w14:paraId="74E85988">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3.2.2 商务文件初步评审选择规则见评标办法前附表。</w:t>
      </w:r>
    </w:p>
    <w:p w14:paraId="47565DA8">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default" w:ascii="Times New Roman" w:hAnsi="Times New Roman"/>
          <w:smallCaps w:val="0"/>
          <w:color w:val="000000" w:themeColor="text1"/>
          <w:sz w:val="24"/>
          <w:szCs w:val="24"/>
          <w:highlight w:val="none"/>
          <w14:textFill>
            <w14:solidFill>
              <w14:schemeClr w14:val="tx1"/>
            </w14:solidFill>
          </w14:textFill>
        </w:rPr>
        <w:t>3.3 报价文件初步评审</w:t>
      </w:r>
    </w:p>
    <w:p w14:paraId="4238573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3.3.1 评标委员会依据本章第2.1.1项、第2.1.3项规定的评审标准对报价文件进行初步评审。有一项不符合评审标准的，评标委员会应否决其投标。</w:t>
      </w:r>
    </w:p>
    <w:p w14:paraId="2021327A">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3.3.2 初步评审时，评标委员会应对报价文件进行分析和整理工作（简称“清标”），从而发现并提取其中可能存在的对招标范围理解的偏差、投标报价的算术性错误、缺漏项、投标报价构成不合理、不平衡报价等存在明显异常的问题，并就这些问题整理形成清标成果。评标委员会对清标成果审议后，决定需要投标人进行澄清、说明的问题，向投标人发出问题澄清通知。清标工作可以使用计算机评标系统辅助评标委员会完成。</w:t>
      </w:r>
    </w:p>
    <w:p w14:paraId="47742B0F">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3.3.3 清标的内容和步骤</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FAC7484">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（1）投标文件在符合性、响应性等方面存在的偏差；</w:t>
      </w:r>
    </w:p>
    <w:p w14:paraId="3D830B4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（2）投标文件存在的算术计算错误和修正结果；</w:t>
      </w:r>
    </w:p>
    <w:p w14:paraId="48C71F5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（3）在列出的所有偏差中，属于重大偏差的情形和相关依据；在列出的所有偏差中，属于细微偏差的情形；</w:t>
      </w:r>
    </w:p>
    <w:p w14:paraId="188B028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（4）评标委员会审核确认清标结果。</w:t>
      </w:r>
    </w:p>
    <w:p w14:paraId="071490F8">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3.3.4 除按照第二章“投标人须知”第1.12.3项、第1.12.4项对细微偏差进行处理外，对于其他细微偏差按照以下规定处理</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2D2B7BF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（1）投标文件中填报的工程量清单报价书中的分部分项工程量清单项目名称、项目特征描述、计量单位及工程量等与招标人提供的工程量清单相应内容存在细微偏差的，以招标人提供的内容为准；</w:t>
      </w:r>
    </w:p>
    <w:p w14:paraId="19282A1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（2）投标文件中填报的投标报价前后不一致时，以投标函填报的为准；</w:t>
      </w:r>
    </w:p>
    <w:p w14:paraId="0CC4EC9B">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（3）投标报价计算错误的修正</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2FC72EC5">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①投标文件中的大写金额与小写金额不一致的，以大写金额为准；</w:t>
      </w:r>
    </w:p>
    <w:p w14:paraId="33ADB1C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②总价金额与依据单价计算出的结果不一致的，以单价金额为准修正总价，但单价金额小数点有明显错误的除外；</w:t>
      </w:r>
    </w:p>
    <w:p w14:paraId="59C861D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③当单价与数量相乘不等于合价时，以单价计算为准，如果单价有明显的小数点位置差错，应以标出的合价为准，同时对单价予以修正；</w:t>
      </w:r>
    </w:p>
    <w:p w14:paraId="5B89752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④当各子目的合价累计不等于总价时，应以各子目合价累计数为准，修正总价；</w:t>
      </w:r>
    </w:p>
    <w:p w14:paraId="5783477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⑤工程量清单报价表中综合单价与工程量清单项目综合单价分析表相对应综合单价不一致时，以工程量清单项目综合单价分析表中标出的综合单价为准。</w:t>
      </w:r>
    </w:p>
    <w:p w14:paraId="4454000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（4）投标报价存在细微偏差的，评标委员会按照以上原则对投标报价进行处理，并要求投标人澄清确认，投标人拒不澄清确认的，评标委员会应当否决其投标。</w:t>
      </w:r>
    </w:p>
    <w:p w14:paraId="0495EE44">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3.3.5 评标委员会发现投标人的报价明显低于其他投标报价，使得其投标报价可能低于其个别成本的，应当要求该投标人作出说明并提供相应的证明材料。投标人不能合理说明或者不能提供相应证明材料的，评标委员会应当认定该投标人以低于成本报价竞标，否决其投标。</w:t>
      </w:r>
    </w:p>
    <w:p w14:paraId="31279CF6">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3.3.6 报价文件初步评审选择规则见评标办法前附表。</w:t>
      </w:r>
    </w:p>
    <w:p w14:paraId="1BD4ED31">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default" w:ascii="Times New Roman" w:hAnsi="Times New Roman"/>
          <w:smallCaps w:val="0"/>
          <w:color w:val="000000" w:themeColor="text1"/>
          <w:sz w:val="24"/>
          <w:szCs w:val="24"/>
          <w:highlight w:val="none"/>
          <w14:textFill>
            <w14:solidFill>
              <w14:schemeClr w14:val="tx1"/>
            </w14:solidFill>
          </w14:textFill>
        </w:rPr>
        <w:t>3.4 技术文件初步评审</w:t>
      </w:r>
    </w:p>
    <w:p w14:paraId="73992DD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3.4.1评标委员会依据本章第2.1.1项、第2.1.3项规定的评审标准对技术文件进行初步评审。有一项不符合评审标准的，评标委员会应否决其投标。</w:t>
      </w:r>
    </w:p>
    <w:p w14:paraId="7AB39414">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3.4.2 技术文件初步评审选择规则见评标办法前附表。</w:t>
      </w:r>
    </w:p>
    <w:p w14:paraId="18EB3943">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default" w:ascii="Times New Roman" w:hAnsi="Times New Roman"/>
          <w:smallCaps w:val="0"/>
          <w:color w:val="000000" w:themeColor="text1"/>
          <w:sz w:val="24"/>
          <w:szCs w:val="24"/>
          <w:highlight w:val="none"/>
          <w14:textFill>
            <w14:solidFill>
              <w14:schemeClr w14:val="tx1"/>
            </w14:solidFill>
          </w14:textFill>
        </w:rPr>
        <w:t>3.5 详细评审</w:t>
      </w:r>
    </w:p>
    <w:p w14:paraId="711AF19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3.5.1 评标委员会按照本章第2.2款规定的量化因素和分值进行打分，并计算出各投标人的技术及报价文件得分。</w:t>
      </w:r>
    </w:p>
    <w:p w14:paraId="346063F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（1）按照本章第2.2.2（1）目规定的评审因素和分值计算出技术文件得分A。技术文件详细评审选择规则见评标办法前附表。</w:t>
      </w:r>
    </w:p>
    <w:p w14:paraId="7FFB510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（2）按照本章第2.2.2（2）目规定的评审因素和分值计算出报价文件得分B。</w:t>
      </w:r>
    </w:p>
    <w:p w14:paraId="05ACA295">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3.5.2 投标人最终总得分=A+B。</w:t>
      </w:r>
    </w:p>
    <w:p w14:paraId="6DDDC591">
      <w:pPr>
        <w:pStyle w:val="77"/>
        <w:pageBreakBefore w:val="0"/>
        <w:widowControl w:val="0"/>
        <w:kinsoku/>
        <w:wordWrap w:val="0"/>
        <w:overflowPunct/>
        <w:topLinePunct w:val="0"/>
        <w:autoSpaceDE/>
        <w:autoSpaceDN/>
        <w:bidi w:val="0"/>
        <w:snapToGrid/>
        <w:spacing w:before="0"/>
        <w:textAlignment w:val="auto"/>
        <w:outlineLvl w:val="2"/>
        <w:rPr>
          <w:rFonts w:hint="default" w:ascii="Times New Roman" w:hAnsi="Times New Roman"/>
          <w:smallCaps w:val="0"/>
          <w:color w:val="000000" w:themeColor="text1"/>
          <w:sz w:val="24"/>
          <w:szCs w:val="24"/>
          <w:highlight w:val="none"/>
          <w14:textFill>
            <w14:solidFill>
              <w14:schemeClr w14:val="tx1"/>
            </w14:solidFill>
          </w14:textFill>
        </w:rPr>
      </w:pPr>
      <w:r>
        <w:rPr>
          <w:rFonts w:hint="default" w:ascii="Times New Roman" w:hAnsi="Times New Roman"/>
          <w:smallCaps w:val="0"/>
          <w:color w:val="000000" w:themeColor="text1"/>
          <w:sz w:val="24"/>
          <w:szCs w:val="24"/>
          <w:highlight w:val="none"/>
          <w14:textFill>
            <w14:solidFill>
              <w14:schemeClr w14:val="tx1"/>
            </w14:solidFill>
          </w14:textFill>
        </w:rPr>
        <w:t>3.6</w:t>
      </w:r>
      <w:r>
        <w:rPr>
          <w:rFonts w:hint="eastAsia" w:ascii="Times New Roman" w:hAnsi="Times New Roman"/>
          <w:smallCaps w:val="0"/>
          <w:color w:val="000000" w:themeColor="text1"/>
          <w:sz w:val="24"/>
          <w:szCs w:val="24"/>
          <w:highlight w:val="none"/>
          <w14:textFill>
            <w14:solidFill>
              <w14:schemeClr w14:val="tx1"/>
            </w14:solidFill>
          </w14:textFill>
        </w:rPr>
        <w:t xml:space="preserve"> </w:t>
      </w:r>
      <w:r>
        <w:rPr>
          <w:rFonts w:hint="default" w:ascii="Times New Roman" w:hAnsi="Times New Roman"/>
          <w:smallCaps w:val="0"/>
          <w:color w:val="000000" w:themeColor="text1"/>
          <w:sz w:val="24"/>
          <w:szCs w:val="24"/>
          <w:highlight w:val="none"/>
          <w14:textFill>
            <w14:solidFill>
              <w14:schemeClr w14:val="tx1"/>
            </w14:solidFill>
          </w14:textFill>
        </w:rPr>
        <w:t>投标文件的澄清、说明或补正</w:t>
      </w:r>
    </w:p>
    <w:p w14:paraId="6266F8A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3.6.1 在评标过程中，评标委员会可以要求投标人对投标文件中含义不明确、对同类问题表述不一致或者有明显文字和计算错误的内容作必要的澄清、说明或补正。评标委员会不接受投标人主动提出的澄清、说明或补正。</w:t>
      </w:r>
    </w:p>
    <w:p w14:paraId="194278E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3.6.2 澄清、说明或补正不得超出投标文件的范围且不得改变投标文件的实质性内容，并构成投标文件的组成部分。</w:t>
      </w:r>
    </w:p>
    <w:p w14:paraId="071B998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3.6.3 评标委员会对投标人提交的澄清、说明或补正有疑问的，可以要求投标人进一步澄清、说明或补正，直至满足评标委员会的要求。</w:t>
      </w:r>
    </w:p>
    <w:p w14:paraId="5ECC749D">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default" w:ascii="Times New Roman" w:hAnsi="Times New Roman"/>
          <w:smallCaps w:val="0"/>
          <w:color w:val="000000" w:themeColor="text1"/>
          <w:sz w:val="24"/>
          <w:szCs w:val="24"/>
          <w:highlight w:val="none"/>
          <w14:textFill>
            <w14:solidFill>
              <w14:schemeClr w14:val="tx1"/>
            </w14:solidFill>
          </w14:textFill>
        </w:rPr>
        <w:t>3.7 否决投标的情形</w:t>
      </w:r>
    </w:p>
    <w:p w14:paraId="00AB120D">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3.7.1 投标人不符合本章第3.2款、第3.3款、第3.4款的，评标委员会应否决其投标。</w:t>
      </w:r>
    </w:p>
    <w:p w14:paraId="7FCF2CF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3.7.2 否决投标的其他情形，见评标办法前附表。</w:t>
      </w:r>
    </w:p>
    <w:p w14:paraId="3C24131A">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3.7.3 投标人未通过异常低价评审的，评标委员会应否决其投标，不得推荐为中标候选人、确定为中标人。异常低价评审见评标办法前附表。</w:t>
      </w:r>
    </w:p>
    <w:p w14:paraId="68935464">
      <w:pPr>
        <w:pStyle w:val="77"/>
        <w:pageBreakBefore w:val="0"/>
        <w:widowControl w:val="0"/>
        <w:kinsoku/>
        <w:wordWrap w:val="0"/>
        <w:overflowPunct/>
        <w:topLinePunct w:val="0"/>
        <w:autoSpaceDE/>
        <w:autoSpaceDN/>
        <w:bidi w:val="0"/>
        <w:snapToGrid/>
        <w:spacing w:before="0"/>
        <w:textAlignment w:val="auto"/>
        <w:outlineLvl w:val="2"/>
        <w:rPr>
          <w:rFonts w:hint="default" w:ascii="Times New Roman" w:hAnsi="Times New Roman"/>
          <w:smallCaps w:val="0"/>
          <w:color w:val="000000" w:themeColor="text1"/>
          <w:sz w:val="24"/>
          <w:szCs w:val="24"/>
          <w:highlight w:val="none"/>
          <w14:textFill>
            <w14:solidFill>
              <w14:schemeClr w14:val="tx1"/>
            </w14:solidFill>
          </w14:textFill>
        </w:rPr>
      </w:pPr>
      <w:r>
        <w:rPr>
          <w:rFonts w:hint="default" w:ascii="Times New Roman" w:hAnsi="Times New Roman"/>
          <w:smallCaps w:val="0"/>
          <w:color w:val="000000" w:themeColor="text1"/>
          <w:sz w:val="24"/>
          <w:szCs w:val="24"/>
          <w:highlight w:val="none"/>
          <w14:textFill>
            <w14:solidFill>
              <w14:schemeClr w14:val="tx1"/>
            </w14:solidFill>
          </w14:textFill>
        </w:rPr>
        <w:t>3.8 评标结果</w:t>
      </w:r>
    </w:p>
    <w:p w14:paraId="48FF6180">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3.8.1 评标委员会对拟推荐的中标候选人进行查询，存在投标人须知第1.4.4项规定情形的，不得推荐为中标候选人，查询要求如下</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653B8F8">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（1）评标委员会仅通过“国家企业信用信息公示系统”查询拟推荐中标候选人是否被列入严重违法失信名单，并将查询截图及查询结果在评标报告中予以记录；</w:t>
      </w:r>
    </w:p>
    <w:p w14:paraId="7778E41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评标委员会仅通过“信用中国”查询拟推荐中标候选人是否被列为失信被执行人、确定为重大税收违法失信主体、列入拖欠农民工工资失信联合惩戒对象名单，并将查询截图及查询结果在评标报告中予以记录；</w:t>
      </w:r>
    </w:p>
    <w:p w14:paraId="5C2AE37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（3）其他要求见投标人须知</w:t>
      </w:r>
      <w:r>
        <w:rPr>
          <w:rFonts w:hint="eastAsia" w:ascii="Times New Roman" w:hAnsi="Times New Roman"/>
          <w:smallCaps w:val="0"/>
          <w:color w:val="000000" w:themeColor="text1"/>
          <w:highlight w:val="none"/>
          <w:lang w:eastAsia="zh-CN"/>
          <w14:textFill>
            <w14:solidFill>
              <w14:schemeClr w14:val="tx1"/>
            </w14:solidFill>
          </w14:textFill>
        </w:rPr>
        <w:t>正文</w:t>
      </w:r>
      <w:r>
        <w:rPr>
          <w:rFonts w:hint="eastAsia" w:ascii="Times New Roman" w:hAnsi="Times New Roman"/>
          <w:smallCaps w:val="0"/>
          <w:color w:val="000000" w:themeColor="text1"/>
          <w:highlight w:val="none"/>
          <w14:textFill>
            <w14:solidFill>
              <w14:schemeClr w14:val="tx1"/>
            </w14:solidFill>
          </w14:textFill>
        </w:rPr>
        <w:t>第1.4.4（5）目。</w:t>
      </w:r>
    </w:p>
    <w:p w14:paraId="1F579338">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除第二章投标人须知前附表授权直接确定中标人外，评标委员会按照评标办法的规定推荐中标候选人，并标明排列排序。</w:t>
      </w:r>
    </w:p>
    <w:p w14:paraId="63157CE2">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3.8.2 评标委员会完成评标后，应当向招标人提交评标报告。</w:t>
      </w:r>
      <w:r>
        <w:rPr>
          <w:rFonts w:hint="eastAsia" w:ascii="Times New Roman" w:hAnsi="Times New Roman"/>
          <w:smallCaps w:val="0"/>
          <w:color w:val="000000" w:themeColor="text1"/>
          <w:highlight w:val="none"/>
          <w:lang w:val="en-US" w:eastAsia="zh-CN"/>
          <w14:textFill>
            <w14:solidFill>
              <w14:schemeClr w14:val="tx1"/>
            </w14:solidFill>
          </w14:textFill>
        </w:rPr>
        <w:t>评标报告应当如实记载以下内容</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005A0573">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（1）基本情况和数据表；</w:t>
      </w:r>
    </w:p>
    <w:p w14:paraId="6F56B34A">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（2）评标委员会成员名单；</w:t>
      </w:r>
    </w:p>
    <w:p w14:paraId="08861841">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（3）开标记录；</w:t>
      </w:r>
    </w:p>
    <w:p w14:paraId="56433DAD">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（4）符合要求的投标人一览表；</w:t>
      </w:r>
    </w:p>
    <w:p w14:paraId="3EAF2E64">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（5）否决投标情况说明；</w:t>
      </w:r>
    </w:p>
    <w:p w14:paraId="637AD25B">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（6）评标标准、评标方法或者评标因素一览表；</w:t>
      </w:r>
    </w:p>
    <w:p w14:paraId="69B23A0C">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（7）评分情况一览表；</w:t>
      </w:r>
    </w:p>
    <w:p w14:paraId="6345DCB6">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（8）经评审的投标人排序；</w:t>
      </w:r>
    </w:p>
    <w:p w14:paraId="72D5811A">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（9）推荐的中标候选人名单与签订合同前要处理的事宜；</w:t>
      </w:r>
    </w:p>
    <w:p w14:paraId="46F7BDEA">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（10）澄清、说明事项纪要。</w:t>
      </w:r>
    </w:p>
    <w:p w14:paraId="0503C6C4">
      <w:pPr>
        <w:pageBreakBefore w:val="0"/>
        <w:kinsoku/>
        <w:wordWrap w:val="0"/>
        <w:overflowPunct/>
        <w:bidi w:val="0"/>
        <w:rPr>
          <w:rFonts w:hint="eastAsia" w:ascii="Times New Roman" w:hAnsi="Times New Roman" w:eastAsia="黑体" w:cs="宋体"/>
          <w:b/>
          <w:bCs w:val="0"/>
          <w:smallCaps w:val="0"/>
          <w:color w:val="000000" w:themeColor="text1"/>
          <w:kern w:val="44"/>
          <w:sz w:val="30"/>
          <w:szCs w:val="44"/>
          <w:highlight w:val="none"/>
          <w:lang w:val="en-US" w:eastAsia="zh-CN" w:bidi="ar-SA"/>
          <w14:textFill>
            <w14:solidFill>
              <w14:schemeClr w14:val="tx1"/>
            </w14:solidFill>
          </w14:textFill>
        </w:rPr>
      </w:pPr>
      <w:bookmarkStart w:id="608" w:name="_Toc24841"/>
      <w:bookmarkStart w:id="609" w:name="_Toc130919112"/>
      <w:r>
        <w:rPr>
          <w:rFonts w:hint="eastAsia" w:ascii="Times New Roman" w:hAnsi="Times New Roman" w:eastAsia="黑体" w:cs="宋体"/>
          <w:b/>
          <w:bCs w:val="0"/>
          <w:smallCaps w:val="0"/>
          <w:color w:val="000000" w:themeColor="text1"/>
          <w:kern w:val="44"/>
          <w:sz w:val="30"/>
          <w:szCs w:val="44"/>
          <w:highlight w:val="none"/>
          <w:lang w:val="en-US" w:eastAsia="zh-CN" w:bidi="ar-SA"/>
          <w14:textFill>
            <w14:solidFill>
              <w14:schemeClr w14:val="tx1"/>
            </w14:solidFill>
          </w14:textFill>
        </w:rPr>
        <w:br w:type="page"/>
      </w:r>
    </w:p>
    <w:p w14:paraId="67E4B828">
      <w:pPr>
        <w:pStyle w:val="40"/>
        <w:pageBreakBefore w:val="0"/>
        <w:numPr>
          <w:ilvl w:val="0"/>
          <w:numId w:val="0"/>
        </w:numPr>
        <w:kinsoku/>
        <w:wordWrap w:val="0"/>
        <w:overflowPunct/>
        <w:bidi w:val="0"/>
        <w:rPr>
          <w:rFonts w:hint="eastAsia"/>
          <w:color w:val="000000" w:themeColor="text1"/>
          <w:highlight w:val="none"/>
          <w:lang w:val="en-US" w:eastAsia="zh-CN"/>
          <w14:textFill>
            <w14:solidFill>
              <w14:schemeClr w14:val="tx1"/>
            </w14:solidFill>
          </w14:textFill>
        </w:rPr>
      </w:pPr>
      <w:bookmarkStart w:id="610" w:name="_Toc1132"/>
      <w:r>
        <w:rPr>
          <w:rFonts w:hint="eastAsia"/>
          <w:color w:val="000000" w:themeColor="text1"/>
          <w:highlight w:val="none"/>
          <w:lang w:val="en-US" w:eastAsia="zh-CN"/>
          <w14:textFill>
            <w14:solidFill>
              <w14:schemeClr w14:val="tx1"/>
            </w14:solidFill>
          </w14:textFill>
        </w:rPr>
        <w:t>第三章 评标及定标</w:t>
      </w:r>
      <w:bookmarkEnd w:id="608"/>
      <w:bookmarkEnd w:id="610"/>
    </w:p>
    <w:p w14:paraId="7DC4950F">
      <w:pPr>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p>
    <w:p w14:paraId="0C43ACBC">
      <w:pPr>
        <w:pStyle w:val="40"/>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bookmarkStart w:id="611" w:name="_Toc11160"/>
      <w:bookmarkStart w:id="612" w:name="_Toc23917"/>
      <w:r>
        <w:rPr>
          <w:rFonts w:hint="eastAsia" w:ascii="Times New Roman" w:hAnsi="Times New Roman"/>
          <w:smallCaps w:val="0"/>
          <w:color w:val="000000" w:themeColor="text1"/>
          <w:highlight w:val="none"/>
          <w14:textFill>
            <w14:solidFill>
              <w14:schemeClr w14:val="tx1"/>
            </w14:solidFill>
          </w14:textFill>
        </w:rPr>
        <w:t>（第</w:t>
      </w:r>
      <w:r>
        <w:rPr>
          <w:rFonts w:hint="eastAsia" w:ascii="Times New Roman" w:hAnsi="Times New Roman"/>
          <w:smallCaps w:val="0"/>
          <w:color w:val="000000" w:themeColor="text1"/>
          <w:highlight w:val="none"/>
          <w:lang w:val="en-US" w:eastAsia="zh-CN"/>
          <w14:textFill>
            <w14:solidFill>
              <w14:schemeClr w14:val="tx1"/>
            </w14:solidFill>
          </w14:textFill>
        </w:rPr>
        <w:t>三</w:t>
      </w:r>
      <w:r>
        <w:rPr>
          <w:rFonts w:hint="eastAsia" w:ascii="Times New Roman" w:hAnsi="Times New Roman"/>
          <w:smallCaps w:val="0"/>
          <w:color w:val="000000" w:themeColor="text1"/>
          <w:highlight w:val="none"/>
          <w14:textFill>
            <w14:solidFill>
              <w14:schemeClr w14:val="tx1"/>
            </w14:solidFill>
          </w14:textFill>
        </w:rPr>
        <w:t>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综合评估法</w:t>
      </w:r>
      <w:bookmarkEnd w:id="611"/>
      <w:r>
        <w:rPr>
          <w:rFonts w:hint="eastAsia" w:ascii="Times New Roman" w:hAnsi="Times New Roman"/>
          <w:smallCaps w:val="0"/>
          <w:color w:val="000000" w:themeColor="text1"/>
          <w:highlight w:val="none"/>
          <w:lang w:eastAsia="zh-CN"/>
          <w14:textFill>
            <w14:solidFill>
              <w14:schemeClr w14:val="tx1"/>
            </w14:solidFill>
          </w14:textFill>
        </w:rPr>
        <w:t>）</w:t>
      </w:r>
      <w:bookmarkEnd w:id="612"/>
    </w:p>
    <w:p w14:paraId="73131AC5">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45FB729D">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613" w:name="_Toc17316"/>
      <w:bookmarkStart w:id="614" w:name="_Toc16336"/>
      <w:r>
        <w:rPr>
          <w:rFonts w:hint="eastAsia" w:ascii="Times New Roman" w:hAnsi="Times New Roman"/>
          <w:smallCaps w:val="0"/>
          <w:color w:val="000000" w:themeColor="text1"/>
          <w:highlight w:val="none"/>
          <w14:textFill>
            <w14:solidFill>
              <w14:schemeClr w14:val="tx1"/>
            </w14:solidFill>
          </w14:textFill>
        </w:rPr>
        <w:t>评标办法前附表</w:t>
      </w:r>
      <w:bookmarkEnd w:id="609"/>
      <w:bookmarkEnd w:id="613"/>
      <w:bookmarkEnd w:id="614"/>
    </w:p>
    <w:tbl>
      <w:tblPr>
        <w:tblStyle w:val="22"/>
        <w:tblW w:w="50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2"/>
        <w:gridCol w:w="1820"/>
        <w:gridCol w:w="6338"/>
      </w:tblGrid>
      <w:tr w14:paraId="5402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shd w:val="clear" w:color="auto" w:fill="D7D7D7" w:themeFill="background1" w:themeFillShade="D8"/>
            <w:noWrap w:val="0"/>
            <w:vAlign w:val="center"/>
          </w:tcPr>
          <w:p w14:paraId="73FA5D6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1004" w:type="pct"/>
            <w:shd w:val="clear" w:color="auto" w:fill="D7D7D7" w:themeFill="background1" w:themeFillShade="D8"/>
            <w:noWrap w:val="0"/>
            <w:vAlign w:val="center"/>
          </w:tcPr>
          <w:p w14:paraId="077F364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3497" w:type="pct"/>
            <w:shd w:val="clear" w:color="auto" w:fill="D7D7D7" w:themeFill="background1" w:themeFillShade="D8"/>
            <w:noWrap w:val="0"/>
            <w:vAlign w:val="center"/>
          </w:tcPr>
          <w:p w14:paraId="6D3A1D1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20FF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276BF5AD">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w:t>
            </w:r>
          </w:p>
        </w:tc>
        <w:tc>
          <w:tcPr>
            <w:tcW w:w="1004" w:type="pct"/>
            <w:noWrap w:val="0"/>
            <w:tcMar>
              <w:left w:w="75" w:type="dxa"/>
            </w:tcMar>
            <w:vAlign w:val="center"/>
          </w:tcPr>
          <w:p w14:paraId="0C68486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中标候选人排序方法</w:t>
            </w:r>
          </w:p>
        </w:tc>
        <w:tc>
          <w:tcPr>
            <w:tcW w:w="3497" w:type="pct"/>
            <w:noWrap w:val="0"/>
            <w:tcMar>
              <w:left w:w="75" w:type="dxa"/>
            </w:tcMar>
            <w:vAlign w:val="center"/>
          </w:tcPr>
          <w:p w14:paraId="2D594F9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评标委员会按照投标人的综合得分由高到低顺序，推荐排名前</w:t>
            </w:r>
            <w:r>
              <w:rPr>
                <w:rFonts w:hint="eastAsia" w:ascii="宋体" w:hAnsi="宋体" w:eastAsia="宋体" w:cs="宋体"/>
                <w:color w:val="000000" w:themeColor="text1"/>
                <w:sz w:val="21"/>
                <w:szCs w:val="21"/>
                <w:highlight w:val="none"/>
                <w14:textFill>
                  <w14:solidFill>
                    <w14:schemeClr w14:val="tx1"/>
                  </w14:solidFill>
                </w14:textFill>
              </w:rPr>
              <w:t>1～3</w:t>
            </w:r>
            <w:r>
              <w:rPr>
                <w:rFonts w:hint="eastAsia" w:ascii="宋体" w:hAnsi="宋体" w:eastAsia="宋体" w:cs="宋体"/>
                <w:color w:val="000000" w:themeColor="text1"/>
                <w:sz w:val="21"/>
                <w:szCs w:val="21"/>
                <w:highlight w:val="none"/>
                <w14:textFill>
                  <w14:solidFill>
                    <w14:schemeClr w14:val="tx1"/>
                  </w14:solidFill>
                </w14:textFill>
              </w:rPr>
              <w:t>名作为中标候选人。</w:t>
            </w:r>
          </w:p>
          <w:p w14:paraId="7E273C2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特殊情况解决方案：当经评审具备被推荐为中标候选人资格的单位仅有2家时，评标委员会可推荐2名中标候选人。当经评审具备被推荐为中标候选人资格的单位仅有1家时，评标委员会可以继续推荐中标候选人，或者提供“明显缺乏竞争”论证意见，不再推荐中标候选人。</w:t>
            </w:r>
          </w:p>
          <w:p w14:paraId="175B20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在推荐中标候选人环节，如果综合得分相同的按技术标得分由高到低进行排序。如分值仍相同</w:t>
            </w:r>
            <w:r>
              <w:rPr>
                <w:rFonts w:hint="eastAsia" w:ascii="宋体" w:hAnsi="宋体" w:cs="宋体"/>
                <w:color w:val="000000" w:themeColor="text1"/>
                <w:sz w:val="21"/>
                <w:szCs w:val="21"/>
                <w:highlight w:val="none"/>
                <w:lang w:val="en-US" w:eastAsia="zh-CN"/>
                <w14:textFill>
                  <w14:solidFill>
                    <w14:schemeClr w14:val="tx1"/>
                  </w14:solidFill>
                </w14:textFill>
              </w:rPr>
              <w:t>按照投标人的签号判断优先顺序，具体如下：</w:t>
            </w:r>
          </w:p>
          <w:p w14:paraId="4D15495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对在规定的投标截止时间前通过电子交易系统</w:t>
            </w:r>
            <w:r>
              <w:rPr>
                <w:rFonts w:hint="eastAsia" w:ascii="宋体" w:hAnsi="宋体" w:cs="宋体"/>
                <w:color w:val="000000" w:themeColor="text1"/>
                <w:sz w:val="21"/>
                <w:szCs w:val="21"/>
                <w:highlight w:val="none"/>
                <w:lang w:val="en-US" w:eastAsia="zh-CN"/>
                <w14:textFill>
                  <w14:solidFill>
                    <w14:schemeClr w14:val="tx1"/>
                  </w14:solidFill>
                </w14:textFill>
              </w:rPr>
              <w:t>最终</w:t>
            </w:r>
            <w:r>
              <w:rPr>
                <w:rFonts w:hint="eastAsia" w:ascii="宋体" w:hAnsi="宋体" w:eastAsia="宋体" w:cs="宋体"/>
                <w:color w:val="000000" w:themeColor="text1"/>
                <w:sz w:val="21"/>
                <w:szCs w:val="21"/>
                <w:highlight w:val="none"/>
                <w14:textFill>
                  <w14:solidFill>
                    <w14:schemeClr w14:val="tx1"/>
                  </w14:solidFill>
                </w14:textFill>
              </w:rPr>
              <w:t>上传投标文件的投标人发放签号。</w:t>
            </w:r>
          </w:p>
          <w:p w14:paraId="74CF851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在遇到</w:t>
            </w:r>
            <w:r>
              <w:rPr>
                <w:rFonts w:hint="eastAsia" w:ascii="宋体" w:hAnsi="宋体" w:eastAsia="宋体" w:cs="宋体"/>
                <w:color w:val="000000" w:themeColor="text1"/>
                <w:kern w:val="0"/>
                <w:sz w:val="21"/>
                <w:szCs w:val="21"/>
                <w:highlight w:val="none"/>
                <w14:textFill>
                  <w14:solidFill>
                    <w14:schemeClr w14:val="tx1"/>
                  </w14:solidFill>
                </w14:textFill>
              </w:rPr>
              <w:t>报价相同</w:t>
            </w:r>
            <w:r>
              <w:rPr>
                <w:rFonts w:hint="eastAsia" w:ascii="宋体" w:hAnsi="宋体" w:cs="宋体"/>
                <w:color w:val="000000" w:themeColor="text1"/>
                <w:kern w:val="0"/>
                <w:sz w:val="21"/>
                <w:szCs w:val="21"/>
                <w:highlight w:val="none"/>
                <w:lang w:val="en-US" w:eastAsia="zh-CN"/>
                <w14:textFill>
                  <w14:solidFill>
                    <w14:schemeClr w14:val="tx1"/>
                  </w14:solidFill>
                </w14:textFill>
              </w:rPr>
              <w:t>需要判断优先顺序时，签号代表单位，先摇出的单位优先，后摇出</w:t>
            </w:r>
            <w:r>
              <w:rPr>
                <w:rFonts w:hint="eastAsia" w:ascii="宋体" w:hAnsi="宋体" w:cs="宋体"/>
                <w:color w:val="000000" w:themeColor="text1"/>
                <w:sz w:val="21"/>
                <w:szCs w:val="21"/>
                <w:highlight w:val="none"/>
                <w:lang w:val="en-US" w:eastAsia="zh-CN"/>
                <w14:textFill>
                  <w14:solidFill>
                    <w14:schemeClr w14:val="tx1"/>
                  </w14:solidFill>
                </w14:textFill>
              </w:rPr>
              <w:t>的单位</w:t>
            </w:r>
            <w:r>
              <w:rPr>
                <w:rFonts w:hint="eastAsia" w:ascii="宋体" w:hAnsi="宋体" w:eastAsia="宋体" w:cs="宋体"/>
                <w:color w:val="000000" w:themeColor="text1"/>
                <w:sz w:val="21"/>
                <w:szCs w:val="21"/>
                <w:highlight w:val="none"/>
                <w14:textFill>
                  <w14:solidFill>
                    <w14:schemeClr w14:val="tx1"/>
                  </w14:solidFill>
                </w14:textFill>
              </w:rPr>
              <w:t>靠后</w:t>
            </w:r>
            <w:r>
              <w:rPr>
                <w:rFonts w:hint="eastAsia" w:ascii="宋体" w:hAnsi="宋体" w:cs="宋体"/>
                <w:color w:val="000000" w:themeColor="text1"/>
                <w:sz w:val="21"/>
                <w:szCs w:val="21"/>
                <w:highlight w:val="none"/>
                <w:lang w:eastAsia="zh-CN"/>
                <w14:textFill>
                  <w14:solidFill>
                    <w14:schemeClr w14:val="tx1"/>
                  </w14:solidFill>
                </w14:textFill>
              </w:rPr>
              <w:t>。</w:t>
            </w:r>
          </w:p>
        </w:tc>
      </w:tr>
      <w:tr w14:paraId="6E59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5E365371">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w:t>
            </w:r>
          </w:p>
        </w:tc>
        <w:tc>
          <w:tcPr>
            <w:tcW w:w="1004" w:type="pct"/>
            <w:noWrap w:val="0"/>
            <w:tcMar>
              <w:left w:w="75" w:type="dxa"/>
            </w:tcMar>
            <w:vAlign w:val="center"/>
          </w:tcPr>
          <w:p w14:paraId="45A95DE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推荐中标候选人先后顺序</w:t>
            </w:r>
            <w:r>
              <w:rPr>
                <w:rStyle w:val="28"/>
                <w:rFonts w:hint="eastAsia" w:ascii="Times New Roman" w:hAnsi="Times New Roman" w:cs="宋体"/>
                <w:smallCaps w:val="0"/>
                <w:color w:val="000000" w:themeColor="text1"/>
                <w:szCs w:val="24"/>
                <w:highlight w:val="none"/>
                <w14:textFill>
                  <w14:solidFill>
                    <w14:schemeClr w14:val="tx1"/>
                  </w14:solidFill>
                </w14:textFill>
              </w:rPr>
              <w:footnoteReference w:id="52"/>
            </w:r>
          </w:p>
        </w:tc>
        <w:tc>
          <w:tcPr>
            <w:tcW w:w="3497" w:type="pct"/>
            <w:noWrap w:val="0"/>
            <w:tcMar>
              <w:left w:w="75" w:type="dxa"/>
            </w:tcMar>
            <w:vAlign w:val="center"/>
          </w:tcPr>
          <w:p w14:paraId="4B35F03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6090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56E29A5B">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w:t>
            </w:r>
          </w:p>
        </w:tc>
        <w:tc>
          <w:tcPr>
            <w:tcW w:w="1004" w:type="pct"/>
            <w:noWrap w:val="0"/>
            <w:tcMar>
              <w:left w:w="75" w:type="dxa"/>
            </w:tcMar>
            <w:vAlign w:val="center"/>
          </w:tcPr>
          <w:p w14:paraId="40DD65D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最多可中标段</w:t>
            </w:r>
          </w:p>
          <w:p w14:paraId="62A04B2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r>
              <w:rPr>
                <w:rStyle w:val="28"/>
                <w:rFonts w:hint="eastAsia" w:ascii="Times New Roman" w:hAnsi="Times New Roman" w:cs="宋体"/>
                <w:smallCaps w:val="0"/>
                <w:color w:val="000000" w:themeColor="text1"/>
                <w:szCs w:val="24"/>
                <w:highlight w:val="none"/>
                <w14:textFill>
                  <w14:solidFill>
                    <w14:schemeClr w14:val="tx1"/>
                  </w14:solidFill>
                </w14:textFill>
              </w:rPr>
              <w:footnoteReference w:id="53"/>
            </w:r>
          </w:p>
        </w:tc>
        <w:tc>
          <w:tcPr>
            <w:tcW w:w="3497" w:type="pct"/>
            <w:noWrap w:val="0"/>
            <w:tcMar>
              <w:left w:w="75" w:type="dxa"/>
            </w:tcMar>
            <w:vAlign w:val="center"/>
          </w:tcPr>
          <w:p w14:paraId="48BBD06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62C9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1FB2EEB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w:t>
            </w:r>
          </w:p>
        </w:tc>
        <w:tc>
          <w:tcPr>
            <w:tcW w:w="1004" w:type="pct"/>
            <w:noWrap w:val="0"/>
            <w:tcMar>
              <w:left w:w="75" w:type="dxa"/>
            </w:tcMar>
            <w:vAlign w:val="center"/>
          </w:tcPr>
          <w:p w14:paraId="467230B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初步评审标准</w:t>
            </w:r>
          </w:p>
        </w:tc>
        <w:tc>
          <w:tcPr>
            <w:tcW w:w="3497" w:type="pct"/>
            <w:noWrap w:val="0"/>
            <w:tcMar>
              <w:left w:w="75" w:type="dxa"/>
            </w:tcMar>
            <w:vAlign w:val="center"/>
          </w:tcPr>
          <w:p w14:paraId="35FF2D0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见“商务及技术文件初步评审标准”表、“报价文件初步评审标准”表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异常低价评审标准</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表</w:t>
            </w:r>
            <w:r>
              <w:rPr>
                <w:rFonts w:hint="eastAsia" w:ascii="Times New Roman" w:hAnsi="Times New Roman"/>
                <w:smallCaps w:val="0"/>
                <w:color w:val="000000" w:themeColor="text1"/>
                <w:highlight w:val="none"/>
                <w14:textFill>
                  <w14:solidFill>
                    <w14:schemeClr w14:val="tx1"/>
                  </w14:solidFill>
                </w14:textFill>
              </w:rPr>
              <w:t>。</w:t>
            </w:r>
          </w:p>
        </w:tc>
      </w:tr>
      <w:tr w14:paraId="0B8D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56E2FF9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2.2.1</w:t>
            </w:r>
          </w:p>
        </w:tc>
        <w:tc>
          <w:tcPr>
            <w:tcW w:w="1004" w:type="pct"/>
            <w:noWrap w:val="0"/>
            <w:tcMar>
              <w:left w:w="75" w:type="dxa"/>
            </w:tcMar>
            <w:vAlign w:val="center"/>
          </w:tcPr>
          <w:p w14:paraId="1D03985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分值构成</w:t>
            </w:r>
          </w:p>
          <w:p w14:paraId="20F39F2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分）</w:t>
            </w:r>
          </w:p>
        </w:tc>
        <w:tc>
          <w:tcPr>
            <w:tcW w:w="3497" w:type="pct"/>
            <w:noWrap w:val="0"/>
            <w:vAlign w:val="center"/>
          </w:tcPr>
          <w:p w14:paraId="5C6AF96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p w14:paraId="176B16F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p w14:paraId="7564131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报价文件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r>
      <w:tr w14:paraId="1DDF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35AB39DB">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w:t>
            </w:r>
          </w:p>
        </w:tc>
        <w:tc>
          <w:tcPr>
            <w:tcW w:w="1004" w:type="pct"/>
            <w:noWrap w:val="0"/>
            <w:tcMar>
              <w:left w:w="75" w:type="dxa"/>
            </w:tcMar>
            <w:vAlign w:val="center"/>
          </w:tcPr>
          <w:p w14:paraId="4AF234B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详细评审标准</w:t>
            </w:r>
          </w:p>
        </w:tc>
        <w:tc>
          <w:tcPr>
            <w:tcW w:w="3497" w:type="pct"/>
            <w:noWrap w:val="0"/>
            <w:vAlign w:val="center"/>
          </w:tcPr>
          <w:p w14:paraId="6C2E87E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见“详细评审标准”表。</w:t>
            </w:r>
          </w:p>
        </w:tc>
      </w:tr>
      <w:tr w14:paraId="17C4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6BD4328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3.2.2（1）</w:t>
            </w:r>
          </w:p>
        </w:tc>
        <w:tc>
          <w:tcPr>
            <w:tcW w:w="1004" w:type="pct"/>
            <w:noWrap w:val="0"/>
            <w:tcMar>
              <w:left w:w="75" w:type="dxa"/>
            </w:tcMar>
            <w:vAlign w:val="center"/>
          </w:tcPr>
          <w:p w14:paraId="1200079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技术文件详细评审得分计算规则</w:t>
            </w:r>
          </w:p>
        </w:tc>
        <w:tc>
          <w:tcPr>
            <w:tcW w:w="3497" w:type="pct"/>
            <w:noWrap w:val="0"/>
            <w:vAlign w:val="center"/>
          </w:tcPr>
          <w:p w14:paraId="1DF077B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见附件1。</w:t>
            </w:r>
          </w:p>
        </w:tc>
      </w:tr>
      <w:tr w14:paraId="1090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4909952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3.2.5</w:t>
            </w:r>
          </w:p>
        </w:tc>
        <w:tc>
          <w:tcPr>
            <w:tcW w:w="1004" w:type="pct"/>
            <w:noWrap w:val="0"/>
            <w:tcMar>
              <w:left w:w="75" w:type="dxa"/>
            </w:tcMar>
            <w:vAlign w:val="center"/>
          </w:tcPr>
          <w:p w14:paraId="176B999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确定入围第三阶段报价文件评审的规定</w:t>
            </w:r>
          </w:p>
        </w:tc>
        <w:tc>
          <w:tcPr>
            <w:tcW w:w="3497" w:type="pct"/>
            <w:noWrap w:val="0"/>
            <w:vAlign w:val="center"/>
          </w:tcPr>
          <w:p w14:paraId="56D5805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w:t>
            </w:r>
            <w:r>
              <w:rPr>
                <w:rFonts w:hint="default" w:ascii="Times New Roman" w:hAnsi="Times New Roman"/>
                <w:smallCaps w:val="0"/>
                <w:color w:val="000000" w:themeColor="text1"/>
                <w:highlight w:val="none"/>
                <w14:textFill>
                  <w14:solidFill>
                    <w14:schemeClr w14:val="tx1"/>
                  </w14:solidFill>
                </w14:textFill>
              </w:rPr>
              <w:t>附件</w:t>
            </w:r>
            <w:r>
              <w:rPr>
                <w:rFonts w:hint="eastAsia" w:ascii="Times New Roman" w:hAnsi="Times New Roman"/>
                <w:smallCaps w:val="0"/>
                <w:color w:val="000000" w:themeColor="text1"/>
                <w:highlight w:val="none"/>
                <w14:textFill>
                  <w14:solidFill>
                    <w14:schemeClr w14:val="tx1"/>
                  </w14:solidFill>
                </w14:textFill>
              </w:rPr>
              <w:t>2。</w:t>
            </w:r>
          </w:p>
        </w:tc>
      </w:tr>
      <w:tr w14:paraId="071A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612E42F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3.7.2</w:t>
            </w:r>
          </w:p>
        </w:tc>
        <w:tc>
          <w:tcPr>
            <w:tcW w:w="1004" w:type="pct"/>
            <w:noWrap w:val="0"/>
            <w:tcMar>
              <w:left w:w="75" w:type="dxa"/>
            </w:tcMar>
            <w:vAlign w:val="center"/>
          </w:tcPr>
          <w:p w14:paraId="623633E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否决投标的其他情形</w:t>
            </w:r>
          </w:p>
        </w:tc>
        <w:tc>
          <w:tcPr>
            <w:tcW w:w="3497" w:type="pct"/>
            <w:noWrap w:val="0"/>
            <w:vAlign w:val="center"/>
          </w:tcPr>
          <w:p w14:paraId="0BE9CFC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见附件</w:t>
            </w:r>
            <w:r>
              <w:rPr>
                <w:rFonts w:hint="default"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14:textFill>
                  <w14:solidFill>
                    <w14:schemeClr w14:val="tx1"/>
                  </w14:solidFill>
                </w14:textFill>
              </w:rPr>
              <w:t>。</w:t>
            </w:r>
          </w:p>
        </w:tc>
      </w:tr>
      <w:tr w14:paraId="2B6C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014DA883">
            <w:pPr>
              <w:pStyle w:val="83"/>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3.7.4</w:t>
            </w:r>
          </w:p>
        </w:tc>
        <w:tc>
          <w:tcPr>
            <w:tcW w:w="1004" w:type="pct"/>
            <w:noWrap w:val="0"/>
            <w:tcMar>
              <w:left w:w="75" w:type="dxa"/>
            </w:tcMar>
            <w:vAlign w:val="center"/>
          </w:tcPr>
          <w:p w14:paraId="3E3D178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异常低价评审</w:t>
            </w:r>
          </w:p>
        </w:tc>
        <w:tc>
          <w:tcPr>
            <w:tcW w:w="3497" w:type="pct"/>
            <w:noWrap w:val="0"/>
            <w:vAlign w:val="center"/>
          </w:tcPr>
          <w:p w14:paraId="44E1F0C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sym w:font="Wingdings 2" w:char="00A3"/>
            </w:r>
            <w:r>
              <w:rPr>
                <w:rFonts w:hint="eastAsia" w:ascii="Times New Roman" w:hAnsi="Times New Roman"/>
                <w:smallCaps w:val="0"/>
                <w:color w:val="000000" w:themeColor="text1"/>
                <w:highlight w:val="none"/>
                <w14:textFill>
                  <w14:solidFill>
                    <w14:schemeClr w14:val="tx1"/>
                  </w14:solidFill>
                </w14:textFill>
              </w:rPr>
              <w:t>不</w:t>
            </w:r>
            <w:r>
              <w:rPr>
                <w:rFonts w:hint="eastAsia" w:ascii="Times New Roman" w:hAnsi="Times New Roman"/>
                <w:smallCaps w:val="0"/>
                <w:color w:val="000000" w:themeColor="text1"/>
                <w:highlight w:val="none"/>
                <w:lang w:eastAsia="zh-CN"/>
                <w14:textFill>
                  <w14:solidFill>
                    <w14:schemeClr w14:val="tx1"/>
                  </w14:solidFill>
                </w14:textFill>
              </w:rPr>
              <w:t>适用</w:t>
            </w:r>
          </w:p>
          <w:p w14:paraId="3D05BA8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sym w:font="Wingdings 2" w:char="00A3"/>
            </w:r>
            <w:r>
              <w:rPr>
                <w:rFonts w:hint="eastAsia" w:ascii="Times New Roman" w:hAnsi="Times New Roman"/>
                <w:smallCaps w:val="0"/>
                <w:color w:val="000000" w:themeColor="text1"/>
                <w:highlight w:val="none"/>
                <w:lang w:eastAsia="zh-CN"/>
                <w14:textFill>
                  <w14:solidFill>
                    <w14:schemeClr w14:val="tx1"/>
                  </w14:solidFill>
                </w14:textFill>
              </w:rPr>
              <w:t>适用</w:t>
            </w:r>
            <w:r>
              <w:rPr>
                <w:rFonts w:hint="eastAsia" w:ascii="Times New Roman" w:hAnsi="Times New Roman"/>
                <w:smallCaps w:val="0"/>
                <w:color w:val="000000" w:themeColor="text1"/>
                <w:highlight w:val="none"/>
                <w14:textFill>
                  <w14:solidFill>
                    <w14:schemeClr w14:val="tx1"/>
                  </w14:solidFill>
                </w14:textFill>
              </w:rPr>
              <w:t>，异常低价规定指标</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具体见</w:t>
            </w:r>
            <w:r>
              <w:rPr>
                <w:rFonts w:hint="eastAsia" w:ascii="Times New Roman" w:hAnsi="Times New Roman"/>
                <w:smallCaps w:val="0"/>
                <w:color w:val="000000" w:themeColor="text1"/>
                <w:highlight w:val="none"/>
                <w:lang w:val="en-US" w:eastAsia="zh-CN"/>
                <w14:textFill>
                  <w14:solidFill>
                    <w14:schemeClr w14:val="tx1"/>
                  </w14:solidFill>
                </w14:textFill>
              </w:rPr>
              <w:t>对应评审项要求</w:t>
            </w:r>
            <w:r>
              <w:rPr>
                <w:rFonts w:hint="eastAsia" w:ascii="Times New Roman" w:hAnsi="Times New Roman"/>
                <w:smallCaps w:val="0"/>
                <w:color w:val="000000" w:themeColor="text1"/>
                <w:highlight w:val="none"/>
                <w14:textFill>
                  <w14:solidFill>
                    <w14:schemeClr w14:val="tx1"/>
                  </w14:solidFill>
                </w14:textFill>
              </w:rPr>
              <w:t>。</w:t>
            </w:r>
          </w:p>
        </w:tc>
      </w:tr>
      <w:tr w14:paraId="3E40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67D9AEBF">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w:t>
            </w:r>
          </w:p>
        </w:tc>
        <w:tc>
          <w:tcPr>
            <w:tcW w:w="1004" w:type="pct"/>
            <w:noWrap w:val="0"/>
            <w:tcMar>
              <w:left w:w="75" w:type="dxa"/>
            </w:tcMar>
            <w:vAlign w:val="center"/>
          </w:tcPr>
          <w:p w14:paraId="787398E7">
            <w:pPr>
              <w:keepNext w:val="0"/>
              <w:keepLines w:val="0"/>
              <w:pageBreakBefore w:val="0"/>
              <w:suppressLineNumbers w:val="0"/>
              <w:kinsoku/>
              <w:wordWrap w:val="0"/>
              <w:overflowPunct/>
              <w:bidi w:val="0"/>
              <w:spacing w:before="0" w:beforeAutospacing="0" w:after="0" w:afterAutospacing="0" w:line="360" w:lineRule="auto"/>
              <w:ind w:left="0" w:leftChars="0" w:right="0" w:rightChars="0"/>
              <w:jc w:val="center"/>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经评审否决不合格投标后有效投标不足3个的处理方式</w:t>
            </w:r>
          </w:p>
        </w:tc>
        <w:tc>
          <w:tcPr>
            <w:tcW w:w="3497" w:type="pct"/>
            <w:noWrap w:val="0"/>
            <w:vAlign w:val="center"/>
          </w:tcPr>
          <w:p w14:paraId="45F6451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评标委员会依据《评标委员会和评标方法暂行规定》（七部委第12号令）第二十七条以及《招标投标法》第四十二条进行处理。</w:t>
            </w:r>
          </w:p>
          <w:p w14:paraId="1613996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textAlignment w:val="auto"/>
              <w:rPr>
                <w:rFonts w:hint="eastAsia" w:ascii="宋体" w:hAnsi="宋体" w:eastAsia="宋体" w:cs="宋体"/>
                <w:b/>
                <w:bCs/>
                <w:color w:val="000000" w:themeColor="text1"/>
                <w:sz w:val="21"/>
                <w:szCs w:val="21"/>
                <w:highlight w:val="none"/>
                <w:u w:val="single"/>
                <w14:textFill>
                  <w14:solidFill>
                    <w14:schemeClr w14:val="tx1"/>
                  </w14:solidFill>
                </w14:textFill>
              </w:rPr>
            </w:pPr>
            <w:r>
              <w:rPr>
                <w:rFonts w:hint="eastAsia" w:ascii="宋体" w:hAnsi="宋体" w:eastAsia="宋体" w:cs="宋体"/>
                <w:b/>
                <w:bCs/>
                <w:color w:val="000000" w:themeColor="text1"/>
                <w:sz w:val="21"/>
                <w:szCs w:val="21"/>
                <w:highlight w:val="none"/>
                <w:u w:val="single"/>
                <w14:textFill>
                  <w14:solidFill>
                    <w14:schemeClr w14:val="tx1"/>
                  </w14:solidFill>
                </w14:textFill>
              </w:rPr>
              <w:t>经评审否决不合格投标后有效投标不足3</w:t>
            </w:r>
            <w:r>
              <w:rPr>
                <w:rFonts w:hint="eastAsia" w:ascii="宋体" w:hAnsi="宋体" w:cs="宋体"/>
                <w:b/>
                <w:bCs/>
                <w:color w:val="000000" w:themeColor="text1"/>
                <w:sz w:val="21"/>
                <w:szCs w:val="21"/>
                <w:highlight w:val="none"/>
                <w:u w:val="single"/>
                <w:lang w:eastAsia="zh-CN"/>
                <w14:textFill>
                  <w14:solidFill>
                    <w14:schemeClr w14:val="tx1"/>
                  </w14:solidFill>
                </w14:textFill>
              </w:rPr>
              <w:t>家</w:t>
            </w:r>
            <w:r>
              <w:rPr>
                <w:rFonts w:hint="eastAsia" w:ascii="宋体" w:hAnsi="宋体" w:eastAsia="宋体" w:cs="宋体"/>
                <w:b/>
                <w:bCs/>
                <w:color w:val="000000" w:themeColor="text1"/>
                <w:sz w:val="21"/>
                <w:szCs w:val="21"/>
                <w:highlight w:val="none"/>
                <w:u w:val="single"/>
                <w14:textFill>
                  <w14:solidFill>
                    <w14:schemeClr w14:val="tx1"/>
                  </w14:solidFill>
                </w14:textFill>
              </w:rPr>
              <w:t>时，评标委员会应判定有效投标人的投标是否“明显缺乏竞争”。</w:t>
            </w:r>
          </w:p>
          <w:p w14:paraId="0FA193F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有效投标人的投标具备竞争性的，则评标程序继续进行，直至评选出中标候选人或全部投标文件被否决。</w:t>
            </w:r>
          </w:p>
          <w:p w14:paraId="692CDB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有效投标人的投标“明显缺乏竞争”的，评标委员会可以否决全部投标。</w:t>
            </w:r>
            <w:r>
              <w:rPr>
                <w:rFonts w:hint="eastAsia" w:ascii="宋体" w:hAnsi="宋体" w:eastAsia="宋体" w:cs="宋体"/>
                <w:b/>
                <w:bCs/>
                <w:color w:val="000000" w:themeColor="text1"/>
                <w:sz w:val="21"/>
                <w:szCs w:val="21"/>
                <w:highlight w:val="none"/>
                <w:u w:val="single"/>
                <w14:textFill>
                  <w14:solidFill>
                    <w14:schemeClr w14:val="tx1"/>
                  </w14:solidFill>
                </w14:textFill>
              </w:rPr>
              <w:t>否决全部投标的同时必须在评标报告中写出“明显缺乏竞争”的判定理由。</w:t>
            </w:r>
          </w:p>
        </w:tc>
      </w:tr>
      <w:tr w14:paraId="208E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63305B34">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lang w:eastAsia="zh-CN"/>
                <w14:textFill>
                  <w14:solidFill>
                    <w14:schemeClr w14:val="tx1"/>
                  </w14:solidFill>
                </w14:textFill>
              </w:rPr>
              <w:t>5</w:t>
            </w:r>
          </w:p>
        </w:tc>
        <w:tc>
          <w:tcPr>
            <w:tcW w:w="1004" w:type="pct"/>
            <w:noWrap w:val="0"/>
            <w:tcMar>
              <w:left w:w="75" w:type="dxa"/>
            </w:tcMar>
            <w:vAlign w:val="center"/>
          </w:tcPr>
          <w:p w14:paraId="2957F01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争议解决方案</w:t>
            </w:r>
          </w:p>
        </w:tc>
        <w:tc>
          <w:tcPr>
            <w:tcW w:w="3497" w:type="pct"/>
            <w:noWrap w:val="0"/>
            <w:vAlign w:val="center"/>
          </w:tcPr>
          <w:p w14:paraId="4F01F49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评标委员会在评审过程中产生争议，按照以下方式形成统一意见：</w:t>
            </w:r>
          </w:p>
          <w:p w14:paraId="0846A7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如因招标文件语言表达不明确导致存在理解偏差，则按照对投标人要求较低的标准统一判定。如因投标文件编制不明确导致存在理解偏差，则按照不利于该投标人中标的标准统一判定。</w:t>
            </w:r>
          </w:p>
          <w:p w14:paraId="66FAB11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发生争议时，由评标委员会组长牵头组织评委会成员各自表达自身意见，并对判定意见进行举手表决，以少数服从多数原则进行统一。评标委员会全体成员必须在评标报告中签字，如有不同意见必须在评标报告中写明，如评委会成员未在评审纪要上签字或未提供不同意见的，视为认可评审纪要的全部内容。</w:t>
            </w:r>
          </w:p>
        </w:tc>
      </w:tr>
      <w:tr w14:paraId="5004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089BDA76">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lang w:eastAsia="zh-CN"/>
                <w14:textFill>
                  <w14:solidFill>
                    <w14:schemeClr w14:val="tx1"/>
                  </w14:solidFill>
                </w14:textFill>
              </w:rPr>
              <w:t>6</w:t>
            </w:r>
          </w:p>
        </w:tc>
        <w:tc>
          <w:tcPr>
            <w:tcW w:w="1004" w:type="pct"/>
            <w:noWrap w:val="0"/>
            <w:tcMar>
              <w:left w:w="75" w:type="dxa"/>
            </w:tcMar>
            <w:vAlign w:val="center"/>
          </w:tcPr>
          <w:p w14:paraId="6FEEB35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询标要求</w:t>
            </w:r>
          </w:p>
        </w:tc>
        <w:tc>
          <w:tcPr>
            <w:tcW w:w="3497" w:type="pct"/>
            <w:noWrap w:val="0"/>
            <w:vAlign w:val="center"/>
          </w:tcPr>
          <w:p w14:paraId="295E3DF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询标方式：通过评标系统询标。由评标委员会通过开评标系统“质询”功能对投标人进行问询，投标人在系统内进行回复。回复期限为提问发起后30分钟，限期内未回复疑问视同放弃回复，默认投标人认可询标问题情况属实。（如系统询标功能不能正常使用，可采用前附表列明的电话询标方式进行询标）</w:t>
            </w:r>
          </w:p>
          <w:p w14:paraId="7DE9D40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审中，评委会发现投标的投标文件中对同类问题表述不一致、前后矛盾、有明显文字和计算错误的内容，或投标文件中找不到相关内容、缺少资料内容、填写错误、内容模糊无法辨认的问题，由评标委员会根据投标文件实际内容结合招标文件要求与争议处理办法进行评审，形成一致意见。</w:t>
            </w:r>
          </w:p>
          <w:p w14:paraId="1A14652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遇到以上问题以外的问题，评标委员会可通过评标系统询标。</w:t>
            </w:r>
          </w:p>
          <w:p w14:paraId="229FD56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对于询标后判定为不符合招标文件的投标文件，评标委员会要提出充足的否定理由。</w:t>
            </w:r>
          </w:p>
        </w:tc>
      </w:tr>
      <w:tr w14:paraId="393E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4F9DCA2F">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w:t>
            </w:r>
          </w:p>
        </w:tc>
        <w:tc>
          <w:tcPr>
            <w:tcW w:w="1004" w:type="pct"/>
            <w:noWrap w:val="0"/>
            <w:tcMar>
              <w:left w:w="75" w:type="dxa"/>
            </w:tcMar>
            <w:vAlign w:val="center"/>
          </w:tcPr>
          <w:p w14:paraId="4F918D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流标原因分析会</w:t>
            </w:r>
          </w:p>
        </w:tc>
        <w:tc>
          <w:tcPr>
            <w:tcW w:w="3497" w:type="pct"/>
            <w:noWrap w:val="0"/>
            <w:vAlign w:val="center"/>
          </w:tcPr>
          <w:p w14:paraId="7947319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当本项目流标，由评标委员会组长牵头组织流标原因分析会，分析此次招标工作交易失败的具体原因，分析招标文件编制是否存在不合理条款、是否符合规范要求、并对本项目重新招标提出意见和建议。</w:t>
            </w:r>
          </w:p>
        </w:tc>
      </w:tr>
      <w:tr w14:paraId="0A70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70458AAB">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w:t>
            </w:r>
          </w:p>
        </w:tc>
        <w:tc>
          <w:tcPr>
            <w:tcW w:w="1004" w:type="pct"/>
            <w:noWrap w:val="0"/>
            <w:tcMar>
              <w:left w:w="75" w:type="dxa"/>
            </w:tcMar>
            <w:vAlign w:val="center"/>
          </w:tcPr>
          <w:p w14:paraId="31D5FDE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建造师证书使用规定</w:t>
            </w:r>
          </w:p>
        </w:tc>
        <w:tc>
          <w:tcPr>
            <w:tcW w:w="3497" w:type="pct"/>
            <w:noWrap w:val="0"/>
            <w:vAlign w:val="center"/>
          </w:tcPr>
          <w:p w14:paraId="150460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一级建造师证书使用要求：</w:t>
            </w:r>
          </w:p>
          <w:p w14:paraId="553F544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依据</w:t>
            </w:r>
            <w:r>
              <w:rPr>
                <w:rFonts w:hint="eastAsia"/>
                <w:color w:val="000000" w:themeColor="text1"/>
                <w:sz w:val="21"/>
                <w:szCs w:val="21"/>
                <w:highlight w:val="none"/>
                <w14:textFill>
                  <w14:solidFill>
                    <w14:schemeClr w14:val="tx1"/>
                  </w14:solidFill>
                </w14:textFill>
              </w:rPr>
              <w:t>住建部文件《住房和城乡建设部办公厅关于全面实行一级建造师电子注册证书的通知》</w:t>
            </w:r>
          </w:p>
          <w:p w14:paraId="4AF9BBC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级建造师注册专业有效期已过期的，应于2021年12月15日前提出延续注册申请；注册专业仍在有效期内的，应在有效期届满30日前提出延续注册申请；注册专业有效期届满且未提出延续注册申请的，自2022年1月1日起注册专业失效。</w:t>
            </w:r>
          </w:p>
          <w:p w14:paraId="2EF1F57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kern w:val="2"/>
                <w:sz w:val="21"/>
                <w:szCs w:val="21"/>
                <w:highlight w:val="none"/>
                <w:lang w:eastAsia="zh-CN"/>
                <w14:textFill>
                  <w14:solidFill>
                    <w14:schemeClr w14:val="tx1"/>
                  </w14:solidFill>
                </w14:textFill>
              </w:rPr>
              <w:t>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距注册专业有效期或建造师满65周岁不足180天的，使用时限截止</w:t>
            </w:r>
            <w:r>
              <w:rPr>
                <w:rFonts w:hint="eastAsia"/>
                <w:color w:val="000000" w:themeColor="text1"/>
                <w:sz w:val="21"/>
                <w:szCs w:val="21"/>
                <w:highlight w:val="none"/>
                <w:lang w:eastAsia="zh-CN"/>
                <w14:textFill>
                  <w14:solidFill>
                    <w14:schemeClr w14:val="tx1"/>
                  </w14:solidFill>
                </w14:textFill>
              </w:rPr>
              <w:t>日期以注册专业有效期截止日期或建造师满65周岁当日为准。超出使用时限的电子证书无效，需重新下载电子证书并再次确认使用时限。</w:t>
            </w:r>
          </w:p>
          <w:p w14:paraId="52EF5BA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自 2022年1月1日起，一级建造师统一使用电子证书，纸质注册证书作废。一级建造师打印电子证书后，应在个人签名处手写本人签名，未手写签名或与签名图像笔迹不一致的，该电子证书无效。</w:t>
            </w:r>
          </w:p>
          <w:p w14:paraId="75F1C6B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二级建造师证书使用要求：</w:t>
            </w:r>
          </w:p>
          <w:p w14:paraId="1CE0CF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根据安徽省住房和城乡建设厅《</w:t>
            </w:r>
            <w:r>
              <w:rPr>
                <w:rFonts w:hint="eastAsia" w:ascii="宋体" w:hAnsi="宋体" w:eastAsia="宋体" w:cs="宋体"/>
                <w:color w:val="000000" w:themeColor="text1"/>
                <w:sz w:val="21"/>
                <w:szCs w:val="21"/>
                <w:highlight w:val="none"/>
                <w:lang w:val="en-US" w:eastAsia="zh-CN"/>
                <w14:textFill>
                  <w14:solidFill>
                    <w14:schemeClr w14:val="tx1"/>
                  </w14:solidFill>
                </w14:textFill>
              </w:rPr>
              <w:t>关于加强二级建造师事中事后监管工作的通知</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建市函〔2024〕137号</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规定。</w:t>
            </w:r>
          </w:p>
          <w:p w14:paraId="103410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安徽省二级建造师电子证书右上角增加使用时限的标注。</w:t>
            </w:r>
            <w:r>
              <w:rPr>
                <w:rFonts w:hint="eastAsia" w:ascii="宋体" w:hAnsi="宋体" w:eastAsia="宋体" w:cs="宋体"/>
                <w:color w:val="000000" w:themeColor="text1"/>
                <w:sz w:val="21"/>
                <w:szCs w:val="21"/>
                <w:highlight w:val="none"/>
                <w14:textFill>
                  <w14:solidFill>
                    <w14:schemeClr w14:val="tx1"/>
                  </w14:solidFill>
                </w14:textFill>
              </w:rPr>
              <w:t>查看和下载电子证书时，</w:t>
            </w:r>
            <w:r>
              <w:rPr>
                <w:rFonts w:hint="eastAsia" w:ascii="宋体" w:hAnsi="宋体" w:cs="宋体"/>
                <w:color w:val="000000" w:themeColor="text1"/>
                <w:sz w:val="21"/>
                <w:szCs w:val="21"/>
                <w:highlight w:val="none"/>
                <w:lang w:val="en-US" w:eastAsia="zh-CN"/>
                <w14:textFill>
                  <w14:solidFill>
                    <w14:schemeClr w14:val="tx1"/>
                  </w14:solidFill>
                </w14:textFill>
              </w:rPr>
              <w:t>建造师</w:t>
            </w:r>
            <w:r>
              <w:rPr>
                <w:rFonts w:hint="eastAsia" w:ascii="宋体" w:hAnsi="宋体" w:eastAsia="宋体" w:cs="宋体"/>
                <w:color w:val="000000" w:themeColor="text1"/>
                <w:sz w:val="21"/>
                <w:szCs w:val="21"/>
                <w:highlight w:val="none"/>
                <w14:textFill>
                  <w14:solidFill>
                    <w14:schemeClr w14:val="tx1"/>
                  </w14:solidFill>
                </w14:textFill>
              </w:rPr>
              <w:t>本人应确认该证书的使用时限。电子证书使用时限为 180 天,但使用时限距注册专业有效期或建造师满 65 周岁不足 180 天的，使用时限截止日期以注册专业有效期截止日期或建造师满 65 周岁当日为准。</w:t>
            </w:r>
            <w:r>
              <w:rPr>
                <w:rFonts w:hint="eastAsia" w:ascii="宋体" w:hAnsi="宋体" w:eastAsia="宋体" w:cs="宋体"/>
                <w:b/>
                <w:bCs/>
                <w:color w:val="000000" w:themeColor="text1"/>
                <w:sz w:val="21"/>
                <w:szCs w:val="21"/>
                <w:highlight w:val="none"/>
                <w14:textFill>
                  <w14:solidFill>
                    <w14:schemeClr w14:val="tx1"/>
                  </w14:solidFill>
                </w14:textFill>
              </w:rPr>
              <w:t>超出使用时限的电子证书无效，需重新下载电子证书并再次确认使用时限。</w:t>
            </w:r>
          </w:p>
          <w:p w14:paraId="37498E8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自2024年9月1日起，旧二级建造师电子证书失效。二级建造师打印电子证书后，应在个人签名处手写本人签名，未手写签名或与签名图像笔迹不一致的，该电子证书无效</w:t>
            </w:r>
            <w:r>
              <w:rPr>
                <w:rFonts w:hint="eastAsia" w:ascii="宋体" w:hAnsi="宋体" w:cs="宋体"/>
                <w:b/>
                <w:bCs/>
                <w:color w:val="000000" w:themeColor="text1"/>
                <w:sz w:val="21"/>
                <w:szCs w:val="21"/>
                <w:highlight w:val="none"/>
                <w:lang w:eastAsia="zh-CN"/>
                <w14:textFill>
                  <w14:solidFill>
                    <w14:schemeClr w14:val="tx1"/>
                  </w14:solidFill>
                </w14:textFill>
              </w:rPr>
              <w:t>。</w:t>
            </w:r>
          </w:p>
          <w:p w14:paraId="3C9B0FC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2"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其他省份按各省相关规定执行</w:t>
            </w:r>
          </w:p>
        </w:tc>
      </w:tr>
      <w:tr w14:paraId="3092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73BB5ABF">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w:t>
            </w:r>
          </w:p>
        </w:tc>
        <w:tc>
          <w:tcPr>
            <w:tcW w:w="1818" w:type="dxa"/>
            <w:noWrap w:val="0"/>
            <w:tcMar>
              <w:left w:w="75" w:type="dxa"/>
            </w:tcMar>
            <w:vAlign w:val="center"/>
          </w:tcPr>
          <w:p w14:paraId="3A5549A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联合体资质判定</w:t>
            </w:r>
          </w:p>
        </w:tc>
        <w:tc>
          <w:tcPr>
            <w:tcW w:w="6332" w:type="dxa"/>
            <w:noWrap w:val="0"/>
            <w:vAlign w:val="center"/>
          </w:tcPr>
          <w:p w14:paraId="6C924E2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联合体各方应当具备承担共同投标协议约定的招标项目相应专业工作的能力；国家有关规定或者招标文件对投标人资格条件有规定的，联合体各方应当具备规定的相应资格条件。联合体的各专业资质等级，根据共同投标协议约定的专业分工，分别按照承担相应专业工作的资质等级最低的单位确定。分工后，就其所承担的分工部分要具备相应的资格条件。如其中一方不承担某项工作，则不要求其必须具备该项工作需要的资格条件。</w:t>
            </w:r>
          </w:p>
          <w:p w14:paraId="12C25E0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即投标人在签订联合体协议书时需要明确好各自分工的范围，各方在承担分工工作的范围内具备招标文件要求的相应资质条件即可。如不承担某一部分的工作，则不需要具备相应的资质条件。对联合体各方共同承担的工作，按照共同承担专业工作的资质等级最低的单位资质确定联合体的资质等级。</w:t>
            </w:r>
          </w:p>
          <w:p w14:paraId="5DA5FE55">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以建筑工程为例，某项目要求投标人具备建筑工程施工总承包一级（或以上）资质，接受联合体投标。 </w:t>
            </w:r>
          </w:p>
          <w:p w14:paraId="5A45E4A9">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案例 1：</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建筑工程总承包一级企业 A 公司与建筑工程总承包一级企业 AA 公司组成联合体依据《招标投标法》第三十一条，由同一专业的单位组成的联合体，按照资质等级较低的单位确定资质等级。两单位资质等级均为建筑工程总承包一级，故该联合体的资质等级为一级，达到招标文件资格要求。 </w:t>
            </w:r>
          </w:p>
          <w:p w14:paraId="2C4632E4">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案例 2：</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建筑工程总承包一级企业 A 公司与建筑工程总承包三级企业 B 公司组成联合体。依据《招标投标法》第三十一条，由同一专业的单位组成的联合体，按照资质等级较低的单位确定资质等级。故该联合体的资质等级二者中较低资质建筑工程总承包三级，未达到招标文件资格要求。 </w:t>
            </w:r>
          </w:p>
          <w:p w14:paraId="656C4F94">
            <w:pPr>
              <w:keepNext w:val="0"/>
              <w:keepLines w:val="0"/>
              <w:pageBreakBefore w:val="0"/>
              <w:suppressLineNumbers w:val="0"/>
              <w:kinsoku/>
              <w:wordWrap w:val="0"/>
              <w:overflowPunct/>
              <w:bidi w:val="0"/>
              <w:spacing w:before="0" w:beforeAutospacing="0" w:after="0" w:afterAutospacing="0" w:line="360" w:lineRule="auto"/>
              <w:ind w:left="0" w:right="0"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案例 3：</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建筑工程总承包一级企业 A 公司与不具备建筑工程总承包资质的建筑业企业 C 公司（例：装饰装修专业承包一级资质）或具备建筑工程总承包三级资质的企业 D 组成联合体，并在联合体协议中明确 C 公司（或 D 公司）的分工。其中 C 公司（或 D 公司）负责财务结算，并承担建筑工程项目中的绿化、装饰装修、材料采购工作等，且 C 公司（或 D 公司）具备承担相应工作的能力。因绿化、材料采购不需要专业资质，装饰装修专业承包资质（或建筑工程总承包三级资质）符合其分工范围内的资质要求，该联合体的资质等级按照承担分工为承担建筑主体施工的企业 A 判定，为建筑工程总承包一级，达到招标文件资格要求。 </w:t>
            </w:r>
          </w:p>
          <w:p w14:paraId="18C640A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注：联合组建及履约应当符合国家法律法规及文件规定，依据住房和城乡建设部《建筑工程施工发包与承包违法行为认定查处管理办法》（建市规〔2019)1号）第八条“两个以上的单位组成联合体承包工程，在联合体分工协议中约定或者在项目实际实施过程中，联合体一方不进行施工也未对施工活动进行组织管理的，并且向联合体其他方收取管理费或者其他类似费用的，视为联合体一方将承包的工程转包给联合体其他方。</w:t>
            </w:r>
            <w:r>
              <w:rPr>
                <w:rFonts w:hint="eastAsia" w:ascii="宋体" w:hAnsi="宋体" w:cs="宋体"/>
                <w:b w:val="0"/>
                <w:bCs w:val="0"/>
                <w:color w:val="000000" w:themeColor="text1"/>
                <w:sz w:val="21"/>
                <w:szCs w:val="21"/>
                <w:highlight w:val="none"/>
                <w:lang w:eastAsia="zh-CN"/>
                <w14:textFill>
                  <w14:solidFill>
                    <w14:schemeClr w14:val="tx1"/>
                  </w14:solidFill>
                </w14:textFill>
              </w:rPr>
              <w:t>”</w:t>
            </w:r>
          </w:p>
        </w:tc>
      </w:tr>
      <w:tr w14:paraId="5E1D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2453A0DF">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default" w:ascii="Times New Roman" w:hAnsi="Times New Roman"/>
                <w:smallCaps w:val="0"/>
                <w:color w:val="000000" w:themeColor="text1"/>
                <w:highlight w:val="none"/>
                <w:lang w:val="en-US"/>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10</w:t>
            </w:r>
          </w:p>
        </w:tc>
        <w:tc>
          <w:tcPr>
            <w:tcW w:w="1004" w:type="pct"/>
            <w:noWrap w:val="0"/>
            <w:tcMar>
              <w:left w:w="75" w:type="dxa"/>
            </w:tcMar>
            <w:vAlign w:val="center"/>
          </w:tcPr>
          <w:p w14:paraId="71D49319">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smallCaps w:val="0"/>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分公司、子公司、分支机构</w:t>
            </w:r>
          </w:p>
        </w:tc>
        <w:tc>
          <w:tcPr>
            <w:tcW w:w="3497" w:type="pct"/>
            <w:noWrap w:val="0"/>
            <w:vAlign w:val="center"/>
          </w:tcPr>
          <w:p w14:paraId="0FAFD7B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依据《公司法》第十</w:t>
            </w:r>
            <w:r>
              <w:rPr>
                <w:rFonts w:hint="eastAsia" w:ascii="宋体" w:hAnsi="宋体"/>
                <w:color w:val="000000" w:themeColor="text1"/>
                <w:sz w:val="21"/>
                <w:szCs w:val="21"/>
                <w:highlight w:val="none"/>
                <w:lang w:val="en-US" w:eastAsia="zh-CN"/>
                <w14:textFill>
                  <w14:solidFill>
                    <w14:schemeClr w14:val="tx1"/>
                  </w14:solidFill>
                </w14:textFill>
              </w:rPr>
              <w:t>三</w:t>
            </w:r>
            <w:r>
              <w:rPr>
                <w:rFonts w:hint="eastAsia" w:ascii="宋体" w:hAnsi="宋体"/>
                <w:color w:val="000000" w:themeColor="text1"/>
                <w:sz w:val="21"/>
                <w:szCs w:val="21"/>
                <w:highlight w:val="none"/>
                <w14:textFill>
                  <w14:solidFill>
                    <w14:schemeClr w14:val="tx1"/>
                  </w14:solidFill>
                </w14:textFill>
              </w:rPr>
              <w:t>条 公司可以设立子公司</w:t>
            </w:r>
            <w:r>
              <w:rPr>
                <w:rFonts w:hint="eastAsia" w:ascii="宋体" w:hAnsi="宋体"/>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子公司具有法人资格，依法独立承担民事责任。</w:t>
            </w:r>
            <w:r>
              <w:rPr>
                <w:rFonts w:hint="eastAsia" w:ascii="宋体" w:hAnsi="宋体"/>
                <w:color w:val="000000" w:themeColor="text1"/>
                <w:sz w:val="21"/>
                <w:szCs w:val="21"/>
                <w:highlight w:val="none"/>
                <w:lang w:val="en-US" w:eastAsia="zh-CN"/>
                <w14:textFill>
                  <w14:solidFill>
                    <w14:schemeClr w14:val="tx1"/>
                  </w14:solidFill>
                </w14:textFill>
              </w:rPr>
              <w:t>公司可以设立分公司，</w:t>
            </w:r>
            <w:r>
              <w:rPr>
                <w:rFonts w:hint="eastAsia" w:ascii="宋体" w:hAnsi="宋体"/>
                <w:color w:val="000000" w:themeColor="text1"/>
                <w:sz w:val="21"/>
                <w:szCs w:val="21"/>
                <w:highlight w:val="none"/>
                <w14:textFill>
                  <w14:solidFill>
                    <w14:schemeClr w14:val="tx1"/>
                  </w14:solidFill>
                </w14:textFill>
              </w:rPr>
              <w:t>分公司不具有法人资格，其民事责任由公司承担。</w:t>
            </w:r>
          </w:p>
          <w:p w14:paraId="66F4973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在本项目评标中，分公司（或分支机构）不具备法人资格，视为与总公司为同一个法人主体。子公司与母公司为不同的法人主体。</w:t>
            </w:r>
            <w:r>
              <w:rPr>
                <w:rFonts w:hint="eastAsia"/>
                <w:color w:val="000000" w:themeColor="text1"/>
                <w:sz w:val="21"/>
                <w:szCs w:val="21"/>
                <w:highlight w:val="none"/>
                <w14:textFill>
                  <w14:solidFill>
                    <w14:schemeClr w14:val="tx1"/>
                  </w14:solidFill>
                </w14:textFill>
              </w:rPr>
              <w:t>投标人所属分公司（或分支机构）的人员视同投标人的人员。</w:t>
            </w:r>
          </w:p>
        </w:tc>
      </w:tr>
      <w:tr w14:paraId="1B44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67C62E66">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11</w:t>
            </w:r>
          </w:p>
        </w:tc>
        <w:tc>
          <w:tcPr>
            <w:tcW w:w="1004" w:type="pct"/>
            <w:noWrap w:val="0"/>
            <w:tcMar>
              <w:left w:w="75" w:type="dxa"/>
            </w:tcMar>
            <w:vAlign w:val="center"/>
          </w:tcPr>
          <w:p w14:paraId="159856A2">
            <w:pPr>
              <w:keepNext w:val="0"/>
              <w:keepLines w:val="0"/>
              <w:pageBreakBefore w:val="0"/>
              <w:suppressLineNumbers w:val="0"/>
              <w:kinsoku/>
              <w:wordWrap w:val="0"/>
              <w:overflowPunct/>
              <w:bidi w:val="0"/>
              <w:spacing w:before="0" w:beforeAutospacing="0" w:after="0" w:afterAutospacing="0" w:line="360" w:lineRule="auto"/>
              <w:ind w:left="0" w:leftChars="0" w:right="0" w:rightChars="0"/>
              <w:jc w:val="center"/>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18"/>
                <w:highlight w:val="none"/>
                <w:lang w:val="en-US" w:eastAsia="zh-CN"/>
                <w14:textFill>
                  <w14:solidFill>
                    <w14:schemeClr w14:val="tx1"/>
                  </w14:solidFill>
                </w14:textFill>
              </w:rPr>
              <w:t>业绩证明材料</w:t>
            </w:r>
          </w:p>
        </w:tc>
        <w:tc>
          <w:tcPr>
            <w:tcW w:w="3497" w:type="pct"/>
            <w:noWrap w:val="0"/>
            <w:vAlign w:val="center"/>
          </w:tcPr>
          <w:p w14:paraId="684AB29D">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1.投标人应提供下列勾选的任一类别的业绩证明材料</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BE5707E">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第一类</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8F5445B">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住房和城乡建设部全国建筑市场监管公共服务平台“数据等级”C级及以上项目业绩网页截图。</w:t>
            </w:r>
          </w:p>
          <w:p w14:paraId="3C4D1036">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需在商务文件中“资格审查资料”栏“投标人业绩情况表（资格审查）”中注明并提供相关证明材料。如投标人提供的上述业绩证明材料未能完整或充分反映评审因素的，应提供第二类任意证明材料或另附合同甲方证明材料（须加盖合同甲方单位章）予以明确说明，否则评标委员会不予认可。</w:t>
            </w:r>
          </w:p>
          <w:p w14:paraId="1CD3576E">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第二类</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B79D7C1">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（1）合同协议书。</w:t>
            </w:r>
          </w:p>
          <w:p w14:paraId="1C77C852">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（2）中标查询网址及查询截图，或住房和城乡建设主管部门网站公布的施工许可证办理查询截图。无法提供以上截图的，应当提供住房和城乡建设主管部门证明材料。</w:t>
            </w:r>
          </w:p>
          <w:p w14:paraId="47AAF89A">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（3）竣工验收证明文件。时间以</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为准</w:t>
            </w:r>
            <w:r>
              <w:rPr>
                <w:rStyle w:val="28"/>
                <w:rFonts w:hint="eastAsia" w:ascii="Times New Roman" w:hAnsi="Times New Roman" w:eastAsia="宋体" w:cs="宋体"/>
                <w:b w:val="0"/>
                <w:bCs w:val="0"/>
                <w:smallCaps w:val="0"/>
                <w:color w:val="000000" w:themeColor="text1"/>
                <w:szCs w:val="21"/>
                <w:highlight w:val="none"/>
                <w14:textFill>
                  <w14:solidFill>
                    <w14:schemeClr w14:val="tx1"/>
                  </w14:solidFill>
                </w14:textFill>
              </w:rPr>
              <w:footnoteReference w:id="54"/>
            </w:r>
            <w:r>
              <w:rPr>
                <w:rFonts w:hint="eastAsia" w:ascii="Times New Roman" w:hAnsi="Times New Roman"/>
                <w:smallCaps w:val="0"/>
                <w:color w:val="000000" w:themeColor="text1"/>
                <w:highlight w:val="none"/>
                <w14:textFill>
                  <w14:solidFill>
                    <w14:schemeClr w14:val="tx1"/>
                  </w14:solidFill>
                </w14:textFill>
              </w:rPr>
              <w:t>。</w:t>
            </w:r>
          </w:p>
          <w:p w14:paraId="3E84B45F">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（4）其他材料</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p>
          <w:p w14:paraId="6842B4D3">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需在商务文件中“资格审查资料”栏“投标人业绩情况表（资格审查）”中注明并提供相关证明材料。如投标人提供的上述业绩证明材料未能完整或充分反映评审因素的，应另附合同甲方证明材料（须加盖合同甲方单位章）予以明确说明，否则评标委员会不予认可。</w:t>
            </w:r>
          </w:p>
          <w:p w14:paraId="7054A71D">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第</w:t>
            </w:r>
            <w:r>
              <w:rPr>
                <w:rFonts w:hint="eastAsia" w:ascii="Times New Roman" w:hAnsi="Times New Roman"/>
                <w:smallCaps w:val="0"/>
                <w:color w:val="000000" w:themeColor="text1"/>
                <w:highlight w:val="none"/>
                <w:lang w:val="en-US" w:eastAsia="zh-CN"/>
                <w14:textFill>
                  <w14:solidFill>
                    <w14:schemeClr w14:val="tx1"/>
                  </w14:solidFill>
                </w14:textFill>
              </w:rPr>
              <w:t>三</w:t>
            </w:r>
            <w:r>
              <w:rPr>
                <w:rFonts w:hint="eastAsia" w:ascii="Times New Roman" w:hAnsi="Times New Roman"/>
                <w:smallCaps w:val="0"/>
                <w:color w:val="000000" w:themeColor="text1"/>
                <w:highlight w:val="none"/>
                <w14:textFill>
                  <w14:solidFill>
                    <w14:schemeClr w14:val="tx1"/>
                  </w14:solidFill>
                </w14:textFill>
              </w:rPr>
              <w:t>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p w14:paraId="1C4E9856">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2.本招标项目投标人业绩（资格审查）数量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个。</w:t>
            </w:r>
          </w:p>
          <w:p w14:paraId="4D7A3D6D">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ab/>
            </w:r>
          </w:p>
          <w:p w14:paraId="2E706BD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smallCaps w:val="0"/>
                <w:color w:val="000000" w:themeColor="text1"/>
                <w:highlight w:val="none"/>
                <w14:textFill>
                  <w14:solidFill>
                    <w14:schemeClr w14:val="tx1"/>
                  </w14:solidFill>
                </w14:textFill>
              </w:rPr>
            </w:pPr>
          </w:p>
        </w:tc>
      </w:tr>
      <w:tr w14:paraId="63B6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2C7D9F0C">
            <w:pPr>
              <w:pStyle w:val="83"/>
              <w:keepNext w:val="0"/>
              <w:keepLines w:val="0"/>
              <w:pageBreakBefore w:val="0"/>
              <w:suppressLineNumbers w:val="0"/>
              <w:kinsoku/>
              <w:wordWrap w:val="0"/>
              <w:overflowPunct/>
              <w:bidi w:val="0"/>
              <w:spacing w:before="0" w:beforeAutospacing="0" w:after="0" w:afterAutospacing="0"/>
              <w:ind w:left="0" w:leftChars="0" w:right="0" w:rightChars="0"/>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12</w:t>
            </w:r>
          </w:p>
        </w:tc>
        <w:tc>
          <w:tcPr>
            <w:tcW w:w="1004" w:type="pct"/>
            <w:noWrap w:val="0"/>
            <w:tcMar>
              <w:left w:w="75" w:type="dxa"/>
            </w:tcMar>
            <w:vAlign w:val="center"/>
          </w:tcPr>
          <w:p w14:paraId="44F55624">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宋体" w:hAnsi="宋体" w:eastAsia="宋体" w:cs="宋体"/>
                <w:color w:val="000000" w:themeColor="text1"/>
                <w:sz w:val="21"/>
                <w:szCs w:val="20"/>
                <w:highlight w:val="none"/>
                <w14:textFill>
                  <w14:solidFill>
                    <w14:schemeClr w14:val="tx1"/>
                  </w14:solidFill>
                </w14:textFill>
              </w:rPr>
            </w:pPr>
            <w:r>
              <w:rPr>
                <w:rFonts w:hint="default" w:ascii="宋体" w:hAnsi="宋体" w:eastAsia="宋体" w:cs="宋体"/>
                <w:color w:val="000000" w:themeColor="text1"/>
                <w:sz w:val="21"/>
                <w:szCs w:val="20"/>
                <w:highlight w:val="none"/>
                <w14:textFill>
                  <w14:solidFill>
                    <w14:schemeClr w14:val="tx1"/>
                  </w14:solidFill>
                </w14:textFill>
              </w:rPr>
              <w:t>业绩评审的</w:t>
            </w:r>
          </w:p>
          <w:p w14:paraId="08811787">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ascii="Times New Roman" w:hAnsi="Times New Roman" w:eastAsia="宋体"/>
                <w:smallCaps w:val="0"/>
                <w:color w:val="000000" w:themeColor="text1"/>
                <w:sz w:val="21"/>
                <w:szCs w:val="18"/>
                <w:highlight w:val="none"/>
                <w:lang w:val="en-US" w:eastAsia="zh-CN"/>
                <w14:textFill>
                  <w14:solidFill>
                    <w14:schemeClr w14:val="tx1"/>
                  </w14:solidFill>
                </w14:textFill>
              </w:rPr>
            </w:pPr>
            <w:r>
              <w:rPr>
                <w:rFonts w:hint="default" w:ascii="宋体" w:hAnsi="宋体" w:eastAsia="宋体" w:cs="宋体"/>
                <w:color w:val="000000" w:themeColor="text1"/>
                <w:sz w:val="21"/>
                <w:szCs w:val="20"/>
                <w:highlight w:val="none"/>
                <w14:textFill>
                  <w14:solidFill>
                    <w14:schemeClr w14:val="tx1"/>
                  </w14:solidFill>
                </w14:textFill>
              </w:rPr>
              <w:t>补充说明</w:t>
            </w:r>
          </w:p>
        </w:tc>
        <w:tc>
          <w:tcPr>
            <w:tcW w:w="3497" w:type="pct"/>
            <w:noWrap w:val="0"/>
            <w:vAlign w:val="center"/>
          </w:tcPr>
          <w:p w14:paraId="112CD7DB">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eastAsia="宋体" w:cs="宋体"/>
                <w:color w:val="000000" w:themeColor="text1"/>
                <w:sz w:val="21"/>
                <w:szCs w:val="18"/>
                <w:highlight w:val="none"/>
                <w14:textFill>
                  <w14:solidFill>
                    <w14:schemeClr w14:val="tx1"/>
                  </w14:solidFill>
                </w14:textFill>
              </w:rPr>
            </w:pPr>
            <w:r>
              <w:rPr>
                <w:rFonts w:hint="default" w:ascii="宋体" w:hAnsi="宋体" w:eastAsia="宋体" w:cs="宋体"/>
                <w:color w:val="000000" w:themeColor="text1"/>
                <w:sz w:val="21"/>
                <w:szCs w:val="18"/>
                <w:highlight w:val="none"/>
                <w14:textFill>
                  <w14:solidFill>
                    <w14:schemeClr w14:val="tx1"/>
                  </w14:solidFill>
                </w14:textFill>
              </w:rPr>
              <w:t>1、在项目履行过程中如有项目经理变更，该业绩计为变更后项目经理的业绩。项目经理变更证明材料必须齐全，且经过建设主管部门审核同意</w:t>
            </w:r>
            <w:r>
              <w:rPr>
                <w:rFonts w:hint="eastAsia" w:ascii="宋体" w:hAnsi="宋体" w:cs="宋体"/>
                <w:color w:val="000000" w:themeColor="text1"/>
                <w:sz w:val="21"/>
                <w:szCs w:val="18"/>
                <w:highlight w:val="none"/>
                <w:lang w:eastAsia="zh-CN"/>
                <w14:textFill>
                  <w14:solidFill>
                    <w14:schemeClr w14:val="tx1"/>
                  </w14:solidFill>
                </w14:textFill>
              </w:rPr>
              <w:t>（</w:t>
            </w:r>
            <w:r>
              <w:rPr>
                <w:rFonts w:hint="eastAsia" w:ascii="宋体" w:hAnsi="宋体" w:cs="宋体"/>
                <w:color w:val="000000" w:themeColor="text1"/>
                <w:sz w:val="21"/>
                <w:szCs w:val="18"/>
                <w:highlight w:val="none"/>
                <w:lang w:val="en-US" w:eastAsia="zh-CN"/>
                <w14:textFill>
                  <w14:solidFill>
                    <w14:schemeClr w14:val="tx1"/>
                  </w14:solidFill>
                </w14:textFill>
              </w:rPr>
              <w:t>以相关审批、证明为准；或同时提供施工许可证和竣工验收证明材料，两项资料中项目经理为同一人</w:t>
            </w:r>
            <w:r>
              <w:rPr>
                <w:rFonts w:hint="eastAsia" w:ascii="宋体" w:hAnsi="宋体" w:cs="宋体"/>
                <w:color w:val="000000" w:themeColor="text1"/>
                <w:sz w:val="21"/>
                <w:szCs w:val="18"/>
                <w:highlight w:val="none"/>
                <w:lang w:eastAsia="zh-CN"/>
                <w14:textFill>
                  <w14:solidFill>
                    <w14:schemeClr w14:val="tx1"/>
                  </w14:solidFill>
                </w14:textFill>
              </w:rPr>
              <w:t>）</w:t>
            </w:r>
            <w:r>
              <w:rPr>
                <w:rFonts w:hint="default" w:ascii="宋体" w:hAnsi="宋体" w:eastAsia="宋体" w:cs="宋体"/>
                <w:color w:val="000000" w:themeColor="text1"/>
                <w:sz w:val="21"/>
                <w:szCs w:val="18"/>
                <w:highlight w:val="none"/>
                <w14:textFill>
                  <w14:solidFill>
                    <w14:schemeClr w14:val="tx1"/>
                  </w14:solidFill>
                </w14:textFill>
              </w:rPr>
              <w:t>。</w:t>
            </w:r>
          </w:p>
          <w:p w14:paraId="63E1F753">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default" w:ascii="宋体" w:hAnsi="宋体" w:eastAsia="宋体" w:cs="宋体"/>
                <w:color w:val="000000" w:themeColor="text1"/>
                <w:sz w:val="21"/>
                <w:szCs w:val="18"/>
                <w:highlight w:val="none"/>
                <w14:textFill>
                  <w14:solidFill>
                    <w14:schemeClr w14:val="tx1"/>
                  </w14:solidFill>
                </w14:textFill>
              </w:rPr>
            </w:pPr>
            <w:r>
              <w:rPr>
                <w:rFonts w:hint="default" w:ascii="宋体" w:hAnsi="宋体" w:eastAsia="宋体" w:cs="宋体"/>
                <w:color w:val="000000" w:themeColor="text1"/>
                <w:sz w:val="21"/>
                <w:szCs w:val="18"/>
                <w:highlight w:val="none"/>
                <w14:textFill>
                  <w14:solidFill>
                    <w14:schemeClr w14:val="tx1"/>
                  </w14:solidFill>
                </w14:textFill>
              </w:rPr>
              <w:t>2、在投标人以联合体的形式承接的项目中，企业业绩</w:t>
            </w:r>
            <w:r>
              <w:rPr>
                <w:rFonts w:hint="eastAsia" w:ascii="宋体" w:hAnsi="宋体" w:cs="宋体"/>
                <w:color w:val="000000" w:themeColor="text1"/>
                <w:sz w:val="21"/>
                <w:szCs w:val="18"/>
                <w:highlight w:val="none"/>
                <w:lang w:eastAsia="zh-CN"/>
                <w14:textFill>
                  <w14:solidFill>
                    <w14:schemeClr w14:val="tx1"/>
                  </w14:solidFill>
                </w14:textFill>
              </w:rPr>
              <w:t>给予</w:t>
            </w:r>
            <w:r>
              <w:rPr>
                <w:rFonts w:hint="default" w:ascii="宋体" w:hAnsi="宋体" w:eastAsia="宋体" w:cs="宋体"/>
                <w:color w:val="000000" w:themeColor="text1"/>
                <w:sz w:val="21"/>
                <w:szCs w:val="18"/>
                <w:highlight w:val="none"/>
                <w14:textFill>
                  <w14:solidFill>
                    <w14:schemeClr w14:val="tx1"/>
                  </w14:solidFill>
                </w14:textFill>
              </w:rPr>
              <w:t>认可。联合体业绩中项目经理以施工承建单位的项目经理为准。附联合体协议书，标注企业在联合体中承担的业务范围。</w:t>
            </w:r>
          </w:p>
          <w:p w14:paraId="45BDDC2B">
            <w:pPr>
              <w:keepNext w:val="0"/>
              <w:keepLines w:val="0"/>
              <w:pageBreakBefore w:val="0"/>
              <w:suppressLineNumbers w:val="0"/>
              <w:kinsoku/>
              <w:wordWrap w:val="0"/>
              <w:overflowPunct/>
              <w:bidi w:val="0"/>
              <w:spacing w:before="0" w:beforeAutospacing="0" w:after="0" w:afterAutospacing="0" w:line="360" w:lineRule="auto"/>
              <w:ind w:left="0" w:right="0" w:firstLine="420" w:firstLineChars="200"/>
              <w:rPr>
                <w:rFonts w:hint="eastAsia" w:ascii="Times New Roman" w:hAnsi="Times New Roman"/>
                <w:smallCaps w:val="0"/>
                <w:color w:val="000000" w:themeColor="text1"/>
                <w:sz w:val="21"/>
                <w:szCs w:val="18"/>
                <w:highlight w:val="none"/>
                <w14:textFill>
                  <w14:solidFill>
                    <w14:schemeClr w14:val="tx1"/>
                  </w14:solidFill>
                </w14:textFill>
              </w:rPr>
            </w:pPr>
            <w:r>
              <w:rPr>
                <w:rFonts w:hint="eastAsia" w:ascii="宋体" w:hAnsi="宋体" w:cs="宋体"/>
                <w:color w:val="000000" w:themeColor="text1"/>
                <w:sz w:val="21"/>
                <w:szCs w:val="18"/>
                <w:highlight w:val="none"/>
                <w:lang w:val="en-US" w:eastAsia="zh-CN"/>
                <w14:textFill>
                  <w14:solidFill>
                    <w14:schemeClr w14:val="tx1"/>
                  </w14:solidFill>
                </w14:textFill>
              </w:rPr>
              <w:t>3、同一个立项批复下的项目，建设单位分标段发包的，不同标段的合同合并视为同一个项目的业绩。</w:t>
            </w:r>
          </w:p>
        </w:tc>
      </w:tr>
      <w:tr w14:paraId="72C8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pct"/>
            <w:noWrap w:val="0"/>
            <w:vAlign w:val="center"/>
          </w:tcPr>
          <w:p w14:paraId="626DA2C7">
            <w:pPr>
              <w:keepNext w:val="0"/>
              <w:keepLines w:val="0"/>
              <w:pageBreakBefore w:val="0"/>
              <w:suppressLineNumbers w:val="0"/>
              <w:kinsoku/>
              <w:wordWrap w:val="0"/>
              <w:overflowPunct/>
              <w:bidi w:val="0"/>
              <w:spacing w:before="0" w:beforeAutospacing="0" w:after="0" w:afterAutospacing="0"/>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c>
          <w:tcPr>
            <w:tcW w:w="1004" w:type="pct"/>
            <w:noWrap w:val="0"/>
            <w:tcMar>
              <w:left w:w="75" w:type="dxa"/>
            </w:tcMar>
            <w:vAlign w:val="center"/>
          </w:tcPr>
          <w:p w14:paraId="10896D8A">
            <w:pPr>
              <w:keepNext w:val="0"/>
              <w:keepLines w:val="0"/>
              <w:pageBreakBefore w:val="0"/>
              <w:suppressLineNumbers w:val="0"/>
              <w:kinsoku/>
              <w:wordWrap w:val="0"/>
              <w:overflowPunct/>
              <w:bidi w:val="0"/>
              <w:spacing w:before="0" w:beforeAutospacing="0" w:after="0" w:afterAutospacing="0"/>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c>
          <w:tcPr>
            <w:tcW w:w="3497" w:type="pct"/>
            <w:noWrap w:val="0"/>
            <w:vAlign w:val="center"/>
          </w:tcPr>
          <w:p w14:paraId="6946E0B2">
            <w:pPr>
              <w:keepNext w:val="0"/>
              <w:keepLines w:val="0"/>
              <w:pageBreakBefore w:val="0"/>
              <w:suppressLineNumbers w:val="0"/>
              <w:kinsoku/>
              <w:wordWrap w:val="0"/>
              <w:overflowPunct/>
              <w:bidi w:val="0"/>
              <w:spacing w:before="0" w:beforeAutospacing="0" w:after="0" w:afterAutospacing="0"/>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bl>
    <w:p w14:paraId="2E7267ED">
      <w:pPr>
        <w:pageBreakBefore w:val="0"/>
        <w:kinsoku/>
        <w:wordWrap w:val="0"/>
        <w:overflowPunct/>
        <w:bidi w:val="0"/>
        <w:spacing w:before="240" w:beforeLines="100" w:after="240" w:afterLines="100"/>
        <w:jc w:val="center"/>
        <w:outlineLvl w:val="1"/>
        <w:rPr>
          <w:rStyle w:val="39"/>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eastAsia="黑体"/>
          <w:smallCaps w:val="0"/>
          <w:color w:val="000000" w:themeColor="text1"/>
          <w:highlight w:val="none"/>
          <w14:textFill>
            <w14:solidFill>
              <w14:schemeClr w14:val="tx1"/>
            </w14:solidFill>
          </w14:textFill>
        </w:rPr>
        <w:br w:type="page"/>
      </w:r>
      <w:bookmarkStart w:id="615" w:name="_Toc12421"/>
      <w:bookmarkStart w:id="616" w:name="_Toc9255"/>
      <w:bookmarkStart w:id="617" w:name="_Toc124283268"/>
      <w:bookmarkStart w:id="618" w:name="_Toc130919113"/>
      <w:bookmarkStart w:id="619" w:name="_Toc15"/>
      <w:bookmarkStart w:id="620" w:name="_Toc715"/>
      <w:bookmarkStart w:id="621" w:name="_Toc22762"/>
      <w:bookmarkStart w:id="622" w:name="_Toc22054"/>
      <w:r>
        <w:rPr>
          <w:rStyle w:val="39"/>
          <w:rFonts w:hint="eastAsia" w:ascii="Times New Roman" w:hAnsi="Times New Roman"/>
          <w:smallCaps w:val="0"/>
          <w:color w:val="000000" w:themeColor="text1"/>
          <w:highlight w:val="none"/>
          <w14:textFill>
            <w14:solidFill>
              <w14:schemeClr w14:val="tx1"/>
            </w14:solidFill>
          </w14:textFill>
        </w:rPr>
        <w:t>商务及技术文件初步评审标准</w:t>
      </w:r>
      <w:bookmarkEnd w:id="615"/>
      <w:bookmarkEnd w:id="616"/>
      <w:bookmarkEnd w:id="617"/>
      <w:bookmarkEnd w:id="618"/>
      <w:bookmarkEnd w:id="619"/>
      <w:bookmarkEnd w:id="620"/>
      <w:bookmarkEnd w:id="621"/>
      <w:bookmarkEnd w:id="622"/>
    </w:p>
    <w:tbl>
      <w:tblPr>
        <w:tblStyle w:val="22"/>
        <w:tblW w:w="50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870"/>
        <w:gridCol w:w="1485"/>
        <w:gridCol w:w="5940"/>
      </w:tblGrid>
      <w:tr w14:paraId="1242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trPr>
        <w:tc>
          <w:tcPr>
            <w:tcW w:w="868" w:type="pct"/>
            <w:gridSpan w:val="2"/>
            <w:shd w:val="clear" w:color="auto" w:fill="D7D7D7" w:themeFill="background1" w:themeFillShade="D8"/>
            <w:noWrap w:val="0"/>
            <w:vAlign w:val="center"/>
          </w:tcPr>
          <w:p w14:paraId="6D885F6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826" w:type="pct"/>
            <w:shd w:val="clear" w:color="auto" w:fill="D7D7D7" w:themeFill="background1" w:themeFillShade="D8"/>
            <w:noWrap w:val="0"/>
            <w:vAlign w:val="center"/>
          </w:tcPr>
          <w:p w14:paraId="3D7ADDD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3305" w:type="pct"/>
            <w:shd w:val="clear" w:color="auto" w:fill="D7D7D7" w:themeFill="background1" w:themeFillShade="D8"/>
            <w:noWrap w:val="0"/>
            <w:vAlign w:val="center"/>
          </w:tcPr>
          <w:p w14:paraId="51837CA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48AE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restart"/>
            <w:noWrap w:val="0"/>
            <w:vAlign w:val="center"/>
          </w:tcPr>
          <w:p w14:paraId="7C825F7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w:t>
            </w:r>
          </w:p>
        </w:tc>
        <w:tc>
          <w:tcPr>
            <w:tcW w:w="484" w:type="pct"/>
            <w:vMerge w:val="restart"/>
            <w:noWrap w:val="0"/>
            <w:vAlign w:val="center"/>
          </w:tcPr>
          <w:p w14:paraId="5280B66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形式评审标准</w:t>
            </w:r>
          </w:p>
        </w:tc>
        <w:tc>
          <w:tcPr>
            <w:tcW w:w="826" w:type="pct"/>
            <w:noWrap w:val="0"/>
            <w:tcMar>
              <w:left w:w="75" w:type="dxa"/>
            </w:tcMar>
            <w:vAlign w:val="center"/>
          </w:tcPr>
          <w:p w14:paraId="113DABF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投标人名称</w:t>
            </w:r>
          </w:p>
        </w:tc>
        <w:tc>
          <w:tcPr>
            <w:tcW w:w="3305" w:type="pct"/>
            <w:noWrap w:val="0"/>
            <w:tcMar>
              <w:left w:w="75" w:type="dxa"/>
            </w:tcMar>
            <w:vAlign w:val="center"/>
          </w:tcPr>
          <w:p w14:paraId="6AFDF6E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与营业执照、资质证书、安全生产许可证一致。</w:t>
            </w:r>
          </w:p>
        </w:tc>
      </w:tr>
      <w:tr w14:paraId="7F90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4B8BF3C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7B146B0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60BE238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签字盖章</w:t>
            </w:r>
          </w:p>
        </w:tc>
        <w:tc>
          <w:tcPr>
            <w:tcW w:w="3305" w:type="pct"/>
            <w:noWrap w:val="0"/>
            <w:tcMar>
              <w:left w:w="75" w:type="dxa"/>
            </w:tcMar>
            <w:vAlign w:val="center"/>
          </w:tcPr>
          <w:p w14:paraId="6445E76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符合第二章“投标人须知”第3.7.3项规定。</w:t>
            </w:r>
          </w:p>
        </w:tc>
      </w:tr>
      <w:tr w14:paraId="0508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22C3A18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66E080E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6031A56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投标文件格式</w:t>
            </w:r>
          </w:p>
        </w:tc>
        <w:tc>
          <w:tcPr>
            <w:tcW w:w="3305" w:type="pct"/>
            <w:noWrap w:val="0"/>
            <w:tcMar>
              <w:left w:w="75" w:type="dxa"/>
            </w:tcMar>
            <w:vAlign w:val="center"/>
          </w:tcPr>
          <w:p w14:paraId="19515BC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符合第八章“投标文件格式”的规定。</w:t>
            </w:r>
          </w:p>
        </w:tc>
      </w:tr>
      <w:tr w14:paraId="4E2E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175515C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205DE7A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2E83596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联合体投标人</w:t>
            </w:r>
          </w:p>
        </w:tc>
        <w:tc>
          <w:tcPr>
            <w:tcW w:w="3305" w:type="pct"/>
            <w:noWrap w:val="0"/>
            <w:tcMar>
              <w:left w:w="75" w:type="dxa"/>
            </w:tcMar>
            <w:vAlign w:val="center"/>
          </w:tcPr>
          <w:p w14:paraId="61700CA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提交符合招标文件要求的联合体协议书，明确各方承担连带责任，并明确联合体牵头人。</w:t>
            </w:r>
          </w:p>
        </w:tc>
      </w:tr>
      <w:tr w14:paraId="2048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384" w:type="pct"/>
            <w:vMerge w:val="continue"/>
            <w:noWrap w:val="0"/>
            <w:vAlign w:val="center"/>
          </w:tcPr>
          <w:p w14:paraId="1295E18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0D6A547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0382812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未出现异常情形</w:t>
            </w:r>
          </w:p>
        </w:tc>
        <w:tc>
          <w:tcPr>
            <w:tcW w:w="3305" w:type="pct"/>
            <w:noWrap w:val="0"/>
            <w:tcMar>
              <w:left w:w="75" w:type="dxa"/>
            </w:tcMar>
            <w:vAlign w:val="center"/>
          </w:tcPr>
          <w:p w14:paraId="0FDA3BD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不同投标人未出现使用相同的机器识别码进行投标或使用相同加密锁号的造价软件的情形</w:t>
            </w:r>
          </w:p>
          <w:p w14:paraId="607480F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608E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48E9982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2C87B18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18E01CA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未出现投标报价</w:t>
            </w:r>
          </w:p>
        </w:tc>
        <w:tc>
          <w:tcPr>
            <w:tcW w:w="3305" w:type="pct"/>
            <w:noWrap w:val="0"/>
            <w:tcMar>
              <w:left w:w="75" w:type="dxa"/>
            </w:tcMar>
            <w:vAlign w:val="center"/>
          </w:tcPr>
          <w:p w14:paraId="351D058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商务及技术文件中未出现有关投标报价的内容。</w:t>
            </w:r>
          </w:p>
        </w:tc>
      </w:tr>
      <w:tr w14:paraId="7A80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restart"/>
            <w:noWrap w:val="0"/>
            <w:vAlign w:val="center"/>
          </w:tcPr>
          <w:p w14:paraId="7C36477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2.1.2</w:t>
            </w:r>
          </w:p>
        </w:tc>
        <w:tc>
          <w:tcPr>
            <w:tcW w:w="484" w:type="pct"/>
            <w:vMerge w:val="restart"/>
            <w:noWrap w:val="0"/>
            <w:vAlign w:val="center"/>
          </w:tcPr>
          <w:p w14:paraId="69B6827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资格评审标准</w:t>
            </w:r>
          </w:p>
        </w:tc>
        <w:tc>
          <w:tcPr>
            <w:tcW w:w="826" w:type="pct"/>
            <w:noWrap w:val="0"/>
            <w:tcMar>
              <w:left w:w="75" w:type="dxa"/>
            </w:tcMar>
            <w:vAlign w:val="center"/>
          </w:tcPr>
          <w:p w14:paraId="150ABB5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营业执照</w:t>
            </w:r>
          </w:p>
        </w:tc>
        <w:tc>
          <w:tcPr>
            <w:tcW w:w="3305" w:type="pct"/>
            <w:noWrap w:val="0"/>
            <w:tcMar>
              <w:left w:w="75" w:type="dxa"/>
            </w:tcMar>
            <w:vAlign w:val="center"/>
          </w:tcPr>
          <w:p w14:paraId="51F8060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具备有效的营业执照，如为联合体投标，联合体各方均须提供。</w:t>
            </w:r>
          </w:p>
        </w:tc>
      </w:tr>
      <w:tr w14:paraId="1023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6437F94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50AB3F2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3089FB1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资质等级</w:t>
            </w:r>
          </w:p>
        </w:tc>
        <w:tc>
          <w:tcPr>
            <w:tcW w:w="3305" w:type="pct"/>
            <w:noWrap w:val="0"/>
            <w:tcMar>
              <w:left w:w="75" w:type="dxa"/>
            </w:tcMar>
            <w:vAlign w:val="center"/>
          </w:tcPr>
          <w:p w14:paraId="51F4127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1E2C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42D635D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7033F12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06FBBC7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安全生产许可证</w:t>
            </w:r>
          </w:p>
        </w:tc>
        <w:tc>
          <w:tcPr>
            <w:tcW w:w="3305" w:type="pct"/>
            <w:noWrap w:val="0"/>
            <w:tcMar>
              <w:left w:w="75" w:type="dxa"/>
            </w:tcMar>
            <w:vAlign w:val="center"/>
          </w:tcPr>
          <w:p w14:paraId="1FC9305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具备有效的安全生产许可证。</w:t>
            </w:r>
          </w:p>
        </w:tc>
      </w:tr>
      <w:tr w14:paraId="715E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6401FA0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0F6AFFB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074672E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财务要求</w:t>
            </w:r>
          </w:p>
        </w:tc>
        <w:tc>
          <w:tcPr>
            <w:tcW w:w="3305" w:type="pct"/>
            <w:noWrap w:val="0"/>
            <w:tcMar>
              <w:left w:w="75" w:type="dxa"/>
            </w:tcMar>
            <w:vAlign w:val="center"/>
          </w:tcPr>
          <w:p w14:paraId="3A2BACB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6FA8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6E903B9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4983DEA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719FFB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投标人业绩要求</w:t>
            </w:r>
          </w:p>
        </w:tc>
        <w:tc>
          <w:tcPr>
            <w:tcW w:w="3305" w:type="pct"/>
            <w:noWrap w:val="0"/>
            <w:tcMar>
              <w:left w:w="75" w:type="dxa"/>
            </w:tcMar>
            <w:vAlign w:val="center"/>
          </w:tcPr>
          <w:p w14:paraId="0DE5351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7C15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187F70C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67BAA81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0E16A1E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信誉要求</w:t>
            </w:r>
          </w:p>
        </w:tc>
        <w:tc>
          <w:tcPr>
            <w:tcW w:w="3305" w:type="pct"/>
            <w:noWrap w:val="0"/>
            <w:tcMar>
              <w:left w:w="75" w:type="dxa"/>
            </w:tcMar>
            <w:vAlign w:val="center"/>
          </w:tcPr>
          <w:p w14:paraId="4F4D63A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符合第二章“投标人须知”第1.4.1项规定。投标人在投标函中承诺，</w:t>
            </w:r>
            <w:r>
              <w:rPr>
                <w:rFonts w:hint="eastAsia" w:ascii="Times New Roman" w:hAnsi="Times New Roman"/>
                <w:smallCaps w:val="0"/>
                <w:color w:val="000000" w:themeColor="text1"/>
                <w:highlight w:val="none"/>
                <w:lang w:val="en-US" w:eastAsia="zh-CN"/>
                <w14:textFill>
                  <w14:solidFill>
                    <w14:schemeClr w14:val="tx1"/>
                  </w14:solidFill>
                </w14:textFill>
              </w:rPr>
              <w:t>并按照投标文件格式要求提供承诺书</w:t>
            </w:r>
            <w:r>
              <w:rPr>
                <w:rFonts w:hint="eastAsia" w:ascii="Times New Roman" w:hAnsi="Times New Roman"/>
                <w:smallCaps w:val="0"/>
                <w:color w:val="000000" w:themeColor="text1"/>
                <w:highlight w:val="none"/>
                <w14:textFill>
                  <w14:solidFill>
                    <w14:schemeClr w14:val="tx1"/>
                  </w14:solidFill>
                </w14:textFill>
              </w:rPr>
              <w:t>。</w:t>
            </w:r>
          </w:p>
        </w:tc>
      </w:tr>
      <w:tr w14:paraId="29B2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753627A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55190F7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2534F57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tc>
        <w:tc>
          <w:tcPr>
            <w:tcW w:w="3305" w:type="pct"/>
            <w:noWrap w:val="0"/>
            <w:tcMar>
              <w:left w:w="75" w:type="dxa"/>
            </w:tcMar>
            <w:vAlign w:val="center"/>
          </w:tcPr>
          <w:p w14:paraId="46B6E47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2C01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1AD2654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7B594EE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4D9E2EC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项目经理业绩要求</w:t>
            </w:r>
          </w:p>
        </w:tc>
        <w:tc>
          <w:tcPr>
            <w:tcW w:w="3305" w:type="pct"/>
            <w:noWrap w:val="0"/>
            <w:tcMar>
              <w:left w:w="75" w:type="dxa"/>
            </w:tcMar>
            <w:vAlign w:val="center"/>
          </w:tcPr>
          <w:p w14:paraId="7980838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4235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6AE309C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7A0503F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2B89053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其他主要管理人员和技术人员配备</w:t>
            </w:r>
          </w:p>
        </w:tc>
        <w:tc>
          <w:tcPr>
            <w:tcW w:w="3305" w:type="pct"/>
            <w:noWrap w:val="0"/>
            <w:tcMar>
              <w:left w:w="75" w:type="dxa"/>
            </w:tcMar>
            <w:vAlign w:val="center"/>
          </w:tcPr>
          <w:p w14:paraId="31F25D4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w:t>
            </w:r>
          </w:p>
        </w:tc>
      </w:tr>
      <w:tr w14:paraId="6AFA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4142E5B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3691595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3ADD623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联合体投标人</w:t>
            </w:r>
          </w:p>
        </w:tc>
        <w:tc>
          <w:tcPr>
            <w:tcW w:w="3305" w:type="pct"/>
            <w:noWrap w:val="0"/>
            <w:tcMar>
              <w:left w:w="75" w:type="dxa"/>
            </w:tcMar>
            <w:vAlign w:val="center"/>
          </w:tcPr>
          <w:p w14:paraId="03DE08C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符合第二章“投标人须知”第1.4.2项规定。</w:t>
            </w:r>
          </w:p>
        </w:tc>
      </w:tr>
      <w:tr w14:paraId="28B1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59B14C5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048232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0E42300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不存在禁止投标的情形</w:t>
            </w:r>
          </w:p>
        </w:tc>
        <w:tc>
          <w:tcPr>
            <w:tcW w:w="3305" w:type="pct"/>
            <w:noWrap w:val="0"/>
            <w:tcMar>
              <w:left w:w="75" w:type="dxa"/>
            </w:tcMar>
            <w:vAlign w:val="center"/>
          </w:tcPr>
          <w:p w14:paraId="641CC2C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不存在第二章“投标人须知”第1.4.3项或第1.4.4项规定的任何一种情形。投标人应按照第八章“投标文件格式”的“诚信投标承诺书”承诺。</w:t>
            </w:r>
          </w:p>
        </w:tc>
      </w:tr>
      <w:tr w14:paraId="1E4D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restart"/>
            <w:noWrap w:val="0"/>
            <w:vAlign w:val="center"/>
          </w:tcPr>
          <w:p w14:paraId="461CA94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2.1.3</w:t>
            </w:r>
          </w:p>
        </w:tc>
        <w:tc>
          <w:tcPr>
            <w:tcW w:w="484" w:type="pct"/>
            <w:vMerge w:val="restart"/>
            <w:noWrap w:val="0"/>
            <w:vAlign w:val="center"/>
          </w:tcPr>
          <w:p w14:paraId="39AFD07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响应性评审标准</w:t>
            </w:r>
          </w:p>
        </w:tc>
        <w:tc>
          <w:tcPr>
            <w:tcW w:w="826" w:type="pct"/>
            <w:noWrap w:val="0"/>
            <w:tcMar>
              <w:left w:w="75" w:type="dxa"/>
            </w:tcMar>
            <w:vAlign w:val="center"/>
          </w:tcPr>
          <w:p w14:paraId="44D40BB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投标内容</w:t>
            </w:r>
          </w:p>
        </w:tc>
        <w:tc>
          <w:tcPr>
            <w:tcW w:w="3305" w:type="pct"/>
            <w:noWrap w:val="0"/>
            <w:tcMar>
              <w:left w:w="75" w:type="dxa"/>
            </w:tcMar>
            <w:vAlign w:val="center"/>
          </w:tcPr>
          <w:p w14:paraId="5649014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符合第二章“投标人须知”第1.3.1项规定。</w:t>
            </w:r>
          </w:p>
        </w:tc>
      </w:tr>
      <w:tr w14:paraId="6A80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2A7F1A7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3B1383A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0851549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工期</w:t>
            </w:r>
          </w:p>
        </w:tc>
        <w:tc>
          <w:tcPr>
            <w:tcW w:w="3305" w:type="pct"/>
            <w:noWrap w:val="0"/>
            <w:tcMar>
              <w:left w:w="75" w:type="dxa"/>
            </w:tcMar>
            <w:vAlign w:val="center"/>
          </w:tcPr>
          <w:p w14:paraId="5359512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符合第二章“投标人须知”第1.3.2项规定。</w:t>
            </w:r>
          </w:p>
        </w:tc>
      </w:tr>
      <w:tr w14:paraId="191B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58933F4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4682098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68F4955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质量标准</w:t>
            </w:r>
          </w:p>
        </w:tc>
        <w:tc>
          <w:tcPr>
            <w:tcW w:w="3305" w:type="pct"/>
            <w:noWrap w:val="0"/>
            <w:tcMar>
              <w:left w:w="75" w:type="dxa"/>
            </w:tcMar>
            <w:vAlign w:val="center"/>
          </w:tcPr>
          <w:p w14:paraId="52DB016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符合第二章“投标人须知”第1.3.3项规定。</w:t>
            </w:r>
          </w:p>
        </w:tc>
      </w:tr>
      <w:tr w14:paraId="7384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05E79C6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39D7E46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22BC363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投标有效期</w:t>
            </w:r>
          </w:p>
        </w:tc>
        <w:tc>
          <w:tcPr>
            <w:tcW w:w="3305" w:type="pct"/>
            <w:noWrap w:val="0"/>
            <w:tcMar>
              <w:left w:w="75" w:type="dxa"/>
            </w:tcMar>
            <w:vAlign w:val="center"/>
          </w:tcPr>
          <w:p w14:paraId="4668EB7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符合第二章“投标人须知”第3.3.1项规定。</w:t>
            </w:r>
          </w:p>
        </w:tc>
      </w:tr>
      <w:tr w14:paraId="699B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5284BCC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408CADD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6801305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投标保证金</w:t>
            </w:r>
          </w:p>
        </w:tc>
        <w:tc>
          <w:tcPr>
            <w:tcW w:w="3305" w:type="pct"/>
            <w:noWrap w:val="0"/>
            <w:tcMar>
              <w:left w:w="75" w:type="dxa"/>
            </w:tcMar>
            <w:vAlign w:val="center"/>
          </w:tcPr>
          <w:p w14:paraId="5F4920F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符合第二章“投标人须知”第3.4.1项规定（符合免缴投标保证金的须满足免缴条件且须进行相应承诺）。</w:t>
            </w:r>
          </w:p>
        </w:tc>
      </w:tr>
      <w:tr w14:paraId="658C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3CACCDF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3ABC3B5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0A36AC7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项目经理承诺</w:t>
            </w:r>
          </w:p>
        </w:tc>
        <w:tc>
          <w:tcPr>
            <w:tcW w:w="3305" w:type="pct"/>
            <w:noWrap w:val="0"/>
            <w:tcMar>
              <w:left w:w="75" w:type="dxa"/>
            </w:tcMar>
            <w:vAlign w:val="center"/>
          </w:tcPr>
          <w:p w14:paraId="186B198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符合第二章“投标人须知”第1.4.1项规定。投标人应按照招标文件第八章“投标文件格式”的“项目经理承诺”提供承诺。</w:t>
            </w:r>
          </w:p>
        </w:tc>
      </w:tr>
      <w:tr w14:paraId="43A4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280F6CD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782648B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4C69CA8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分包计划</w:t>
            </w:r>
          </w:p>
        </w:tc>
        <w:tc>
          <w:tcPr>
            <w:tcW w:w="3305" w:type="pct"/>
            <w:noWrap w:val="0"/>
            <w:tcMar>
              <w:left w:w="75" w:type="dxa"/>
            </w:tcMar>
            <w:vAlign w:val="center"/>
          </w:tcPr>
          <w:p w14:paraId="4722AA5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投标人如有分包计划，符合招标文件第二章“投标人须知”第1.11款规定，且按照招标文件第八章“投标文件格式”的要求填写了“拟分包项目情况表”。</w:t>
            </w:r>
          </w:p>
        </w:tc>
      </w:tr>
      <w:tr w14:paraId="4CFE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67F5EDD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84" w:type="pct"/>
            <w:vMerge w:val="continue"/>
            <w:noWrap w:val="0"/>
            <w:vAlign w:val="center"/>
          </w:tcPr>
          <w:p w14:paraId="409B24A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431998C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其他实质性要求</w:t>
            </w:r>
          </w:p>
        </w:tc>
        <w:tc>
          <w:tcPr>
            <w:tcW w:w="3305" w:type="pct"/>
            <w:noWrap w:val="0"/>
            <w:tcMar>
              <w:left w:w="75" w:type="dxa"/>
            </w:tcMar>
            <w:vAlign w:val="center"/>
          </w:tcPr>
          <w:p w14:paraId="282DB29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符合招标文件的其他实质性要求和条件。</w:t>
            </w:r>
          </w:p>
        </w:tc>
      </w:tr>
      <w:tr w14:paraId="256A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4" w:type="pct"/>
            <w:vMerge w:val="continue"/>
            <w:noWrap w:val="0"/>
            <w:vAlign w:val="center"/>
          </w:tcPr>
          <w:p w14:paraId="0F29E55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bookmarkStart w:id="623" w:name="_Toc130919114"/>
            <w:bookmarkStart w:id="624" w:name="_Toc124283269"/>
          </w:p>
        </w:tc>
        <w:tc>
          <w:tcPr>
            <w:tcW w:w="484" w:type="pct"/>
            <w:vMerge w:val="continue"/>
            <w:noWrap w:val="0"/>
            <w:vAlign w:val="center"/>
          </w:tcPr>
          <w:p w14:paraId="3E12CAB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26" w:type="pct"/>
            <w:noWrap w:val="0"/>
            <w:tcMar>
              <w:left w:w="75" w:type="dxa"/>
            </w:tcMar>
            <w:vAlign w:val="center"/>
          </w:tcPr>
          <w:p w14:paraId="2BCC2DB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BIM技术要求</w:t>
            </w:r>
          </w:p>
          <w:p w14:paraId="259B86F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如有</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p>
        </w:tc>
        <w:tc>
          <w:tcPr>
            <w:tcW w:w="3305" w:type="pct"/>
            <w:noWrap w:val="0"/>
            <w:tcMar>
              <w:left w:w="75" w:type="dxa"/>
            </w:tcMar>
            <w:vAlign w:val="center"/>
          </w:tcPr>
          <w:p w14:paraId="3B398CF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参照《安徽省房屋建筑和市政基础设施工程施工应用BIM技术招标投标评标办法实施导则》</w:t>
            </w:r>
          </w:p>
        </w:tc>
      </w:tr>
    </w:tbl>
    <w:p w14:paraId="40953662">
      <w:pPr>
        <w:pageBreakBefore w:val="0"/>
        <w:kinsoku/>
        <w:wordWrap w:val="0"/>
        <w:overflowPunct/>
        <w:bidi w:val="0"/>
        <w:spacing w:before="0" w:beforeLines="0" w:after="0" w:afterLines="0"/>
        <w:jc w:val="left"/>
        <w:outlineLvl w:val="9"/>
        <w:rPr>
          <w:rFonts w:hint="eastAsia" w:ascii="Times New Roman" w:hAnsi="Times New Roman"/>
          <w:smallCaps w:val="0"/>
          <w:color w:val="000000" w:themeColor="text1"/>
          <w:highlight w:val="none"/>
          <w14:textFill>
            <w14:solidFill>
              <w14:schemeClr w14:val="tx1"/>
            </w14:solidFill>
          </w14:textFill>
        </w:rPr>
      </w:pPr>
    </w:p>
    <w:p w14:paraId="50A4773E">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bookmarkStart w:id="625" w:name="_Toc5980"/>
      <w:bookmarkStart w:id="626" w:name="_Toc5427"/>
      <w:bookmarkStart w:id="627" w:name="_Toc13895"/>
      <w:bookmarkStart w:id="628" w:name="_Toc9958"/>
      <w:bookmarkStart w:id="629" w:name="_Toc11153"/>
      <w:r>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br w:type="page"/>
      </w:r>
    </w:p>
    <w:p w14:paraId="0704499E">
      <w:pPr>
        <w:pageBreakBefore w:val="0"/>
        <w:kinsoku/>
        <w:wordWrap w:val="0"/>
        <w:overflowPunct/>
        <w:bidi w:val="0"/>
        <w:spacing w:before="240" w:beforeLines="100" w:after="240" w:afterLines="100"/>
        <w:jc w:val="center"/>
        <w:outlineLvl w:val="1"/>
        <w:rPr>
          <w:rStyle w:val="39"/>
          <w:rFonts w:hint="eastAsia" w:ascii="Times New Roman" w:hAnsi="Times New Roman"/>
          <w:smallCaps w:val="0"/>
          <w:color w:val="000000" w:themeColor="text1"/>
          <w:highlight w:val="none"/>
          <w14:textFill>
            <w14:solidFill>
              <w14:schemeClr w14:val="tx1"/>
            </w14:solidFill>
          </w14:textFill>
        </w:rPr>
      </w:pPr>
      <w:bookmarkStart w:id="630" w:name="_Toc2455"/>
      <w:r>
        <w:rPr>
          <w:rStyle w:val="39"/>
          <w:rFonts w:hint="eastAsia" w:ascii="Times New Roman" w:hAnsi="Times New Roman"/>
          <w:smallCaps w:val="0"/>
          <w:color w:val="000000" w:themeColor="text1"/>
          <w:highlight w:val="none"/>
          <w14:textFill>
            <w14:solidFill>
              <w14:schemeClr w14:val="tx1"/>
            </w14:solidFill>
          </w14:textFill>
        </w:rPr>
        <w:t>报价文件初步评审标准</w:t>
      </w:r>
      <w:bookmarkEnd w:id="623"/>
      <w:bookmarkEnd w:id="624"/>
      <w:bookmarkEnd w:id="625"/>
      <w:bookmarkEnd w:id="626"/>
      <w:bookmarkEnd w:id="627"/>
      <w:bookmarkEnd w:id="628"/>
      <w:bookmarkEnd w:id="629"/>
      <w:bookmarkEnd w:id="630"/>
    </w:p>
    <w:tbl>
      <w:tblPr>
        <w:tblStyle w:val="22"/>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7"/>
        <w:gridCol w:w="979"/>
        <w:gridCol w:w="1917"/>
        <w:gridCol w:w="5485"/>
      </w:tblGrid>
      <w:tr w14:paraId="149A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tblHeader/>
        </w:trPr>
        <w:tc>
          <w:tcPr>
            <w:tcW w:w="887" w:type="pct"/>
            <w:gridSpan w:val="2"/>
            <w:shd w:val="clear" w:color="auto" w:fill="D7D7D7" w:themeFill="background1" w:themeFillShade="D8"/>
            <w:noWrap w:val="0"/>
            <w:vAlign w:val="center"/>
          </w:tcPr>
          <w:p w14:paraId="35A09BE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1065" w:type="pct"/>
            <w:shd w:val="clear" w:color="auto" w:fill="D7D7D7" w:themeFill="background1" w:themeFillShade="D8"/>
            <w:noWrap w:val="0"/>
            <w:vAlign w:val="center"/>
          </w:tcPr>
          <w:p w14:paraId="3128D1A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3047" w:type="pct"/>
            <w:shd w:val="clear" w:color="auto" w:fill="D7D7D7" w:themeFill="background1" w:themeFillShade="D8"/>
            <w:noWrap w:val="0"/>
            <w:vAlign w:val="center"/>
          </w:tcPr>
          <w:p w14:paraId="5749D22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791A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restart"/>
            <w:noWrap w:val="0"/>
            <w:vAlign w:val="center"/>
          </w:tcPr>
          <w:p w14:paraId="2AEF884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w:t>
            </w:r>
          </w:p>
        </w:tc>
        <w:tc>
          <w:tcPr>
            <w:tcW w:w="544" w:type="pct"/>
            <w:vMerge w:val="restart"/>
            <w:noWrap w:val="0"/>
            <w:vAlign w:val="center"/>
          </w:tcPr>
          <w:p w14:paraId="3D7A418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形式评审标准</w:t>
            </w:r>
          </w:p>
        </w:tc>
        <w:tc>
          <w:tcPr>
            <w:tcW w:w="1065" w:type="pct"/>
            <w:noWrap w:val="0"/>
            <w:tcMar>
              <w:left w:w="75" w:type="dxa"/>
            </w:tcMar>
            <w:vAlign w:val="center"/>
          </w:tcPr>
          <w:p w14:paraId="0BAEBAB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投标人名称</w:t>
            </w:r>
          </w:p>
        </w:tc>
        <w:tc>
          <w:tcPr>
            <w:tcW w:w="3047" w:type="pct"/>
            <w:noWrap w:val="0"/>
            <w:tcMar>
              <w:left w:w="75" w:type="dxa"/>
            </w:tcMar>
            <w:vAlign w:val="center"/>
          </w:tcPr>
          <w:p w14:paraId="47159F1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与营业执照、资质证书、安全生产许可证一致。</w:t>
            </w:r>
          </w:p>
        </w:tc>
      </w:tr>
      <w:tr w14:paraId="65E5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4D26FDC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1EFDD1C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75FC136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签字盖章</w:t>
            </w:r>
          </w:p>
        </w:tc>
        <w:tc>
          <w:tcPr>
            <w:tcW w:w="3047" w:type="pct"/>
            <w:noWrap w:val="0"/>
            <w:tcMar>
              <w:left w:w="75" w:type="dxa"/>
            </w:tcMar>
            <w:vAlign w:val="center"/>
          </w:tcPr>
          <w:p w14:paraId="701A6FD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符合第二章“投标人须知”第3.7.3项规定。</w:t>
            </w:r>
          </w:p>
        </w:tc>
      </w:tr>
      <w:tr w14:paraId="1DA7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3BAA3E8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7E2BA83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65F484A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投标文件格式</w:t>
            </w:r>
          </w:p>
        </w:tc>
        <w:tc>
          <w:tcPr>
            <w:tcW w:w="3047" w:type="pct"/>
            <w:noWrap w:val="0"/>
            <w:tcMar>
              <w:left w:w="75" w:type="dxa"/>
            </w:tcMar>
            <w:vAlign w:val="center"/>
          </w:tcPr>
          <w:p w14:paraId="488D63E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（1）报价文件电子文件可以正常读取；</w:t>
            </w:r>
          </w:p>
          <w:p w14:paraId="4076720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（2）符合第八章“投标文件格式”的规定，关键字迹清晰可辨。</w:t>
            </w:r>
          </w:p>
        </w:tc>
      </w:tr>
      <w:tr w14:paraId="4B90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69935E2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1B1A163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20601EC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备选投标方案</w:t>
            </w:r>
          </w:p>
        </w:tc>
        <w:tc>
          <w:tcPr>
            <w:tcW w:w="3047" w:type="pct"/>
            <w:noWrap w:val="0"/>
            <w:tcMar>
              <w:left w:w="75" w:type="dxa"/>
            </w:tcMar>
            <w:vAlign w:val="center"/>
          </w:tcPr>
          <w:p w14:paraId="1BAD682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除招标文件明确允许备选投标方案外，投标人不得提交备选投标方案。</w:t>
            </w:r>
          </w:p>
        </w:tc>
      </w:tr>
      <w:tr w14:paraId="360C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7E0D523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655F456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3C89E4F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未出现异常情形</w:t>
            </w:r>
          </w:p>
        </w:tc>
        <w:tc>
          <w:tcPr>
            <w:tcW w:w="3047" w:type="pct"/>
            <w:noWrap w:val="0"/>
            <w:tcMar>
              <w:left w:w="75" w:type="dxa"/>
            </w:tcMar>
            <w:vAlign w:val="top"/>
          </w:tcPr>
          <w:p w14:paraId="0F564AF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不同投标人未出现使用相同的机器识别码进行投标或使用相同加密锁号的造价软件的情形</w:t>
            </w:r>
          </w:p>
          <w:p w14:paraId="28A0D31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tc>
      </w:tr>
      <w:tr w14:paraId="3DC8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restart"/>
            <w:noWrap w:val="0"/>
            <w:vAlign w:val="center"/>
          </w:tcPr>
          <w:p w14:paraId="0B2275F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2.1.3</w:t>
            </w:r>
          </w:p>
        </w:tc>
        <w:tc>
          <w:tcPr>
            <w:tcW w:w="544" w:type="pct"/>
            <w:vMerge w:val="restart"/>
            <w:noWrap w:val="0"/>
            <w:vAlign w:val="center"/>
          </w:tcPr>
          <w:p w14:paraId="2EF6CD4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响应性评审标准</w:t>
            </w:r>
          </w:p>
        </w:tc>
        <w:tc>
          <w:tcPr>
            <w:tcW w:w="1065" w:type="pct"/>
            <w:noWrap w:val="0"/>
            <w:tcMar>
              <w:left w:w="75" w:type="dxa"/>
            </w:tcMar>
            <w:vAlign w:val="center"/>
          </w:tcPr>
          <w:p w14:paraId="1B76609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投标内容</w:t>
            </w:r>
          </w:p>
        </w:tc>
        <w:tc>
          <w:tcPr>
            <w:tcW w:w="3047" w:type="pct"/>
            <w:noWrap w:val="0"/>
            <w:tcMar>
              <w:left w:w="75" w:type="dxa"/>
            </w:tcMar>
            <w:vAlign w:val="center"/>
          </w:tcPr>
          <w:p w14:paraId="67A7252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符合第二章“投标人须知”第1.3.1项规定。</w:t>
            </w:r>
          </w:p>
        </w:tc>
      </w:tr>
      <w:tr w14:paraId="5160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766092C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0A4B8FF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7622E4F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w:t>
            </w:r>
          </w:p>
        </w:tc>
        <w:tc>
          <w:tcPr>
            <w:tcW w:w="3047" w:type="pct"/>
            <w:noWrap w:val="0"/>
            <w:tcMar>
              <w:left w:w="75" w:type="dxa"/>
            </w:tcMar>
            <w:vAlign w:val="center"/>
          </w:tcPr>
          <w:p w14:paraId="45E0541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（1）投标报价未超过招标文件设定的最高投标限价（如有）。</w:t>
            </w:r>
          </w:p>
          <w:p w14:paraId="316674A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（2）投标报价的大写数值能确定具体数值，未出现数量级错误、报价金额单位错误。</w:t>
            </w:r>
          </w:p>
          <w:p w14:paraId="297A072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（3）同一投标人未</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两个以上不同的投标报价，但招标文件要求提交备选投标的除外。</w:t>
            </w:r>
          </w:p>
          <w:p w14:paraId="6A8D7CF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（4）已标价工程量清单的分部分项工程的项目编码、项目名称、项目特征描述、计量单位及工程量与招标人提供的工程量清单未出现实质性内容不一致。</w:t>
            </w:r>
          </w:p>
          <w:p w14:paraId="447FB34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（5）按照清单计价规范要求不应为负值的，已标价工程量清单中的数据未出现该情形。</w:t>
            </w:r>
          </w:p>
        </w:tc>
      </w:tr>
      <w:tr w14:paraId="212A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2EEF7AB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0BB58F1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2A563A6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投标报价不可竞争内容</w:t>
            </w:r>
          </w:p>
        </w:tc>
        <w:tc>
          <w:tcPr>
            <w:tcW w:w="3047" w:type="pct"/>
            <w:noWrap w:val="0"/>
            <w:tcMar>
              <w:left w:w="75" w:type="dxa"/>
            </w:tcMar>
            <w:vAlign w:val="center"/>
          </w:tcPr>
          <w:p w14:paraId="17FDA43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（1）安全文明施工费报价符合招标文件要求。</w:t>
            </w:r>
          </w:p>
          <w:p w14:paraId="4223054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（2）人工费工日单价不得低于工程所在地政府发布的最低工资标准折算的工日单价。</w:t>
            </w:r>
          </w:p>
          <w:p w14:paraId="5B7BBFC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（3）已标价工程量清单中未更改招标文件确定的暂列金额、暂估价。</w:t>
            </w:r>
          </w:p>
          <w:p w14:paraId="58DCB6E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（4）增值税报价符合招标文件规定。</w:t>
            </w:r>
          </w:p>
        </w:tc>
      </w:tr>
      <w:tr w14:paraId="3C54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427F223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11F99F7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5A1F83B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总人工费</w:t>
            </w:r>
          </w:p>
        </w:tc>
        <w:tc>
          <w:tcPr>
            <w:tcW w:w="3047" w:type="pct"/>
            <w:noWrap w:val="0"/>
            <w:tcMar>
              <w:left w:w="75" w:type="dxa"/>
            </w:tcMar>
            <w:vAlign w:val="center"/>
          </w:tcPr>
          <w:p w14:paraId="048E943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投标报价中的总人工费与技术文件中的劳动力安排计划相比，不得明显过低。</w:t>
            </w:r>
            <w:r>
              <w:rPr>
                <w:rFonts w:hint="eastAsia"/>
                <w:color w:val="000000" w:themeColor="text1"/>
                <w:highlight w:val="none"/>
                <w:lang w:eastAsia="zh-CN"/>
                <w14:textFill>
                  <w14:solidFill>
                    <w14:schemeClr w14:val="tx1"/>
                  </w14:solidFill>
                </w14:textFill>
              </w:rPr>
              <w:t>（建筑工程不低于20%，装配式建筑不低于15%，市政工程不低于 12%）</w:t>
            </w:r>
          </w:p>
        </w:tc>
      </w:tr>
      <w:tr w14:paraId="78B0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6666549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2DBA4B4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085DA10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投标报价偏差</w:t>
            </w:r>
          </w:p>
        </w:tc>
        <w:tc>
          <w:tcPr>
            <w:tcW w:w="3047" w:type="pct"/>
            <w:noWrap w:val="0"/>
            <w:tcMar>
              <w:left w:w="75" w:type="dxa"/>
            </w:tcMar>
            <w:vAlign w:val="center"/>
          </w:tcPr>
          <w:p w14:paraId="0CB36E3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（1）因投标人原因造成投标报价累计缺漏金额（多报金额不得抵销缺漏金额，缺漏金额计算时按照最高投标限价相应数据计算）占投标报价未超过3%，也未影响各投标人排序。</w:t>
            </w:r>
          </w:p>
          <w:p w14:paraId="2689F9D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凡招标文件要求或者工程量清单计价规范规定应计算的费用而投标人未报，且投标文件未阐明充分理由，并不能提供足够证据者，均视为缺漏金额。</w:t>
            </w:r>
          </w:p>
          <w:p w14:paraId="6EAB9D4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（2）对投标报价存在计算错误的，按照本章第3.4.4项规定的标准对投标报价进行修正，修正后的投标报价与修正前投标报价的偏差未超过3%，也未影响各投标人排序。</w:t>
            </w:r>
          </w:p>
          <w:p w14:paraId="38E8EB6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（3）投标报价中减少实体材料消耗量指标的，符合计量计价规范或实际情况。</w:t>
            </w:r>
          </w:p>
        </w:tc>
      </w:tr>
      <w:tr w14:paraId="56B2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16BF1F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4449FEF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615EA26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报价规范性评审</w:t>
            </w:r>
          </w:p>
        </w:tc>
        <w:tc>
          <w:tcPr>
            <w:tcW w:w="3047" w:type="pct"/>
            <w:noWrap w:val="0"/>
            <w:tcMar>
              <w:left w:w="75" w:type="dxa"/>
            </w:tcMar>
            <w:vAlign w:val="center"/>
          </w:tcPr>
          <w:p w14:paraId="453898D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已标价的工程量清单报价书“分部分项工程量清单综合单价分析表”中的综合单价、主要材料价格、人工费（含工日数量及工日单价）、机械费，“措施项目清单与计价表”中的措施费及“不可竞争项目清单与计价表”的不可竞争费等进行规范性评审，对明显相互冲突或不合理的，或未按照工程量清单计价规范要求计价的，可否决其投标（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“分部分项工程量清单综合单价分析表”中的综合单价低于主材价格等情况）。</w:t>
            </w:r>
          </w:p>
        </w:tc>
      </w:tr>
      <w:tr w14:paraId="6F00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0763DC9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058CAAD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3CC9840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不平衡报价评审</w:t>
            </w:r>
          </w:p>
        </w:tc>
        <w:tc>
          <w:tcPr>
            <w:tcW w:w="3047" w:type="pct"/>
            <w:noWrap w:val="0"/>
            <w:tcMar>
              <w:left w:w="75" w:type="dxa"/>
            </w:tcMar>
            <w:vAlign w:val="center"/>
          </w:tcPr>
          <w:p w14:paraId="2A553160">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对已标价工程量清单中</w:t>
            </w:r>
            <w:r>
              <w:rPr>
                <w:rFonts w:hint="eastAsia" w:ascii="Times New Roman" w:hAnsi="Times New Roman"/>
                <w:smallCaps w:val="0"/>
                <w:color w:val="000000" w:themeColor="text1"/>
                <w:highlight w:val="none"/>
                <w14:textFill>
                  <w14:solidFill>
                    <w14:schemeClr w14:val="tx1"/>
                  </w14:solidFill>
                </w14:textFill>
              </w:rPr>
              <w:t>“单位工程报价金额”</w:t>
            </w:r>
            <w:r>
              <w:rPr>
                <w:rFonts w:hint="eastAsia" w:ascii="Times New Roman" w:hAnsi="Times New Roman"/>
                <w:smallCaps w:val="0"/>
                <w:color w:val="000000" w:themeColor="text1"/>
                <w:highlight w:val="none"/>
                <w14:textFill>
                  <w14:solidFill>
                    <w14:schemeClr w14:val="tx1"/>
                  </w14:solidFill>
                </w14:textFill>
              </w:rPr>
              <w:t>高于最高投标限价对应金额的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5%～10%</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由招标人根据项目投资情况在范围中选择可允许的偏差比例，可选范围5%～10%，整数百分比</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或低于最高投标限价对应“单位工程最高投标限价金额”的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20%～55%</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由招标人根据项目投资情况在范围中选择可允许的偏差比例，可选范围20%～55%，整数百分比</w:t>
            </w:r>
            <w:r>
              <w:rPr>
                <w:rFonts w:hint="eastAsia" w:ascii="Times New Roman" w:hAnsi="Times New Roman"/>
                <w:smallCaps w:val="0"/>
                <w:color w:val="000000" w:themeColor="text1"/>
                <w:highlight w:val="none"/>
                <w:lang w:eastAsia="zh-CN"/>
                <w14:textFill>
                  <w14:solidFill>
                    <w14:schemeClr w14:val="tx1"/>
                  </w14:solidFill>
                </w14:textFill>
              </w:rPr>
              <w:t>）</w:t>
            </w:r>
            <w:r>
              <w:rPr>
                <w:rStyle w:val="28"/>
                <w:rFonts w:hint="eastAsia" w:ascii="Times New Roman" w:hAnsi="Times New Roman" w:cs="宋体"/>
                <w:smallCaps w:val="0"/>
                <w:color w:val="000000" w:themeColor="text1"/>
                <w:szCs w:val="21"/>
                <w:highlight w:val="none"/>
                <w:u w:val="none"/>
                <w14:textFill>
                  <w14:solidFill>
                    <w14:schemeClr w14:val="tx1"/>
                  </w14:solidFill>
                </w14:textFill>
              </w:rPr>
              <w:footnoteReference w:id="55"/>
            </w:r>
          </w:p>
          <w:p w14:paraId="6D56BA18">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项目各单位工程价格信息如下表：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254"/>
              <w:gridCol w:w="1255"/>
              <w:gridCol w:w="1255"/>
            </w:tblGrid>
            <w:tr w14:paraId="1F0F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31F70C1A">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单位工程名称</w:t>
                  </w:r>
                </w:p>
              </w:tc>
              <w:tc>
                <w:tcPr>
                  <w:tcW w:w="1254" w:type="dxa"/>
                  <w:vAlign w:val="center"/>
                </w:tcPr>
                <w:p w14:paraId="107DB76A">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最高投标限价明细</w:t>
                  </w:r>
                </w:p>
                <w:p w14:paraId="523EE88C">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（元）</w:t>
                  </w:r>
                </w:p>
              </w:tc>
              <w:tc>
                <w:tcPr>
                  <w:tcW w:w="1255" w:type="dxa"/>
                  <w:vAlign w:val="center"/>
                </w:tcPr>
                <w:p w14:paraId="203AB3F4">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上指标</w:t>
                  </w:r>
                </w:p>
                <w:p w14:paraId="2A94365D">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（元）</w:t>
                  </w:r>
                </w:p>
              </w:tc>
              <w:tc>
                <w:tcPr>
                  <w:tcW w:w="1255" w:type="dxa"/>
                  <w:vAlign w:val="center"/>
                </w:tcPr>
                <w:p w14:paraId="0E282063">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下指标</w:t>
                  </w:r>
                </w:p>
                <w:p w14:paraId="27B338D2">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（元）</w:t>
                  </w:r>
                </w:p>
              </w:tc>
            </w:tr>
            <w:tr w14:paraId="4762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6162AD48">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w:t>
                  </w:r>
                </w:p>
              </w:tc>
              <w:tc>
                <w:tcPr>
                  <w:tcW w:w="1254" w:type="dxa"/>
                  <w:vAlign w:val="center"/>
                </w:tcPr>
                <w:p w14:paraId="5312AAB0">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08AA3734">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7AADE022">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r>
            <w:tr w14:paraId="13CC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004EC5A9">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w:t>
                  </w:r>
                </w:p>
              </w:tc>
              <w:tc>
                <w:tcPr>
                  <w:tcW w:w="1254" w:type="dxa"/>
                  <w:vAlign w:val="center"/>
                </w:tcPr>
                <w:p w14:paraId="23EFA0EF">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4A673873">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57B76054">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r>
            <w:tr w14:paraId="6F2C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5B25E8E5">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vertAlign w:val="baseline"/>
                      <w:lang w:val="en-US" w:eastAsia="zh-CN"/>
                      <w14:textFill>
                        <w14:solidFill>
                          <w14:schemeClr w14:val="tx1"/>
                        </w14:solidFill>
                      </w14:textFill>
                    </w:rPr>
                    <w:t>……</w:t>
                  </w:r>
                </w:p>
              </w:tc>
              <w:tc>
                <w:tcPr>
                  <w:tcW w:w="1254" w:type="dxa"/>
                  <w:vAlign w:val="center"/>
                </w:tcPr>
                <w:p w14:paraId="16A1C247">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76821B8C">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c>
                <w:tcPr>
                  <w:tcW w:w="1255" w:type="dxa"/>
                  <w:vAlign w:val="center"/>
                </w:tcPr>
                <w:p w14:paraId="569ABD67">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jc w:val="center"/>
                    <w:textAlignment w:val="auto"/>
                    <w:rPr>
                      <w:rFonts w:hint="default" w:ascii="Times New Roman" w:hAnsi="Times New Roman"/>
                      <w:smallCaps w:val="0"/>
                      <w:snapToGrid w:val="0"/>
                      <w:color w:val="000000" w:themeColor="text1"/>
                      <w:highlight w:val="none"/>
                      <w:vertAlign w:val="baseline"/>
                      <w:lang w:val="en-US" w:eastAsia="zh-CN"/>
                      <w14:textFill>
                        <w14:solidFill>
                          <w14:schemeClr w14:val="tx1"/>
                        </w14:solidFill>
                      </w14:textFill>
                    </w:rPr>
                  </w:pPr>
                </w:p>
              </w:tc>
            </w:tr>
          </w:tbl>
          <w:p w14:paraId="7B6871F2">
            <w:pPr>
              <w:pStyle w:val="41"/>
              <w:keepNext w:val="0"/>
              <w:keepLines w:val="0"/>
              <w:pageBreakBefore w:val="0"/>
              <w:widowControl w:val="0"/>
              <w:suppressLineNumbers w:val="0"/>
              <w:kinsoku/>
              <w:wordWrap w:val="0"/>
              <w:overflowPunct/>
              <w:topLinePunct w:val="0"/>
              <w:autoSpaceDE/>
              <w:autoSpaceDN/>
              <w:bidi w:val="0"/>
              <w:snapToGrid/>
              <w:spacing w:before="0" w:beforeAutospacing="0" w:after="0" w:afterAutospacing="0" w:line="360" w:lineRule="auto"/>
              <w:ind w:left="0" w:right="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p>
          <w:p w14:paraId="7477198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对报价金额</w:t>
            </w:r>
            <w:r>
              <w:rPr>
                <w:rFonts w:hint="eastAsia" w:ascii="Times New Roman" w:hAnsi="Times New Roman" w:cs="Times New Roman"/>
                <w:bCs w:val="0"/>
                <w:smallCaps w:val="0"/>
                <w:snapToGrid/>
                <w:color w:val="000000" w:themeColor="text1"/>
                <w:kern w:val="2"/>
                <w:sz w:val="21"/>
                <w:szCs w:val="21"/>
                <w:highlight w:val="none"/>
                <w:lang w:val="en-US" w:eastAsia="zh-CN" w:bidi="ar-SA"/>
                <w14:textFill>
                  <w14:solidFill>
                    <w14:schemeClr w14:val="tx1"/>
                  </w14:solidFill>
                </w14:textFill>
              </w:rPr>
              <w:t>超出</w:t>
            </w: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上述指标的投标人，评标委员会需要对其报价合理性与诚信履约能力进行研判。评标委员会应当要求相关投标人在评审现场合理的时间内（30分钟）提供书面说明及必要的证明材料，对投标价格作出解释。书面说明、证明材料主要是项目具体成本测算等与报价合理性相关的说明、材料。</w:t>
            </w:r>
          </w:p>
          <w:p w14:paraId="3291E907">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评审委员会应当结合同类项目成交价格、该行业当地薪资水平等情况，依据专业经验对报价合理性进行判断。如果投标人不提供书面说明、证明材料，或者提供的书面说明、证明材料不能证明其报价合理性的，应当将认定为恶意不平衡报价，否决其投标。</w:t>
            </w:r>
          </w:p>
          <w:p w14:paraId="0A50A5A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eastAsia="宋体" w:cs="Times New Roman"/>
                <w:bCs w:val="0"/>
                <w:smallCaps w:val="0"/>
                <w:snapToGrid/>
                <w:color w:val="000000" w:themeColor="text1"/>
                <w:kern w:val="2"/>
                <w:sz w:val="21"/>
                <w:szCs w:val="21"/>
                <w:highlight w:val="none"/>
                <w:lang w:val="en-US" w:eastAsia="zh-CN" w:bidi="ar-SA"/>
                <w14:textFill>
                  <w14:solidFill>
                    <w14:schemeClr w14:val="tx1"/>
                  </w14:solidFill>
                </w14:textFill>
              </w:rPr>
              <w:t>审查相关情况应当在评审报告中记录。</w:t>
            </w:r>
          </w:p>
        </w:tc>
      </w:tr>
      <w:tr w14:paraId="375B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1955C44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1B46576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54F8538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需评审人工和主要材料一览表评审（如有）</w:t>
            </w:r>
          </w:p>
        </w:tc>
        <w:tc>
          <w:tcPr>
            <w:tcW w:w="3047" w:type="pct"/>
            <w:noWrap w:val="0"/>
            <w:tcMar>
              <w:left w:w="75" w:type="dxa"/>
            </w:tcMar>
            <w:vAlign w:val="center"/>
          </w:tcPr>
          <w:p w14:paraId="2EF4B4B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投标人应响应招标人《可调整价差人工和主要材料一览表》的内容；对于招标人发放的《可调整价差人工和主要材料一览表》中第1列（序号）、第2列（名称、规格 、型号）、第3列（计量单位）、第4列（数量）内容不得修改，不得增删或改变顺序。投标人在投标报价时，其人工费工日单价不得低于工程所在地政府发布的最低工资标准折算的工日单价。</w:t>
            </w:r>
          </w:p>
        </w:tc>
      </w:tr>
      <w:tr w14:paraId="7164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3" w:type="pct"/>
            <w:vMerge w:val="continue"/>
            <w:noWrap w:val="0"/>
            <w:vAlign w:val="center"/>
          </w:tcPr>
          <w:p w14:paraId="371BC21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4" w:type="pct"/>
            <w:vMerge w:val="continue"/>
            <w:noWrap w:val="0"/>
            <w:vAlign w:val="center"/>
          </w:tcPr>
          <w:p w14:paraId="544E2AD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065" w:type="pct"/>
            <w:noWrap w:val="0"/>
            <w:tcMar>
              <w:left w:w="75" w:type="dxa"/>
            </w:tcMar>
            <w:vAlign w:val="center"/>
          </w:tcPr>
          <w:p w14:paraId="09819B8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其他情形</w:t>
            </w:r>
          </w:p>
        </w:tc>
        <w:tc>
          <w:tcPr>
            <w:tcW w:w="3047" w:type="pct"/>
            <w:noWrap w:val="0"/>
            <w:tcMar>
              <w:left w:w="75" w:type="dxa"/>
            </w:tcMar>
            <w:vAlign w:val="center"/>
          </w:tcPr>
          <w:p w14:paraId="18BA967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（1）清标结果未显示投标人的投标文件存在以下情形之一</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3424C2C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①不同投标人的投标文件存在异常一致的情形；</w:t>
            </w:r>
          </w:p>
          <w:p w14:paraId="6A7C249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②投标报价呈规律性差异等招投标相关法律法规明确规定为串通投标的情形；</w:t>
            </w:r>
          </w:p>
          <w:p w14:paraId="69CC628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③弄虚作假的情形；</w:t>
            </w:r>
          </w:p>
          <w:p w14:paraId="0C8698E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④有其他违法行为的情形。</w:t>
            </w:r>
          </w:p>
          <w:p w14:paraId="05C127E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（2）项目评审中，多家投标人投标报价规律性集中出现在高价区域，明显与近期类似项目报价情况不一致，以致影响正常评审的，评标委员会应确定项目投标报价明显缺乏竞争性，宣布流标，同时将异常报价报</w:t>
            </w:r>
            <w:r>
              <w:rPr>
                <w:rFonts w:hint="eastAsia" w:ascii="Times New Roman" w:hAnsi="Times New Roman"/>
                <w:smallCaps w:val="0"/>
                <w:color w:val="000000" w:themeColor="text1"/>
                <w:highlight w:val="none"/>
                <w:lang w:val="en-US" w:eastAsia="zh-CN"/>
                <w14:textFill>
                  <w14:solidFill>
                    <w14:schemeClr w14:val="tx1"/>
                  </w14:solidFill>
                </w14:textFill>
              </w:rPr>
              <w:t>招标投标行政监督部门</w:t>
            </w:r>
            <w:r>
              <w:rPr>
                <w:rFonts w:hint="eastAsia" w:ascii="Times New Roman" w:hAnsi="Times New Roman"/>
                <w:smallCaps w:val="0"/>
                <w:color w:val="000000" w:themeColor="text1"/>
                <w:highlight w:val="none"/>
                <w14:textFill>
                  <w14:solidFill>
                    <w14:schemeClr w14:val="tx1"/>
                  </w14:solidFill>
                </w14:textFill>
              </w:rPr>
              <w:t>。</w:t>
            </w:r>
          </w:p>
          <w:p w14:paraId="6AEE55D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（3）投标文件中不得存在招标人不能接受的其他实质性条件。</w:t>
            </w:r>
          </w:p>
          <w:p w14:paraId="52ABCEC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（4）法律、法规规定的其他情形。</w:t>
            </w:r>
          </w:p>
        </w:tc>
      </w:tr>
    </w:tbl>
    <w:p w14:paraId="0790AF93">
      <w:pPr>
        <w:pageBreakBefore w:val="0"/>
        <w:kinsoku/>
        <w:wordWrap w:val="0"/>
        <w:overflowPunct/>
        <w:bidi w:val="0"/>
        <w:spacing w:before="0" w:beforeLines="0" w:after="0" w:afterLines="0"/>
        <w:jc w:val="left"/>
        <w:outlineLvl w:val="9"/>
        <w:rPr>
          <w:rFonts w:hint="eastAsia" w:ascii="Times New Roman" w:hAnsi="Times New Roman"/>
          <w:smallCaps w:val="0"/>
          <w:color w:val="000000" w:themeColor="text1"/>
          <w:highlight w:val="none"/>
          <w14:textFill>
            <w14:solidFill>
              <w14:schemeClr w14:val="tx1"/>
            </w14:solidFill>
          </w14:textFill>
        </w:rPr>
      </w:pPr>
      <w:bookmarkStart w:id="631" w:name="_Toc130919115"/>
      <w:bookmarkStart w:id="632" w:name="_Toc124283270"/>
    </w:p>
    <w:p w14:paraId="7BB0F393">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bookmarkStart w:id="633" w:name="_Toc15559"/>
      <w:bookmarkStart w:id="634" w:name="_Toc26317"/>
      <w:bookmarkStart w:id="635" w:name="_Toc21487"/>
      <w:bookmarkStart w:id="636" w:name="_Toc25981"/>
      <w:bookmarkStart w:id="637" w:name="_Toc15750"/>
    </w:p>
    <w:p w14:paraId="0A113195">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p>
    <w:p w14:paraId="6159A850">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r>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br w:type="page"/>
      </w:r>
    </w:p>
    <w:p w14:paraId="36CABB19">
      <w:pPr>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r>
        <w:rPr>
          <w:rStyle w:val="39"/>
          <w:rFonts w:hint="eastAsia" w:ascii="Times New Roman" w:hAnsi="Times New Roman" w:eastAsia="黑体"/>
          <w:smallCaps w:val="0"/>
          <w:color w:val="000000" w:themeColor="text1"/>
          <w:highlight w:val="none"/>
          <w:lang w:val="en-US" w:eastAsia="zh-CN"/>
          <w14:textFill>
            <w14:solidFill>
              <w14:schemeClr w14:val="tx1"/>
            </w14:solidFill>
          </w14:textFill>
        </w:rPr>
        <w:t>异常低价</w:t>
      </w:r>
      <w:r>
        <w:rPr>
          <w:rStyle w:val="39"/>
          <w:rFonts w:hint="eastAsia" w:ascii="Times New Roman" w:hAnsi="Times New Roman"/>
          <w:smallCaps w:val="0"/>
          <w:color w:val="000000" w:themeColor="text1"/>
          <w:highlight w:val="none"/>
          <w14:textFill>
            <w14:solidFill>
              <w14:schemeClr w14:val="tx1"/>
            </w14:solidFill>
          </w14:textFill>
        </w:rPr>
        <w:t>评审标准</w:t>
      </w:r>
    </w:p>
    <w:p w14:paraId="539AA2A4">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tbl>
      <w:tblPr>
        <w:tblStyle w:val="23"/>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7576"/>
      </w:tblGrid>
      <w:tr w14:paraId="7F22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blHeader/>
          <w:jc w:val="center"/>
        </w:trPr>
        <w:tc>
          <w:tcPr>
            <w:tcW w:w="1274" w:type="dxa"/>
            <w:shd w:val="clear" w:color="auto" w:fill="D7D7D7"/>
            <w:noWrap w:val="0"/>
            <w:vAlign w:val="center"/>
          </w:tcPr>
          <w:p w14:paraId="03484D0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b/>
                <w:bCs/>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b/>
                <w:bCs/>
                <w:smallCaps w:val="0"/>
                <w:snapToGrid w:val="0"/>
                <w:color w:val="000000" w:themeColor="text1"/>
                <w:sz w:val="21"/>
                <w:szCs w:val="21"/>
                <w:highlight w:val="none"/>
                <w:vertAlign w:val="baseline"/>
                <w:lang w:val="en-US" w:eastAsia="zh-CN"/>
                <w14:textFill>
                  <w14:solidFill>
                    <w14:schemeClr w14:val="tx1"/>
                  </w14:solidFill>
                </w14:textFill>
              </w:rPr>
              <w:t>评审因素</w:t>
            </w:r>
          </w:p>
        </w:tc>
        <w:tc>
          <w:tcPr>
            <w:tcW w:w="7576" w:type="dxa"/>
            <w:shd w:val="clear" w:color="auto" w:fill="D7D7D7"/>
            <w:noWrap w:val="0"/>
            <w:vAlign w:val="center"/>
          </w:tcPr>
          <w:p w14:paraId="31ADF10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b/>
                <w:bCs/>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b/>
                <w:bCs/>
                <w:smallCaps w:val="0"/>
                <w:snapToGrid w:val="0"/>
                <w:color w:val="000000" w:themeColor="text1"/>
                <w:sz w:val="21"/>
                <w:szCs w:val="21"/>
                <w:highlight w:val="none"/>
                <w:vertAlign w:val="baseline"/>
                <w:lang w:val="en-US" w:eastAsia="zh-CN"/>
                <w14:textFill>
                  <w14:solidFill>
                    <w14:schemeClr w14:val="tx1"/>
                  </w14:solidFill>
                </w14:textFill>
              </w:rPr>
              <w:t>评审标准</w:t>
            </w:r>
          </w:p>
        </w:tc>
      </w:tr>
      <w:tr w14:paraId="002C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 w:type="dxa"/>
            <w:noWrap w:val="0"/>
            <w:vAlign w:val="center"/>
          </w:tcPr>
          <w:p w14:paraId="6274EE66">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smallCaps w:val="0"/>
                <w:snapToGrid w:val="0"/>
                <w:color w:val="000000" w:themeColor="text1"/>
                <w:sz w:val="21"/>
                <w:szCs w:val="18"/>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18"/>
                <w:highlight w:val="none"/>
                <w:vertAlign w:val="baseline"/>
                <w:lang w:val="en-US" w:eastAsia="zh-CN"/>
                <w14:textFill>
                  <w14:solidFill>
                    <w14:schemeClr w14:val="tx1"/>
                  </w14:solidFill>
                </w14:textFill>
              </w:rPr>
              <w:t>异常低价</w:t>
            </w:r>
          </w:p>
          <w:p w14:paraId="5D3930CA">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smallCaps w:val="0"/>
                <w:snapToGrid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18"/>
                <w:highlight w:val="none"/>
                <w:vertAlign w:val="baseline"/>
                <w:lang w:val="en-US" w:eastAsia="zh-CN"/>
                <w14:textFill>
                  <w14:solidFill>
                    <w14:schemeClr w14:val="tx1"/>
                  </w14:solidFill>
                </w14:textFill>
              </w:rPr>
              <w:t>评审</w:t>
            </w:r>
          </w:p>
        </w:tc>
        <w:tc>
          <w:tcPr>
            <w:tcW w:w="7576" w:type="dxa"/>
            <w:noWrap w:val="0"/>
            <w:vAlign w:val="top"/>
          </w:tcPr>
          <w:p w14:paraId="5B9F8353">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smallCap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smallCaps w:val="0"/>
                <w:color w:val="000000" w:themeColor="text1"/>
                <w:sz w:val="21"/>
                <w:szCs w:val="21"/>
                <w:highlight w:val="none"/>
                <w:u w:val="none"/>
                <w:lang w:val="en-US" w:eastAsia="zh-CN"/>
                <w14:textFill>
                  <w14:solidFill>
                    <w14:schemeClr w14:val="tx1"/>
                  </w14:solidFill>
                </w14:textFill>
              </w:rPr>
              <w:t>通过“商务及技术文件初步评审”以及“报价文件初步评审”的单位进入此评审环节。</w:t>
            </w:r>
          </w:p>
          <w:p w14:paraId="3D301B42">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w:t>
            </w:r>
            <w:r>
              <w:rPr>
                <w:rFonts w:hint="eastAsia" w:ascii="宋体" w:hAnsi="宋体" w:eastAsia="宋体" w:cs="宋体"/>
                <w:smallCaps w:val="0"/>
                <w:color w:val="000000" w:themeColor="text1"/>
                <w:highlight w:val="none"/>
                <w:lang w:val="en-US" w:eastAsia="zh-CN"/>
                <w14:textFill>
                  <w14:solidFill>
                    <w14:schemeClr w14:val="tx1"/>
                  </w14:solidFill>
                </w14:textFill>
              </w:rPr>
              <w:t>1</w:t>
            </w:r>
            <w:r>
              <w:rPr>
                <w:rFonts w:hint="eastAsia" w:ascii="宋体" w:hAnsi="宋体" w:eastAsia="宋体" w:cs="宋体"/>
                <w:smallCaps w:val="0"/>
                <w:color w:val="000000" w:themeColor="text1"/>
                <w:highlight w:val="none"/>
                <w14:textFill>
                  <w14:solidFill>
                    <w14:schemeClr w14:val="tx1"/>
                  </w14:solidFill>
                </w14:textFill>
              </w:rPr>
              <w:t>）</w:t>
            </w:r>
            <w:r>
              <w:rPr>
                <w:rFonts w:hint="eastAsia" w:ascii="宋体" w:hAnsi="宋体" w:eastAsia="宋体" w:cs="宋体"/>
                <w:smallCaps w:val="0"/>
                <w:color w:val="000000" w:themeColor="text1"/>
                <w:highlight w:val="none"/>
                <w14:textFill>
                  <w14:solidFill>
                    <w14:schemeClr w14:val="tx1"/>
                  </w14:solidFill>
                </w14:textFill>
              </w:rPr>
              <w:t>异常低价评审具体要求如下</w:t>
            </w:r>
            <w:r>
              <w:rPr>
                <w:rFonts w:hint="eastAsia" w:ascii="宋体" w:hAnsi="宋体" w:eastAsia="宋体" w:cs="宋体"/>
                <w:smallCaps w:val="0"/>
                <w:color w:val="000000" w:themeColor="text1"/>
                <w:highlight w:val="none"/>
                <w:u w:val="none"/>
                <w:lang w:eastAsia="zh-CN"/>
                <w14:textFill>
                  <w14:solidFill>
                    <w14:schemeClr w14:val="tx1"/>
                  </w14:solidFill>
                </w14:textFill>
              </w:rPr>
              <w:t>：</w:t>
            </w:r>
          </w:p>
          <w:p w14:paraId="4178F97D">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投标报价同时满足以下两项判定指标的视为异常低价，评标委员会将进行异常低价评审</w:t>
            </w:r>
            <w:r>
              <w:rPr>
                <w:rFonts w:hint="eastAsia" w:ascii="宋体" w:hAnsi="宋体" w:eastAsia="宋体" w:cs="宋体"/>
                <w:smallCaps w:val="0"/>
                <w:color w:val="000000" w:themeColor="text1"/>
                <w:highlight w:val="none"/>
                <w:lang w:eastAsia="zh-CN"/>
                <w14:textFill>
                  <w14:solidFill>
                    <w14:schemeClr w14:val="tx1"/>
                  </w14:solidFill>
                </w14:textFill>
              </w:rPr>
              <w:t>。</w:t>
            </w:r>
          </w:p>
          <w:p w14:paraId="4C0FC973">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条件一：投标报价低于最高投标限价的异常低价规定指标（见评标办法前附表）。</w:t>
            </w:r>
          </w:p>
          <w:p w14:paraId="3636F674">
            <w:pPr>
              <w:pStyle w:val="4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snapToGrid w:val="0"/>
                <w:color w:val="000000" w:themeColor="text1"/>
                <w:highlight w:val="none"/>
                <w14:textFill>
                  <w14:solidFill>
                    <w14:schemeClr w14:val="tx1"/>
                  </w14:solidFill>
                </w14:textFill>
              </w:rPr>
            </w:pPr>
            <w:r>
              <w:rPr>
                <w:rFonts w:hint="eastAsia" w:ascii="Times New Roman" w:hAnsi="Times New Roman"/>
                <w:smallCaps w:val="0"/>
                <w:snapToGrid w:val="0"/>
                <w:color w:val="000000" w:themeColor="text1"/>
                <w:highlight w:val="none"/>
                <w:lang w:val="en-US" w:eastAsia="zh-CN"/>
                <w14:textFill>
                  <w14:solidFill>
                    <w14:schemeClr w14:val="tx1"/>
                  </w14:solidFill>
                </w14:textFill>
              </w:rPr>
              <w:t>百分比</w:t>
            </w:r>
            <w:r>
              <w:rPr>
                <w:rFonts w:hint="eastAsia" w:ascii="Times New Roman" w:hAnsi="Times New Roman"/>
                <w:smallCaps w:val="0"/>
                <w:snapToGrid w:val="0"/>
                <w:color w:val="000000" w:themeColor="text1"/>
                <w:highlight w:val="none"/>
                <w14:textFill>
                  <w14:solidFill>
                    <w14:schemeClr w14:val="tx1"/>
                  </w14:solidFill>
                </w14:textFill>
              </w:rPr>
              <w:t>计算方式：按照以下公式代入计算，排除暂列金额</w:t>
            </w:r>
            <w:r>
              <w:rPr>
                <w:rFonts w:hint="eastAsia" w:ascii="Times New Roman" w:hAnsi="Times New Roman"/>
                <w:smallCaps w:val="0"/>
                <w:snapToGrid w:val="0"/>
                <w:color w:val="000000" w:themeColor="text1"/>
                <w:highlight w:val="none"/>
                <w:lang w:eastAsia="zh-CN"/>
                <w14:textFill>
                  <w14:solidFill>
                    <w14:schemeClr w14:val="tx1"/>
                  </w14:solidFill>
                </w14:textFill>
              </w:rPr>
              <w:t>（</w:t>
            </w:r>
            <w:r>
              <w:rPr>
                <w:rFonts w:hint="eastAsia" w:ascii="Times New Roman" w:hAnsi="Times New Roman"/>
                <w:smallCaps w:val="0"/>
                <w:snapToGrid w:val="0"/>
                <w:color w:val="000000" w:themeColor="text1"/>
                <w:highlight w:val="none"/>
                <w:lang w:val="en-US" w:eastAsia="zh-CN"/>
                <w14:textFill>
                  <w14:solidFill>
                    <w14:schemeClr w14:val="tx1"/>
                  </w14:solidFill>
                </w14:textFill>
              </w:rPr>
              <w:t>如有</w:t>
            </w:r>
            <w:r>
              <w:rPr>
                <w:rFonts w:hint="eastAsia" w:ascii="Times New Roman" w:hAnsi="Times New Roman"/>
                <w:smallCaps w:val="0"/>
                <w:snapToGrid w:val="0"/>
                <w:color w:val="000000" w:themeColor="text1"/>
                <w:highlight w:val="none"/>
                <w:lang w:eastAsia="zh-CN"/>
                <w14:textFill>
                  <w14:solidFill>
                    <w14:schemeClr w14:val="tx1"/>
                  </w14:solidFill>
                </w14:textFill>
              </w:rPr>
              <w:t>）</w:t>
            </w:r>
            <w:r>
              <w:rPr>
                <w:rFonts w:hint="eastAsia" w:ascii="Times New Roman" w:hAnsi="Times New Roman"/>
                <w:smallCaps w:val="0"/>
                <w:snapToGrid w:val="0"/>
                <w:color w:val="000000" w:themeColor="text1"/>
                <w:highlight w:val="none"/>
                <w:lang w:val="en-US" w:eastAsia="zh-CN"/>
                <w14:textFill>
                  <w14:solidFill>
                    <w14:schemeClr w14:val="tx1"/>
                  </w14:solidFill>
                </w14:textFill>
              </w:rPr>
              <w:t>与暂估价（如有）</w:t>
            </w:r>
            <w:r>
              <w:rPr>
                <w:rFonts w:hint="eastAsia" w:ascii="Times New Roman" w:hAnsi="Times New Roman"/>
                <w:smallCaps w:val="0"/>
                <w:snapToGrid w:val="0"/>
                <w:color w:val="000000" w:themeColor="text1"/>
                <w:highlight w:val="none"/>
                <w14:textFill>
                  <w14:solidFill>
                    <w14:schemeClr w14:val="tx1"/>
                  </w14:solidFill>
                </w14:textFill>
              </w:rPr>
              <w:t>的影响。</w:t>
            </w:r>
          </w:p>
          <w:p w14:paraId="5E68D00B">
            <w:pPr>
              <w:pStyle w:val="41"/>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360" w:lineRule="auto"/>
              <w:ind w:left="0" w:right="0"/>
              <w:jc w:val="center"/>
              <w:textAlignment w:val="auto"/>
              <w:rPr>
                <w:rFonts w:hint="default" w:ascii="Times New Roman" w:hAnsi="Times New Roman" w:eastAsia="宋体"/>
                <w:smallCaps w:val="0"/>
                <w:snapToGrid w:val="0"/>
                <w:color w:val="000000" w:themeColor="text1"/>
                <w:highlight w:val="none"/>
                <w:lang w:val="en-US" w:eastAsia="zh-CN"/>
                <w14:textFill>
                  <w14:solidFill>
                    <w14:schemeClr w14:val="tx1"/>
                  </w14:solidFill>
                </w14:textFill>
              </w:rPr>
            </w:pPr>
            <w:r>
              <w:rPr>
                <w:rFonts w:hint="eastAsia" w:ascii="Times New Roman" w:hAnsi="Times New Roman"/>
                <w:smallCaps w:val="0"/>
                <w:snapToGrid w:val="0"/>
                <w:color w:val="000000" w:themeColor="text1"/>
                <w:highlight w:val="none"/>
                <w:lang w:val="en-US" w:eastAsia="zh-CN"/>
                <w14:textFill>
                  <w14:solidFill>
                    <w14:schemeClr w14:val="tx1"/>
                  </w14:solidFill>
                </w14:textFill>
              </w:rPr>
              <w:t xml:space="preserve">百分比= </w:t>
            </w:r>
            <m:oMath>
              <m:f>
                <m:fPr>
                  <m:ctrlPr>
                    <w:rPr>
                      <w:rFonts w:hint="default" w:ascii="Cambria Math" w:hAnsi="Cambria Math"/>
                      <w:i/>
                      <w:smallCaps w:val="0"/>
                      <w:snapToGrid w:val="0"/>
                      <w:color w:val="000000" w:themeColor="text1"/>
                      <w:sz w:val="28"/>
                      <w:szCs w:val="28"/>
                      <w:highlight w:val="none"/>
                      <w:lang w:val="en-US"/>
                      <w14:textFill>
                        <w14:solidFill>
                          <w14:schemeClr w14:val="tx1"/>
                        </w14:solidFill>
                      </w14:textFill>
                    </w:rPr>
                  </m:ctrlPr>
                </m:fPr>
                <m:num>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 xml:space="preserve">（投标报价 – 暂列金额 – </m:t>
                  </m:r>
                  <m:r>
                    <m:rPr>
                      <m:sty m:val="p"/>
                    </m:rPr>
                    <w:rPr>
                      <w:rFonts w:hint="eastAsia" w:ascii="Times New Roman" w:hAnsi="Times New Roman"/>
                      <w:smallCaps w:val="0"/>
                      <w:snapToGrid w:val="0"/>
                      <w:color w:val="000000" w:themeColor="text1"/>
                      <w:sz w:val="28"/>
                      <w:szCs w:val="28"/>
                      <w:highlight w:val="none"/>
                      <w:lang w:val="en-US" w:eastAsia="zh-CN"/>
                      <w14:textFill>
                        <w14:solidFill>
                          <w14:schemeClr w14:val="tx1"/>
                        </w14:solidFill>
                      </w14:textFill>
                    </w:rPr>
                    <m:t>暂估价</m:t>
                  </m:r>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m:t>
                  </m:r>
                  <m:ctrlPr>
                    <w:rPr>
                      <w:rFonts w:hint="default" w:ascii="Cambria Math" w:hAnsi="Cambria Math"/>
                      <w:i/>
                      <w:smallCaps w:val="0"/>
                      <w:snapToGrid w:val="0"/>
                      <w:color w:val="000000" w:themeColor="text1"/>
                      <w:sz w:val="28"/>
                      <w:szCs w:val="28"/>
                      <w:highlight w:val="none"/>
                      <w:lang w:val="en-US"/>
                      <w14:textFill>
                        <w14:solidFill>
                          <w14:schemeClr w14:val="tx1"/>
                        </w14:solidFill>
                      </w14:textFill>
                    </w:rPr>
                  </m:ctrlPr>
                </m:num>
                <m:den>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m:t>
                  </m:r>
                  <m:r>
                    <m:rPr>
                      <m:sty m:val="p"/>
                    </m:rPr>
                    <w:rPr>
                      <w:rFonts w:hint="eastAsia" w:ascii="Times New Roman" w:hAnsi="Times New Roman"/>
                      <w:smallCaps w:val="0"/>
                      <w:snapToGrid w:val="0"/>
                      <w:color w:val="000000" w:themeColor="text1"/>
                      <w:sz w:val="28"/>
                      <w:szCs w:val="28"/>
                      <w:highlight w:val="none"/>
                      <w:lang w:val="en-US" w:eastAsia="zh-CN"/>
                      <w14:textFill>
                        <w14:solidFill>
                          <w14:schemeClr w14:val="tx1"/>
                        </w14:solidFill>
                      </w14:textFill>
                    </w:rPr>
                    <m:t>最高投标限</m:t>
                  </m:r>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 xml:space="preserve">价 – 暂列金额 – </m:t>
                  </m:r>
                  <m:r>
                    <m:rPr>
                      <m:sty m:val="p"/>
                    </m:rPr>
                    <w:rPr>
                      <w:rFonts w:hint="eastAsia" w:ascii="Times New Roman" w:hAnsi="Times New Roman"/>
                      <w:smallCaps w:val="0"/>
                      <w:snapToGrid w:val="0"/>
                      <w:color w:val="000000" w:themeColor="text1"/>
                      <w:sz w:val="28"/>
                      <w:szCs w:val="28"/>
                      <w:highlight w:val="none"/>
                      <w:lang w:val="en-US" w:eastAsia="zh-CN"/>
                      <w14:textFill>
                        <w14:solidFill>
                          <w14:schemeClr w14:val="tx1"/>
                        </w14:solidFill>
                      </w14:textFill>
                    </w:rPr>
                    <m:t>暂估价</m:t>
                  </m:r>
                  <m:r>
                    <m:rPr>
                      <m:sty m:val="p"/>
                    </m:rPr>
                    <w:rPr>
                      <w:rFonts w:hint="eastAsia" w:ascii="Times New Roman" w:hAnsi="Times New Roman"/>
                      <w:smallCaps w:val="0"/>
                      <w:snapToGrid w:val="0"/>
                      <w:color w:val="000000" w:themeColor="text1"/>
                      <w:sz w:val="28"/>
                      <w:szCs w:val="28"/>
                      <w:highlight w:val="none"/>
                      <w14:textFill>
                        <w14:solidFill>
                          <w14:schemeClr w14:val="tx1"/>
                        </w14:solidFill>
                      </w14:textFill>
                    </w:rPr>
                    <m:t>）</m:t>
                  </m:r>
                  <m:ctrlPr>
                    <w:rPr>
                      <w:rFonts w:hint="default" w:ascii="Cambria Math" w:hAnsi="Cambria Math"/>
                      <w:i/>
                      <w:smallCaps w:val="0"/>
                      <w:snapToGrid w:val="0"/>
                      <w:color w:val="000000" w:themeColor="text1"/>
                      <w:sz w:val="28"/>
                      <w:szCs w:val="28"/>
                      <w:highlight w:val="none"/>
                      <w:lang w:val="en-US"/>
                      <w14:textFill>
                        <w14:solidFill>
                          <w14:schemeClr w14:val="tx1"/>
                        </w14:solidFill>
                      </w14:textFill>
                    </w:rPr>
                  </m:ctrlPr>
                </m:den>
              </m:f>
            </m:oMath>
            <w:r>
              <w:rPr>
                <w:rFonts w:hint="eastAsia" w:hAnsi="Cambria Math"/>
                <w:i w:val="0"/>
                <w:smallCaps w:val="0"/>
                <w:snapToGrid w:val="0"/>
                <w:color w:val="000000" w:themeColor="text1"/>
                <w:sz w:val="28"/>
                <w:szCs w:val="28"/>
                <w:highlight w:val="none"/>
                <w:lang w:val="en-US" w:eastAsia="zh-CN"/>
                <w14:textFill>
                  <w14:solidFill>
                    <w14:schemeClr w14:val="tx1"/>
                  </w14:solidFill>
                </w14:textFill>
              </w:rPr>
              <w:t xml:space="preserve"> </w:t>
            </w:r>
            <w:r>
              <w:rPr>
                <w:rFonts w:hint="eastAsia" w:ascii="Times New Roman" w:hAnsi="Times New Roman"/>
                <w:smallCaps w:val="0"/>
                <w:snapToGrid w:val="0"/>
                <w:color w:val="000000" w:themeColor="text1"/>
                <w:highlight w:val="none"/>
                <w14:textFill>
                  <w14:solidFill>
                    <w14:schemeClr w14:val="tx1"/>
                  </w14:solidFill>
                </w14:textFill>
              </w:rPr>
              <w:t>× 100%</w:t>
            </w:r>
          </w:p>
          <w:p w14:paraId="7D73D073">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注：上述计算公式中的“最高投标限价”为建筑安装工程费</w:t>
            </w:r>
            <w:r>
              <w:rPr>
                <w:rFonts w:hint="eastAsia" w:ascii="Times New Roman" w:hAnsi="Times New Roman"/>
                <w:smallCaps w:val="0"/>
                <w:color w:val="000000" w:themeColor="text1"/>
                <w:highlight w:val="none"/>
                <w14:textFill>
                  <w14:solidFill>
                    <w14:schemeClr w14:val="tx1"/>
                  </w14:solidFill>
                </w14:textFill>
              </w:rPr>
              <w:t>最高投标限价</w:t>
            </w:r>
            <w:r>
              <w:rPr>
                <w:rFonts w:hint="eastAsia" w:ascii="Times New Roman" w:hAnsi="Times New Roman"/>
                <w:smallCaps w:val="0"/>
                <w:color w:val="000000" w:themeColor="text1"/>
                <w:highlight w:val="none"/>
                <w:lang w:val="en-US" w:eastAsia="zh-CN"/>
                <w14:textFill>
                  <w14:solidFill>
                    <w14:schemeClr w14:val="tx1"/>
                  </w14:solidFill>
                </w14:textFill>
              </w:rPr>
              <w:t>对应的金额。承包人范围的工程建设其他费最高投标限价（如有）不纳入计算。</w:t>
            </w:r>
          </w:p>
          <w:p w14:paraId="61ABD4E2">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条件二：</w:t>
            </w:r>
            <w:r>
              <w:rPr>
                <w:rFonts w:hint="eastAsia"/>
                <w:color w:val="000000" w:themeColor="text1"/>
                <w:highlight w:val="none"/>
                <w:lang w:val="en-US" w:eastAsia="zh-CN"/>
                <w14:textFill>
                  <w14:solidFill>
                    <w14:schemeClr w14:val="tx1"/>
                  </w14:solidFill>
                </w14:textFill>
              </w:rPr>
              <w:t>进入“异常低价评审”阶段的全部单位的投标报价平均值为本工程的“有效投标报价平均值”，计算结果保留两位小数，第三位四舍五入。投标人的报价低于“有效投标报价平均值”10%以上（不含10%）。</w:t>
            </w:r>
          </w:p>
          <w:p w14:paraId="7387B62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低于有效投标报价平均值比例的计算方式 = （1-</w:t>
            </w:r>
            <m:oMath>
              <m:r>
                <m:rPr>
                  <m:sty m:val="p"/>
                </m:rPr>
                <w:rPr>
                  <w:rFonts w:hint="eastAsia" w:ascii="Cambria Math" w:hAnsi="Cambria Math" w:eastAsia="宋体" w:cs="宋体"/>
                  <w:snapToGrid w:val="0"/>
                  <w:color w:val="000000" w:themeColor="text1"/>
                  <w:sz w:val="21"/>
                  <w:szCs w:val="21"/>
                  <w:highlight w:val="none"/>
                  <w:lang w:val="en-US" w:eastAsia="zh-CN"/>
                  <w14:textFill>
                    <w14:solidFill>
                      <w14:schemeClr w14:val="tx1"/>
                    </w14:solidFill>
                  </w14:textFill>
                </w:rPr>
                <m:t xml:space="preserve"> </m:t>
              </m:r>
              <m:f>
                <m:fPr>
                  <m:ctrlPr>
                    <w:rPr>
                      <w:rFonts w:hint="eastAsia" w:ascii="Cambria Math" w:hAnsi="Cambria Math" w:eastAsia="宋体" w:cs="宋体"/>
                      <w:i w:val="0"/>
                      <w:iCs/>
                      <w:snapToGrid w:val="0"/>
                      <w:color w:val="000000" w:themeColor="text1"/>
                      <w:sz w:val="21"/>
                      <w:szCs w:val="21"/>
                      <w:highlight w:val="none"/>
                      <w:lang w:val="en-US"/>
                      <w14:textFill>
                        <w14:solidFill>
                          <w14:schemeClr w14:val="tx1"/>
                        </w14:solidFill>
                      </w14:textFill>
                    </w:rPr>
                  </m:ctrlPr>
                </m:fPr>
                <m:num>
                  <m:r>
                    <m:rPr>
                      <m:sty m:val="p"/>
                    </m:rPr>
                    <w:rPr>
                      <w:rFonts w:hint="eastAsia" w:ascii="Cambria Math" w:hAnsi="Cambria Math" w:eastAsia="宋体" w:cs="宋体"/>
                      <w:snapToGrid w:val="0"/>
                      <w:color w:val="000000" w:themeColor="text1"/>
                      <w:sz w:val="21"/>
                      <w:szCs w:val="21"/>
                      <w:highlight w:val="none"/>
                      <w:lang w:val="en-US" w:eastAsia="zh-CN"/>
                      <w14:textFill>
                        <w14:solidFill>
                          <w14:schemeClr w14:val="tx1"/>
                        </w14:solidFill>
                      </w14:textFill>
                    </w:rPr>
                    <m:t>投标报价</m:t>
                  </m:r>
                  <m:ctrlPr>
                    <w:rPr>
                      <w:rFonts w:hint="eastAsia" w:ascii="Cambria Math" w:hAnsi="Cambria Math" w:eastAsia="宋体" w:cs="宋体"/>
                      <w:i w:val="0"/>
                      <w:iCs/>
                      <w:snapToGrid w:val="0"/>
                      <w:color w:val="000000" w:themeColor="text1"/>
                      <w:sz w:val="21"/>
                      <w:szCs w:val="21"/>
                      <w:highlight w:val="none"/>
                      <w:lang w:val="en-US"/>
                      <w14:textFill>
                        <w14:solidFill>
                          <w14:schemeClr w14:val="tx1"/>
                        </w14:solidFill>
                      </w14:textFill>
                    </w:rPr>
                  </m:ctrlPr>
                </m:num>
                <m:den>
                  <m:r>
                    <m:rPr>
                      <m:sty m:val="p"/>
                    </m:rPr>
                    <w:rPr>
                      <w:rFonts w:hint="eastAsia" w:ascii="Cambria Math" w:hAnsi="Cambria Math" w:eastAsia="宋体" w:cs="宋体"/>
                      <w:snapToGrid w:val="0"/>
                      <w:color w:val="000000" w:themeColor="text1"/>
                      <w:sz w:val="21"/>
                      <w:szCs w:val="21"/>
                      <w:highlight w:val="none"/>
                      <w:lang w:val="en-US" w:eastAsia="zh-CN"/>
                      <w14:textFill>
                        <w14:solidFill>
                          <w14:schemeClr w14:val="tx1"/>
                        </w14:solidFill>
                      </w14:textFill>
                    </w:rPr>
                    <m:t>有效投标报价平均值</m:t>
                  </m:r>
                  <m:ctrlPr>
                    <w:rPr>
                      <w:rFonts w:hint="eastAsia" w:ascii="Cambria Math" w:hAnsi="Cambria Math" w:eastAsia="宋体" w:cs="宋体"/>
                      <w:i w:val="0"/>
                      <w:iCs/>
                      <w:snapToGrid w:val="0"/>
                      <w:color w:val="000000" w:themeColor="text1"/>
                      <w:sz w:val="21"/>
                      <w:szCs w:val="21"/>
                      <w:highlight w:val="none"/>
                      <w:lang w:val="en-US"/>
                      <w14:textFill>
                        <w14:solidFill>
                          <w14:schemeClr w14:val="tx1"/>
                        </w14:solidFill>
                      </w14:textFill>
                    </w:rPr>
                  </m:ctrlPr>
                </m:den>
              </m:f>
            </m:oMath>
            <w:r>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t xml:space="preserve"> ×100%  </w:t>
            </w:r>
          </w:p>
          <w:p w14:paraId="173FAAC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snapToGrid w:val="0"/>
                <w:color w:val="000000" w:themeColor="text1"/>
                <w:sz w:val="21"/>
                <w:szCs w:val="21"/>
                <w:highlight w:val="none"/>
                <w:lang w:val="en-US" w:eastAsia="zh-CN"/>
                <w14:textFill>
                  <w14:solidFill>
                    <w14:schemeClr w14:val="tx1"/>
                  </w14:solidFill>
                </w14:textFill>
              </w:rPr>
              <w:t>注：计算结果采用精确值，不适用四舍五入。</w:t>
            </w:r>
          </w:p>
          <w:p w14:paraId="40CA1C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例：经计算有效投标报价平均值为1000万元，某投标单位的报价为895.87万元。带入计算得该投标人的投标报价低于有效投标报价平均值10.413%，高于10%，符合判定条件二。</w:t>
            </w:r>
          </w:p>
          <w:p w14:paraId="255FD1CC">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val="en-US"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（2）证明材料要求</w:t>
            </w:r>
            <w:r>
              <w:rPr>
                <w:rFonts w:hint="eastAsia" w:ascii="宋体" w:hAnsi="宋体" w:eastAsia="宋体" w:cs="宋体"/>
                <w:smallCaps w:val="0"/>
                <w:color w:val="000000" w:themeColor="text1"/>
                <w:highlight w:val="none"/>
                <w:u w:val="none"/>
                <w:lang w:eastAsia="zh-CN"/>
                <w14:textFill>
                  <w14:solidFill>
                    <w14:schemeClr w14:val="tx1"/>
                  </w14:solidFill>
                </w14:textFill>
              </w:rPr>
              <w:t>：</w:t>
            </w:r>
            <w:r>
              <w:rPr>
                <w:rFonts w:hint="eastAsia" w:ascii="宋体" w:hAnsi="宋体" w:eastAsia="宋体" w:cs="宋体"/>
                <w:smallCaps w:val="0"/>
                <w:color w:val="000000" w:themeColor="text1"/>
                <w:highlight w:val="none"/>
                <w14:textFill>
                  <w14:solidFill>
                    <w14:schemeClr w14:val="tx1"/>
                  </w14:solidFill>
                </w14:textFill>
              </w:rPr>
              <w:t>投标人填报的单位工程投标报价金额低于该招标项目最高投标限价中对应单位工程最高投标限价金额规定比例（见评标办法前附表异常低价规定指标）的，</w:t>
            </w:r>
            <w:r>
              <w:rPr>
                <w:rFonts w:hint="eastAsia" w:ascii="宋体" w:hAnsi="宋体" w:eastAsia="宋体" w:cs="宋体"/>
                <w:smallCaps w:val="0"/>
                <w:color w:val="000000" w:themeColor="text1"/>
                <w:highlight w:val="none"/>
                <w:lang w:val="en-US" w:eastAsia="zh-CN"/>
                <w14:textFill>
                  <w14:solidFill>
                    <w14:schemeClr w14:val="tx1"/>
                  </w14:solidFill>
                </w14:textFill>
              </w:rPr>
              <w:t>应当自主准备报价说明材料与佐证文件。</w:t>
            </w:r>
          </w:p>
          <w:p w14:paraId="4880B3E1">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lang w:eastAsia="zh-CN"/>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（3）以下情形不得作为异常低价投标说明的依据</w:t>
            </w:r>
            <w:r>
              <w:rPr>
                <w:rFonts w:hint="eastAsia" w:ascii="宋体" w:hAnsi="宋体" w:eastAsia="宋体" w:cs="宋体"/>
                <w:smallCaps w:val="0"/>
                <w:color w:val="000000" w:themeColor="text1"/>
                <w:highlight w:val="none"/>
                <w:u w:val="none"/>
                <w:lang w:eastAsia="zh-CN"/>
                <w14:textFill>
                  <w14:solidFill>
                    <w14:schemeClr w14:val="tx1"/>
                  </w14:solidFill>
                </w14:textFill>
              </w:rPr>
              <w:t>：</w:t>
            </w:r>
          </w:p>
          <w:p w14:paraId="1576CBA8">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①机械、材料自有或闲置；</w:t>
            </w:r>
          </w:p>
          <w:p w14:paraId="6E391EB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②自有弃土场土源或与邻近项目签订的土方倒运协议；</w:t>
            </w:r>
          </w:p>
          <w:p w14:paraId="3EA1FE92">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③人员闲置；</w:t>
            </w:r>
          </w:p>
          <w:p w14:paraId="047250C3">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④亏本让利；</w:t>
            </w:r>
          </w:p>
          <w:p w14:paraId="36681A77">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⑤企业市场拓展或品牌宣传；</w:t>
            </w:r>
          </w:p>
          <w:p w14:paraId="23DB0293">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⑥降低或改变原设计方案、技术工艺、施工标准的；</w:t>
            </w:r>
          </w:p>
          <w:p w14:paraId="4DBD5388">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⑦类似项目业绩；</w:t>
            </w:r>
          </w:p>
          <w:p w14:paraId="4974572A">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mallCaps w:val="0"/>
                <w:color w:val="000000" w:themeColor="text1"/>
                <w:highlight w:val="none"/>
                <w14:textFill>
                  <w14:solidFill>
                    <w14:schemeClr w14:val="tx1"/>
                  </w14:solidFill>
                </w14:textFill>
              </w:rPr>
            </w:pPr>
            <w:r>
              <w:rPr>
                <w:rFonts w:hint="eastAsia" w:ascii="宋体" w:hAnsi="宋体" w:eastAsia="宋体" w:cs="宋体"/>
                <w:smallCaps w:val="0"/>
                <w:color w:val="000000" w:themeColor="text1"/>
                <w:highlight w:val="none"/>
                <w14:textFill>
                  <w14:solidFill>
                    <w14:schemeClr w14:val="tx1"/>
                  </w14:solidFill>
                </w14:textFill>
              </w:rPr>
              <w:t>⑧评标委员会认为不得作为降低投标报价依据的情形。</w:t>
            </w:r>
          </w:p>
          <w:p w14:paraId="0F10DA3F">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mallCaps w:val="0"/>
                <w:color w:val="000000" w:themeColor="text1"/>
                <w:sz w:val="21"/>
                <w:szCs w:val="21"/>
                <w:highlight w:val="none"/>
                <w:lang w:eastAsia="zh-CN"/>
                <w14:textFill>
                  <w14:solidFill>
                    <w14:schemeClr w14:val="tx1"/>
                  </w14:solidFill>
                </w14:textFill>
              </w:rPr>
            </w:pPr>
            <w:r>
              <w:rPr>
                <w:rFonts w:hint="eastAsia" w:ascii="宋体" w:hAnsi="宋体" w:eastAsia="宋体" w:cs="宋体"/>
                <w:smallCaps w:val="0"/>
                <w:color w:val="000000" w:themeColor="text1"/>
                <w:sz w:val="21"/>
                <w:szCs w:val="21"/>
                <w:highlight w:val="none"/>
                <w14:textFill>
                  <w14:solidFill>
                    <w14:schemeClr w14:val="tx1"/>
                  </w14:solidFill>
                </w14:textFill>
              </w:rPr>
              <w:t>（</w:t>
            </w:r>
            <w:r>
              <w:rPr>
                <w:rFonts w:hint="eastAsia" w:ascii="宋体" w:hAnsi="宋体" w:eastAsia="宋体" w:cs="宋体"/>
                <w:smallCap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smallCaps w:val="0"/>
                <w:color w:val="000000" w:themeColor="text1"/>
                <w:sz w:val="21"/>
                <w:szCs w:val="21"/>
                <w:highlight w:val="none"/>
                <w14:textFill>
                  <w14:solidFill>
                    <w14:schemeClr w14:val="tx1"/>
                  </w14:solidFill>
                </w14:textFill>
              </w:rPr>
              <w:t>）以下情形</w:t>
            </w:r>
            <w:r>
              <w:rPr>
                <w:rFonts w:hint="eastAsia" w:ascii="宋体" w:hAnsi="宋体" w:eastAsia="宋体" w:cs="宋体"/>
                <w:smallCaps w:val="0"/>
                <w:color w:val="000000" w:themeColor="text1"/>
                <w:sz w:val="21"/>
                <w:szCs w:val="21"/>
                <w:highlight w:val="none"/>
                <w:lang w:val="en-US" w:eastAsia="zh-CN"/>
                <w14:textFill>
                  <w14:solidFill>
                    <w14:schemeClr w14:val="tx1"/>
                  </w14:solidFill>
                </w14:textFill>
              </w:rPr>
              <w:t>可以</w:t>
            </w:r>
            <w:r>
              <w:rPr>
                <w:rFonts w:hint="eastAsia" w:ascii="宋体" w:hAnsi="宋体" w:eastAsia="宋体" w:cs="宋体"/>
                <w:smallCaps w:val="0"/>
                <w:color w:val="000000" w:themeColor="text1"/>
                <w:sz w:val="21"/>
                <w:szCs w:val="21"/>
                <w:highlight w:val="none"/>
                <w14:textFill>
                  <w14:solidFill>
                    <w14:schemeClr w14:val="tx1"/>
                  </w14:solidFill>
                </w14:textFill>
              </w:rPr>
              <w:t>作为异常低价投标说明的依据</w:t>
            </w:r>
            <w:r>
              <w:rPr>
                <w:rFonts w:hint="eastAsia" w:ascii="宋体" w:hAnsi="宋体" w:eastAsia="宋体" w:cs="宋体"/>
                <w:smallCaps w:val="0"/>
                <w:color w:val="000000" w:themeColor="text1"/>
                <w:sz w:val="21"/>
                <w:szCs w:val="21"/>
                <w:highlight w:val="none"/>
                <w:u w:val="none"/>
                <w:lang w:eastAsia="zh-CN"/>
                <w14:textFill>
                  <w14:solidFill>
                    <w14:schemeClr w14:val="tx1"/>
                  </w14:solidFill>
                </w14:textFill>
              </w:rPr>
              <w:t>：</w:t>
            </w:r>
          </w:p>
          <w:p w14:paraId="6176FE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1）以往中标且验收合格的同类型项目业绩，中标下浮比例不低于本项目报价的下浮比例。</w:t>
            </w:r>
          </w:p>
          <w:p w14:paraId="1DE42F7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同时提供以往项目的以下证明材料作为佐证：</w:t>
            </w:r>
          </w:p>
          <w:p w14:paraId="29578EE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①最高投标限价（招标控制价）通知单，有项目招标人盖章；</w:t>
            </w:r>
          </w:p>
          <w:p w14:paraId="2E9A5A5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②中标通知书；</w:t>
            </w:r>
          </w:p>
          <w:p w14:paraId="6593904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③竣工验收报告或竣工验收备案表；</w:t>
            </w:r>
          </w:p>
          <w:p w14:paraId="3E6C0AD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④本项目的成本与合理利润分析说明材料，由本单位一级注册造价工程师签字并盖章。</w:t>
            </w:r>
          </w:p>
          <w:p w14:paraId="5C5DDC7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⑤提供关于合同履行能力及工程质量安全控制的承诺。</w:t>
            </w:r>
          </w:p>
          <w:p w14:paraId="35B5341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2）</w:t>
            </w:r>
            <w:r>
              <w:rPr>
                <w:rFonts w:hint="eastAsia" w:ascii="宋体" w:hAnsi="宋体" w:cs="宋体"/>
                <w:snapToGrid w:val="0"/>
                <w:color w:val="000000" w:themeColor="text1"/>
                <w:sz w:val="21"/>
                <w:szCs w:val="21"/>
                <w:highlight w:val="none"/>
                <w:lang w:val="en-US" w:eastAsia="zh-CN"/>
                <w14:textFill>
                  <w14:solidFill>
                    <w14:schemeClr w14:val="tx1"/>
                  </w14:solidFill>
                </w14:textFill>
              </w:rPr>
              <w:t>在保障</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原设计方案、技术工艺、施工标准的</w:t>
            </w:r>
            <w:r>
              <w:rPr>
                <w:rFonts w:hint="eastAsia" w:ascii="宋体" w:hAnsi="宋体" w:cs="宋体"/>
                <w:snapToGrid w:val="0"/>
                <w:color w:val="000000" w:themeColor="text1"/>
                <w:sz w:val="21"/>
                <w:szCs w:val="21"/>
                <w:highlight w:val="none"/>
                <w:lang w:val="en-US" w:eastAsia="zh-CN"/>
                <w14:textFill>
                  <w14:solidFill>
                    <w14:schemeClr w14:val="tx1"/>
                  </w14:solidFill>
                </w14:textFill>
              </w:rPr>
              <w:t>前提下，</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本项目</w:t>
            </w:r>
            <w:r>
              <w:rPr>
                <w:rFonts w:hint="eastAsia" w:ascii="宋体" w:hAnsi="宋体" w:cs="宋体"/>
                <w:snapToGrid w:val="0"/>
                <w:color w:val="000000" w:themeColor="text1"/>
                <w:sz w:val="21"/>
                <w:szCs w:val="21"/>
                <w:highlight w:val="none"/>
                <w:lang w:val="en-US" w:eastAsia="zh-CN"/>
                <w14:textFill>
                  <w14:solidFill>
                    <w14:schemeClr w14:val="tx1"/>
                  </w14:solidFill>
                </w14:textFill>
              </w:rPr>
              <w:t>通过</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采用新技术、</w:t>
            </w:r>
            <w:r>
              <w:rPr>
                <w:rFonts w:hint="eastAsia" w:ascii="宋体" w:hAnsi="宋体" w:cs="宋体"/>
                <w:snapToGrid w:val="0"/>
                <w:color w:val="000000" w:themeColor="text1"/>
                <w:sz w:val="21"/>
                <w:szCs w:val="21"/>
                <w:highlight w:val="none"/>
                <w:lang w:val="en-US" w:eastAsia="zh-CN"/>
                <w14:textFill>
                  <w14:solidFill>
                    <w14:schemeClr w14:val="tx1"/>
                  </w14:solidFill>
                </w14:textFill>
              </w:rPr>
              <w:t>新工艺</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、新设备</w:t>
            </w:r>
            <w:r>
              <w:rPr>
                <w:rFonts w:hint="eastAsia" w:ascii="宋体" w:hAnsi="宋体" w:cs="宋体"/>
                <w:snapToGrid w:val="0"/>
                <w:color w:val="000000" w:themeColor="text1"/>
                <w:sz w:val="21"/>
                <w:szCs w:val="21"/>
                <w:highlight w:val="none"/>
                <w:lang w:val="en-US" w:eastAsia="zh-CN"/>
                <w14:textFill>
                  <w14:solidFill>
                    <w14:schemeClr w14:val="tx1"/>
                  </w14:solidFill>
                </w14:textFill>
              </w:rPr>
              <w:t>等</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合理</w:t>
            </w:r>
            <w:r>
              <w:rPr>
                <w:rFonts w:hint="eastAsia" w:ascii="宋体" w:hAnsi="宋体" w:cs="宋体"/>
                <w:snapToGrid w:val="0"/>
                <w:color w:val="000000" w:themeColor="text1"/>
                <w:sz w:val="21"/>
                <w:szCs w:val="21"/>
                <w:highlight w:val="none"/>
                <w:lang w:val="en-US" w:eastAsia="zh-CN"/>
                <w14:textFill>
                  <w14:solidFill>
                    <w14:schemeClr w14:val="tx1"/>
                  </w14:solidFill>
                </w14:textFill>
              </w:rPr>
              <w:t>措施</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降低成本。</w:t>
            </w:r>
          </w:p>
          <w:p w14:paraId="2D96181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同时提供以下证明材料作为佐证：</w:t>
            </w:r>
          </w:p>
          <w:p w14:paraId="57CCAC6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①拟在本项目中采用新技术、新工艺、新设备类型，类似项目经验介绍、优势分析，与传统工艺的成本对比。</w:t>
            </w:r>
          </w:p>
          <w:p w14:paraId="186BAE4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②基于以上的成本数据写明本项目的成本与合理利润分析说明材料，由本单位一级注册造价工程师签字并盖章。</w:t>
            </w:r>
          </w:p>
          <w:p w14:paraId="00774B9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提供关于合同履行能力及工程质量安全控制的承诺。</w:t>
            </w:r>
          </w:p>
          <w:p w14:paraId="00D601A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3）施工单位的原材料或供应链优势。</w:t>
            </w:r>
          </w:p>
          <w:p w14:paraId="07AE3EE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同时提供以下证明材料作为佐证：</w:t>
            </w:r>
          </w:p>
          <w:p w14:paraId="6D47A64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①投标人与原材料供应商签订的在有效期内的长期供货协议，至少体现产品类型、价格指标信息，且该原材料与本项目适配；</w:t>
            </w:r>
          </w:p>
          <w:p w14:paraId="4399CF7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②基于以上原材料价格信息编制的成本与合理利润分析说明材料，由本单位一级注册造价工程师签字并盖章。</w:t>
            </w:r>
          </w:p>
          <w:p w14:paraId="4932FB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提供关于合同履行能力及工程质量安全控制的承诺。</w:t>
            </w:r>
          </w:p>
          <w:p w14:paraId="7B1EF8C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4）采用先进的信息化施工管理系统或先进的管理方法，实现施工各个过程的精细化管理，达到成本优化的目的。</w:t>
            </w:r>
          </w:p>
          <w:p w14:paraId="75A6D26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同时提供以下证明材料作为佐证：</w:t>
            </w:r>
          </w:p>
          <w:p w14:paraId="25C1C6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①提供相关信息化系统或先进管理方法的持有证明和成功应用的项目经验</w:t>
            </w:r>
          </w:p>
          <w:p w14:paraId="7B01C60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②基于先进管理方法的成本优化额度以及本项目的成本与合理利润分析说明材料，由本单位一级注册造价工程师签字并盖章。</w:t>
            </w:r>
          </w:p>
          <w:p w14:paraId="62FA08D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③</w:t>
            </w: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提供关于合同履行能力及工程质量安全控制的承诺。</w:t>
            </w:r>
          </w:p>
          <w:p w14:paraId="276EB7A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5）其他经评标委员会认可的有关成本的分析说明材料。</w:t>
            </w:r>
          </w:p>
          <w:p w14:paraId="21350C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sz w:val="21"/>
                <w:szCs w:val="21"/>
                <w:highlight w:val="none"/>
                <w:lang w:val="en-US" w:eastAsia="zh-CN"/>
                <w14:textFill>
                  <w14:solidFill>
                    <w14:schemeClr w14:val="tx1"/>
                  </w14:solidFill>
                </w14:textFill>
              </w:rPr>
              <w:t>不限于在人工、材料、机械消耗量、价格、施工措施、方案及其他方面。并同时提供关于合同履行能力及工程质量安全控制的承诺。</w:t>
            </w:r>
          </w:p>
          <w:p w14:paraId="54D97F8E">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smallCaps w:val="0"/>
                <w:color w:val="000000" w:themeColor="text1"/>
                <w:szCs w:val="24"/>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）评审标准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对</w:t>
            </w:r>
            <w:r>
              <w:rPr>
                <w:rFonts w:hint="eastAsia" w:ascii="Times New Roman" w:hAnsi="Times New Roman"/>
                <w:smallCaps w:val="0"/>
                <w:color w:val="000000" w:themeColor="text1"/>
                <w:highlight w:val="none"/>
                <w:lang w:val="en-US" w:eastAsia="zh-CN"/>
                <w14:textFill>
                  <w14:solidFill>
                    <w14:schemeClr w14:val="tx1"/>
                  </w14:solidFill>
                </w14:textFill>
              </w:rPr>
              <w:t>判定为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异常低价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的投标人，评标委员会需要对其</w:t>
            </w:r>
            <w:r>
              <w:rPr>
                <w:rFonts w:hint="eastAsia" w:ascii="Times New Roman" w:hAnsi="Times New Roman"/>
                <w:smallCaps w:val="0"/>
                <w:color w:val="000000" w:themeColor="text1"/>
                <w:highlight w:val="none"/>
                <w14:textFill>
                  <w14:solidFill>
                    <w14:schemeClr w14:val="tx1"/>
                  </w14:solidFill>
                </w14:textFill>
              </w:rPr>
              <w:t>合同履行能力及工程质量安全等风险进行全面评估，</w:t>
            </w:r>
            <w:r>
              <w:rPr>
                <w:rFonts w:hint="eastAsia" w:ascii="Times New Roman" w:hAnsi="Times New Roman"/>
                <w:smallCaps w:val="0"/>
                <w:color w:val="000000" w:themeColor="text1"/>
                <w:highlight w:val="none"/>
                <w:lang w:val="en-US" w:eastAsia="zh-CN"/>
                <w14:textFill>
                  <w14:solidFill>
                    <w14:schemeClr w14:val="tx1"/>
                  </w14:solidFill>
                </w14:textFill>
              </w:rPr>
              <w:t>通过或否决意见作为</w:t>
            </w:r>
            <w:r>
              <w:rPr>
                <w:rFonts w:hint="eastAsia" w:ascii="Times New Roman" w:hAnsi="Times New Roman"/>
                <w:smallCaps w:val="0"/>
                <w:color w:val="000000" w:themeColor="text1"/>
                <w:highlight w:val="none"/>
                <w14:textFill>
                  <w14:solidFill>
                    <w14:schemeClr w14:val="tx1"/>
                  </w14:solidFill>
                </w14:textFill>
              </w:rPr>
              <w:t>评标结果的附件提交给招标人。投标人在投标文件中未作出有效澄清、说明或评标委员会认定（按照少数服从多数的原则）其存</w:t>
            </w:r>
            <w:r>
              <w:rPr>
                <w:rFonts w:hint="eastAsia" w:ascii="Times New Roman" w:hAnsi="Times New Roman"/>
                <w:smallCaps w:val="0"/>
                <w:color w:val="000000" w:themeColor="text1"/>
                <w:szCs w:val="24"/>
                <w:highlight w:val="none"/>
                <w14:textFill>
                  <w14:solidFill>
                    <w14:schemeClr w14:val="tx1"/>
                  </w14:solidFill>
                </w14:textFill>
              </w:rPr>
              <w:t>在履约及质量安全风险的，评标委员会应否决其投标</w:t>
            </w:r>
            <w:r>
              <w:rPr>
                <w:rFonts w:hint="eastAsia" w:ascii="Times New Roman" w:hAnsi="Times New Roman"/>
                <w:smallCaps w:val="0"/>
                <w:color w:val="000000" w:themeColor="text1"/>
                <w:szCs w:val="24"/>
                <w:highlight w:val="none"/>
                <w:lang w:eastAsia="zh-CN"/>
                <w14:textFill>
                  <w14:solidFill>
                    <w14:schemeClr w14:val="tx1"/>
                  </w14:solidFill>
                </w14:textFill>
              </w:rPr>
              <w:t>，</w:t>
            </w:r>
            <w:r>
              <w:rPr>
                <w:rFonts w:hint="eastAsia" w:ascii="Times New Roman" w:hAnsi="Times New Roman"/>
                <w:smallCaps w:val="0"/>
                <w:color w:val="000000" w:themeColor="text1"/>
                <w:szCs w:val="24"/>
                <w:highlight w:val="none"/>
                <w:lang w:val="en-US" w:eastAsia="zh-CN"/>
                <w14:textFill>
                  <w14:solidFill>
                    <w14:schemeClr w14:val="tx1"/>
                  </w14:solidFill>
                </w14:textFill>
              </w:rPr>
              <w:t>并在评标报告中写明否决投标的原因</w:t>
            </w:r>
            <w:r>
              <w:rPr>
                <w:rFonts w:hint="eastAsia" w:ascii="Times New Roman" w:hAnsi="Times New Roman"/>
                <w:smallCaps w:val="0"/>
                <w:color w:val="000000" w:themeColor="text1"/>
                <w:szCs w:val="24"/>
                <w:highlight w:val="none"/>
                <w14:textFill>
                  <w14:solidFill>
                    <w14:schemeClr w14:val="tx1"/>
                  </w14:solidFill>
                </w14:textFill>
              </w:rPr>
              <w:t>。</w:t>
            </w:r>
          </w:p>
          <w:p w14:paraId="7C871AEB">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smallCaps w:val="0"/>
                <w:color w:val="000000" w:themeColor="text1"/>
                <w:highlight w:val="none"/>
                <w:vertAlign w:val="baseli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评标委员会对</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异常低价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投标人的</w:t>
            </w:r>
            <w:r>
              <w:rPr>
                <w:rFonts w:hint="eastAsia" w:ascii="Times New Roman" w:hAnsi="Times New Roman"/>
                <w:smallCaps w:val="0"/>
                <w:color w:val="000000" w:themeColor="text1"/>
                <w:highlight w:val="none"/>
                <w14:textFill>
                  <w14:solidFill>
                    <w14:schemeClr w14:val="tx1"/>
                  </w14:solidFill>
                </w14:textFill>
              </w:rPr>
              <w:t>合同履行能力及工程质量安全等风险进行全面评估，并</w:t>
            </w:r>
            <w:r>
              <w:rPr>
                <w:rFonts w:hint="eastAsia" w:ascii="Times New Roman" w:hAnsi="Times New Roman"/>
                <w:smallCaps w:val="0"/>
                <w:color w:val="000000" w:themeColor="text1"/>
                <w:highlight w:val="none"/>
                <w:lang w:val="en-US" w:eastAsia="zh-CN"/>
                <w14:textFill>
                  <w14:solidFill>
                    <w14:schemeClr w14:val="tx1"/>
                  </w14:solidFill>
                </w14:textFill>
              </w:rPr>
              <w:t>将审查意见</w:t>
            </w:r>
            <w:r>
              <w:rPr>
                <w:rFonts w:hint="eastAsia" w:ascii="Times New Roman" w:hAnsi="Times New Roman"/>
                <w:smallCaps w:val="0"/>
                <w:color w:val="000000" w:themeColor="text1"/>
                <w:highlight w:val="none"/>
                <w14:textFill>
                  <w14:solidFill>
                    <w14:schemeClr w14:val="tx1"/>
                  </w14:solidFill>
                </w14:textFill>
              </w:rPr>
              <w:t>作为评标结果的附件提交给招标人。投标人在投标文件中未作出有效澄清、说明或评标委员会认定（按照少数服从多数的原则）其存在履约及质量安全风险的，评标委员会应否决其投标，不推荐其为中标候选人。</w:t>
            </w:r>
          </w:p>
        </w:tc>
      </w:tr>
    </w:tbl>
    <w:p w14:paraId="185A32B1">
      <w:pPr>
        <w:pageBreakBefore w:val="0"/>
        <w:kinsoku/>
        <w:wordWrap w:val="0"/>
        <w:overflowPunct/>
        <w:bidi w:val="0"/>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pPr>
      <w:r>
        <w:rPr>
          <w:rFonts w:hint="eastAsia" w:ascii="Times New Roman" w:hAnsi="Times New Roman" w:eastAsia="宋体" w:cs="宋体"/>
          <w:b/>
          <w:bCs/>
          <w:smallCaps w:val="0"/>
          <w:color w:val="000000" w:themeColor="text1"/>
          <w:sz w:val="24"/>
          <w:szCs w:val="24"/>
          <w:highlight w:val="none"/>
          <w14:textFill>
            <w14:solidFill>
              <w14:schemeClr w14:val="tx1"/>
            </w14:solidFill>
          </w14:textFill>
        </w:rPr>
        <w:br w:type="page"/>
      </w:r>
    </w:p>
    <w:p w14:paraId="4B38F61C">
      <w:pPr>
        <w:pStyle w:val="40"/>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638" w:name="_Toc16155"/>
      <w:r>
        <w:rPr>
          <w:rFonts w:hint="eastAsia" w:ascii="Times New Roman" w:hAnsi="Times New Roman"/>
          <w:smallCaps w:val="0"/>
          <w:color w:val="000000" w:themeColor="text1"/>
          <w:highlight w:val="none"/>
          <w14:textFill>
            <w14:solidFill>
              <w14:schemeClr w14:val="tx1"/>
            </w14:solidFill>
          </w14:textFill>
        </w:rPr>
        <w:t>详细评审标准</w:t>
      </w:r>
      <w:bookmarkEnd w:id="631"/>
      <w:bookmarkEnd w:id="632"/>
      <w:bookmarkEnd w:id="633"/>
      <w:bookmarkEnd w:id="634"/>
      <w:bookmarkEnd w:id="635"/>
      <w:bookmarkEnd w:id="636"/>
      <w:bookmarkEnd w:id="637"/>
      <w:bookmarkEnd w:id="638"/>
    </w:p>
    <w:tbl>
      <w:tblPr>
        <w:tblStyle w:val="22"/>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5"/>
        <w:gridCol w:w="1089"/>
        <w:gridCol w:w="1361"/>
        <w:gridCol w:w="697"/>
        <w:gridCol w:w="5346"/>
      </w:tblGrid>
      <w:tr w14:paraId="5DB5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53" w:type="pct"/>
            <w:gridSpan w:val="2"/>
            <w:shd w:val="clear" w:color="auto" w:fill="D7D7D7" w:themeFill="background1" w:themeFillShade="D8"/>
            <w:noWrap w:val="0"/>
            <w:vAlign w:val="center"/>
          </w:tcPr>
          <w:p w14:paraId="0735B84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条款号</w:t>
            </w:r>
          </w:p>
        </w:tc>
        <w:tc>
          <w:tcPr>
            <w:tcW w:w="744" w:type="pct"/>
            <w:shd w:val="clear" w:color="auto" w:fill="D7D7D7" w:themeFill="background1" w:themeFillShade="D8"/>
            <w:noWrap w:val="0"/>
            <w:tcMar>
              <w:left w:w="75" w:type="dxa"/>
            </w:tcMar>
            <w:vAlign w:val="center"/>
          </w:tcPr>
          <w:p w14:paraId="3F6B53B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评审因素</w:t>
            </w:r>
          </w:p>
        </w:tc>
        <w:tc>
          <w:tcPr>
            <w:tcW w:w="381" w:type="pct"/>
            <w:shd w:val="clear" w:color="auto" w:fill="D7D7D7" w:themeFill="background1" w:themeFillShade="D8"/>
            <w:noWrap w:val="0"/>
            <w:vAlign w:val="center"/>
          </w:tcPr>
          <w:p w14:paraId="24E1CB4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分值</w:t>
            </w:r>
          </w:p>
        </w:tc>
        <w:tc>
          <w:tcPr>
            <w:tcW w:w="2920" w:type="pct"/>
            <w:shd w:val="clear" w:color="auto" w:fill="D7D7D7" w:themeFill="background1" w:themeFillShade="D8"/>
            <w:noWrap w:val="0"/>
            <w:vAlign w:val="center"/>
          </w:tcPr>
          <w:p w14:paraId="41A7B4D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评审标准</w:t>
            </w:r>
          </w:p>
        </w:tc>
      </w:tr>
      <w:tr w14:paraId="031C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restart"/>
            <w:noWrap w:val="0"/>
            <w:vAlign w:val="center"/>
          </w:tcPr>
          <w:p w14:paraId="0882230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2.2.2（1）</w:t>
            </w:r>
          </w:p>
        </w:tc>
        <w:tc>
          <w:tcPr>
            <w:tcW w:w="594" w:type="pct"/>
            <w:vMerge w:val="restart"/>
            <w:noWrap w:val="0"/>
            <w:vAlign w:val="center"/>
          </w:tcPr>
          <w:p w14:paraId="2C4C945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技术文件评分标准</w:t>
            </w:r>
          </w:p>
        </w:tc>
        <w:tc>
          <w:tcPr>
            <w:tcW w:w="744" w:type="pct"/>
            <w:noWrap w:val="0"/>
            <w:tcMar>
              <w:left w:w="75" w:type="dxa"/>
            </w:tcMar>
            <w:vAlign w:val="center"/>
          </w:tcPr>
          <w:p w14:paraId="1E26635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施工组织设计</w:t>
            </w:r>
          </w:p>
        </w:tc>
        <w:tc>
          <w:tcPr>
            <w:tcW w:w="381" w:type="pct"/>
            <w:noWrap w:val="0"/>
            <w:vAlign w:val="center"/>
          </w:tcPr>
          <w:p w14:paraId="1A6DC30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1E014FB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5E28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continue"/>
            <w:noWrap w:val="0"/>
            <w:vAlign w:val="center"/>
          </w:tcPr>
          <w:p w14:paraId="1B4B542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94" w:type="pct"/>
            <w:vMerge w:val="continue"/>
            <w:noWrap w:val="0"/>
            <w:vAlign w:val="center"/>
          </w:tcPr>
          <w:p w14:paraId="0BE3A55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44" w:type="pct"/>
            <w:noWrap w:val="0"/>
            <w:tcMar>
              <w:left w:w="75" w:type="dxa"/>
            </w:tcMar>
            <w:vAlign w:val="center"/>
          </w:tcPr>
          <w:p w14:paraId="5E384A5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381" w:type="pct"/>
            <w:noWrap w:val="0"/>
            <w:vAlign w:val="center"/>
          </w:tcPr>
          <w:p w14:paraId="71CF167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60EC688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33F0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restart"/>
            <w:noWrap w:val="0"/>
            <w:vAlign w:val="center"/>
          </w:tcPr>
          <w:p w14:paraId="035A017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2.2.2（2）</w:t>
            </w:r>
          </w:p>
        </w:tc>
        <w:tc>
          <w:tcPr>
            <w:tcW w:w="594" w:type="pct"/>
            <w:vMerge w:val="restart"/>
            <w:noWrap w:val="0"/>
            <w:vAlign w:val="center"/>
          </w:tcPr>
          <w:p w14:paraId="769FAE9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商务文件评分标准</w:t>
            </w:r>
          </w:p>
        </w:tc>
        <w:tc>
          <w:tcPr>
            <w:tcW w:w="744" w:type="pct"/>
            <w:noWrap w:val="0"/>
            <w:tcMar>
              <w:left w:w="75" w:type="dxa"/>
            </w:tcMar>
            <w:vAlign w:val="center"/>
          </w:tcPr>
          <w:p w14:paraId="149C7B8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投标人业绩</w:t>
            </w:r>
          </w:p>
        </w:tc>
        <w:tc>
          <w:tcPr>
            <w:tcW w:w="381" w:type="pct"/>
            <w:noWrap w:val="0"/>
            <w:vAlign w:val="center"/>
          </w:tcPr>
          <w:p w14:paraId="315C33E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3956086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5500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continue"/>
            <w:noWrap w:val="0"/>
            <w:vAlign w:val="center"/>
          </w:tcPr>
          <w:p w14:paraId="281B76D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94" w:type="pct"/>
            <w:vMerge w:val="continue"/>
            <w:noWrap w:val="0"/>
            <w:vAlign w:val="center"/>
          </w:tcPr>
          <w:p w14:paraId="1357EF5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44" w:type="pct"/>
            <w:noWrap w:val="0"/>
            <w:tcMar>
              <w:left w:w="75" w:type="dxa"/>
            </w:tcMar>
            <w:vAlign w:val="center"/>
          </w:tcPr>
          <w:p w14:paraId="346B615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投标人奖项荣誉</w:t>
            </w:r>
          </w:p>
        </w:tc>
        <w:tc>
          <w:tcPr>
            <w:tcW w:w="381" w:type="pct"/>
            <w:noWrap w:val="0"/>
            <w:vAlign w:val="center"/>
          </w:tcPr>
          <w:p w14:paraId="27C46E7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0D351E4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0972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continue"/>
            <w:noWrap w:val="0"/>
            <w:vAlign w:val="center"/>
          </w:tcPr>
          <w:p w14:paraId="2AC0DEA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94" w:type="pct"/>
            <w:vMerge w:val="continue"/>
            <w:noWrap w:val="0"/>
            <w:vAlign w:val="center"/>
          </w:tcPr>
          <w:p w14:paraId="4017F6C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44" w:type="pct"/>
            <w:noWrap w:val="0"/>
            <w:tcMar>
              <w:left w:w="75" w:type="dxa"/>
            </w:tcMar>
            <w:vAlign w:val="center"/>
          </w:tcPr>
          <w:p w14:paraId="1638284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p w14:paraId="6069B88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w:t>
            </w:r>
          </w:p>
        </w:tc>
        <w:tc>
          <w:tcPr>
            <w:tcW w:w="381" w:type="pct"/>
            <w:noWrap w:val="0"/>
            <w:vAlign w:val="center"/>
          </w:tcPr>
          <w:p w14:paraId="1F1FB47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785935C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6471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continue"/>
            <w:noWrap w:val="0"/>
            <w:vAlign w:val="center"/>
          </w:tcPr>
          <w:p w14:paraId="26985F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94" w:type="pct"/>
            <w:vMerge w:val="continue"/>
            <w:noWrap w:val="0"/>
            <w:vAlign w:val="center"/>
          </w:tcPr>
          <w:p w14:paraId="5706F04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44" w:type="pct"/>
            <w:noWrap w:val="0"/>
            <w:tcMar>
              <w:left w:w="75" w:type="dxa"/>
            </w:tcMar>
            <w:vAlign w:val="center"/>
          </w:tcPr>
          <w:p w14:paraId="0EA8390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项目经理奖项荣誉</w:t>
            </w:r>
          </w:p>
        </w:tc>
        <w:tc>
          <w:tcPr>
            <w:tcW w:w="381" w:type="pct"/>
            <w:noWrap w:val="0"/>
            <w:vAlign w:val="center"/>
          </w:tcPr>
          <w:p w14:paraId="188E187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16E2B25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7BD8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continue"/>
            <w:noWrap w:val="0"/>
            <w:vAlign w:val="center"/>
          </w:tcPr>
          <w:p w14:paraId="58958E0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94" w:type="pct"/>
            <w:vMerge w:val="continue"/>
            <w:noWrap w:val="0"/>
            <w:vAlign w:val="center"/>
          </w:tcPr>
          <w:p w14:paraId="5E3CF6C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44" w:type="pct"/>
            <w:noWrap w:val="0"/>
            <w:tcMar>
              <w:left w:w="75" w:type="dxa"/>
            </w:tcMar>
            <w:vAlign w:val="center"/>
          </w:tcPr>
          <w:p w14:paraId="5797F53E">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技术负责人业绩</w:t>
            </w:r>
          </w:p>
        </w:tc>
        <w:tc>
          <w:tcPr>
            <w:tcW w:w="381" w:type="pct"/>
            <w:noWrap w:val="0"/>
            <w:vAlign w:val="center"/>
          </w:tcPr>
          <w:p w14:paraId="0A0E3C3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59C4BDB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10A5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continue"/>
            <w:noWrap w:val="0"/>
            <w:vAlign w:val="center"/>
          </w:tcPr>
          <w:p w14:paraId="5D1048C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94" w:type="pct"/>
            <w:vMerge w:val="continue"/>
            <w:noWrap w:val="0"/>
            <w:vAlign w:val="center"/>
          </w:tcPr>
          <w:p w14:paraId="0B1DCBE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44" w:type="pct"/>
            <w:noWrap w:val="0"/>
            <w:tcMar>
              <w:left w:w="75" w:type="dxa"/>
            </w:tcMar>
            <w:vAlign w:val="center"/>
          </w:tcPr>
          <w:p w14:paraId="35AC422A">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技术负责人奖项荣誉</w:t>
            </w:r>
          </w:p>
        </w:tc>
        <w:tc>
          <w:tcPr>
            <w:tcW w:w="381" w:type="pct"/>
            <w:noWrap w:val="0"/>
            <w:vAlign w:val="center"/>
          </w:tcPr>
          <w:p w14:paraId="2C2077B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1DF9E4A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741D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continue"/>
            <w:noWrap w:val="0"/>
            <w:vAlign w:val="center"/>
          </w:tcPr>
          <w:p w14:paraId="1ACA3A6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94" w:type="pct"/>
            <w:vMerge w:val="continue"/>
            <w:noWrap w:val="0"/>
            <w:vAlign w:val="center"/>
          </w:tcPr>
          <w:p w14:paraId="35C77F5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44" w:type="pct"/>
            <w:noWrap w:val="0"/>
            <w:tcMar>
              <w:left w:w="75" w:type="dxa"/>
            </w:tcMar>
            <w:vAlign w:val="center"/>
          </w:tcPr>
          <w:p w14:paraId="12B1E2D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诚信履约</w:t>
            </w:r>
          </w:p>
        </w:tc>
        <w:tc>
          <w:tcPr>
            <w:tcW w:w="381" w:type="pct"/>
            <w:noWrap w:val="0"/>
            <w:vAlign w:val="center"/>
          </w:tcPr>
          <w:p w14:paraId="64AD9D4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1C837DC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3385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vMerge w:val="continue"/>
            <w:noWrap w:val="0"/>
            <w:vAlign w:val="center"/>
          </w:tcPr>
          <w:p w14:paraId="2DCEFA4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94" w:type="pct"/>
            <w:vMerge w:val="continue"/>
            <w:noWrap w:val="0"/>
            <w:vAlign w:val="center"/>
          </w:tcPr>
          <w:p w14:paraId="4F995A0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44" w:type="pct"/>
            <w:noWrap w:val="0"/>
            <w:tcMar>
              <w:left w:w="75" w:type="dxa"/>
            </w:tcMar>
            <w:vAlign w:val="center"/>
          </w:tcPr>
          <w:p w14:paraId="2DA56ED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381" w:type="pct"/>
            <w:noWrap w:val="0"/>
            <w:vAlign w:val="center"/>
          </w:tcPr>
          <w:p w14:paraId="6F83A418">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4960D8C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0BD4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noWrap w:val="0"/>
            <w:vAlign w:val="center"/>
          </w:tcPr>
          <w:p w14:paraId="7529473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2.2.2（3）</w:t>
            </w:r>
          </w:p>
        </w:tc>
        <w:tc>
          <w:tcPr>
            <w:tcW w:w="594" w:type="pct"/>
            <w:noWrap w:val="0"/>
            <w:vAlign w:val="center"/>
          </w:tcPr>
          <w:p w14:paraId="0B16ADF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报价文件评分标准</w:t>
            </w:r>
          </w:p>
        </w:tc>
        <w:tc>
          <w:tcPr>
            <w:tcW w:w="744" w:type="pct"/>
            <w:noWrap w:val="0"/>
            <w:vAlign w:val="center"/>
          </w:tcPr>
          <w:p w14:paraId="33D4420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投标报价</w:t>
            </w:r>
          </w:p>
        </w:tc>
        <w:tc>
          <w:tcPr>
            <w:tcW w:w="381" w:type="pct"/>
            <w:noWrap w:val="0"/>
            <w:vAlign w:val="center"/>
          </w:tcPr>
          <w:p w14:paraId="0CCDB6F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75494D26">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0392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8" w:type="pct"/>
            <w:noWrap w:val="0"/>
            <w:vAlign w:val="center"/>
          </w:tcPr>
          <w:p w14:paraId="3B73E74A">
            <w:pPr>
              <w:keepNext w:val="0"/>
              <w:keepLines w:val="0"/>
              <w:pageBreakBefore w:val="0"/>
              <w:suppressLineNumbers w:val="0"/>
              <w:kinsoku/>
              <w:wordWrap w:val="0"/>
              <w:overflowPunct/>
              <w:bidi w:val="0"/>
              <w:snapToGrid w:val="0"/>
              <w:spacing w:before="0" w:beforeAutospacing="0" w:after="0" w:afterAutospacing="0" w:line="360" w:lineRule="auto"/>
              <w:ind w:left="0" w:right="0"/>
              <w:jc w:val="center"/>
              <w:rPr>
                <w:rFonts w:hint="eastAsia" w:ascii="Times New Roman" w:hAnsi="Times New Roman" w:cs="宋体"/>
                <w:bCs/>
                <w:smallCaps w:val="0"/>
                <w:snapToGrid w:val="0"/>
                <w:color w:val="000000" w:themeColor="text1"/>
                <w:szCs w:val="24"/>
                <w:highlight w:val="none"/>
                <w14:textFill>
                  <w14:solidFill>
                    <w14:schemeClr w14:val="tx1"/>
                  </w14:solidFill>
                </w14:textFill>
              </w:rPr>
            </w:pPr>
          </w:p>
        </w:tc>
        <w:tc>
          <w:tcPr>
            <w:tcW w:w="594" w:type="pct"/>
            <w:noWrap w:val="0"/>
            <w:vAlign w:val="center"/>
          </w:tcPr>
          <w:p w14:paraId="18BB2746">
            <w:pPr>
              <w:keepNext w:val="0"/>
              <w:keepLines w:val="0"/>
              <w:pageBreakBefore w:val="0"/>
              <w:widowControl/>
              <w:suppressLineNumbers w:val="0"/>
              <w:kinsoku/>
              <w:wordWrap w:val="0"/>
              <w:overflowPunct/>
              <w:bidi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szCs w:val="24"/>
                <w:highlight w:val="none"/>
                <w14:textFill>
                  <w14:solidFill>
                    <w14:schemeClr w14:val="tx1"/>
                  </w14:solidFill>
                </w14:textFill>
              </w:rPr>
            </w:pPr>
          </w:p>
        </w:tc>
        <w:tc>
          <w:tcPr>
            <w:tcW w:w="744" w:type="pct"/>
            <w:noWrap w:val="0"/>
            <w:vAlign w:val="center"/>
          </w:tcPr>
          <w:p w14:paraId="3BDEF8E0">
            <w:pPr>
              <w:pStyle w:val="4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中小企业优惠条款</w:t>
            </w:r>
          </w:p>
        </w:tc>
        <w:tc>
          <w:tcPr>
            <w:tcW w:w="381" w:type="pct"/>
            <w:noWrap w:val="0"/>
            <w:vAlign w:val="center"/>
          </w:tcPr>
          <w:p w14:paraId="117D9882">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分</w:t>
            </w:r>
          </w:p>
        </w:tc>
        <w:tc>
          <w:tcPr>
            <w:tcW w:w="2920" w:type="pct"/>
            <w:noWrap w:val="0"/>
            <w:vAlign w:val="center"/>
          </w:tcPr>
          <w:p w14:paraId="3B618FA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符合《政府采购促进中小企业发展管理办法》（财库〔2020〕46号）第九条第一款情形时，对于小微企业，评标时应当在采用原报价进行评分的基础上增加其价格得分的</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default" w:ascii="Times New Roman" w:hAnsi="Times New Roman"/>
                <w:smallCaps w:val="0"/>
                <w:color w:val="000000" w:themeColor="text1"/>
                <w:highlight w:val="none"/>
                <w14:textFill>
                  <w14:solidFill>
                    <w14:schemeClr w14:val="tx1"/>
                  </w14:solidFill>
                </w14:textFill>
              </w:rPr>
              <w:t>%（3%—5%）作为其价格分；符合《政府采购促进中小企业发展管理办法》（财库〔2020〕46号）第九条第二款情形时，对于联合协议或者分包意向协议约定小微企业的合同份额占到合同总金额30%以上的投标人，评标时应当在采用原报价进行评分的基础上增加其价格得分的</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default" w:ascii="Times New Roman" w:hAnsi="Times New Roman"/>
                <w:smallCaps w:val="0"/>
                <w:color w:val="000000" w:themeColor="text1"/>
                <w:highlight w:val="none"/>
                <w14:textFill>
                  <w14:solidFill>
                    <w14:schemeClr w14:val="tx1"/>
                  </w14:solidFill>
                </w14:textFill>
              </w:rPr>
              <w:t>%（1%—2%）作为其价格分。</w:t>
            </w:r>
          </w:p>
        </w:tc>
      </w:tr>
      <w:tr w14:paraId="1A8B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00" w:type="pct"/>
            <w:gridSpan w:val="5"/>
            <w:noWrap w:val="0"/>
            <w:vAlign w:val="center"/>
          </w:tcPr>
          <w:p w14:paraId="58FEA23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
                <w:smallCaps w:val="0"/>
                <w:color w:val="000000" w:themeColor="text1"/>
                <w:szCs w:val="24"/>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需要补充的其他内容</w:t>
            </w:r>
          </w:p>
        </w:tc>
      </w:tr>
      <w:tr w14:paraId="0857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7" w:type="pct"/>
            <w:gridSpan w:val="3"/>
            <w:noWrap w:val="0"/>
            <w:vAlign w:val="center"/>
          </w:tcPr>
          <w:p w14:paraId="766F518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商务及技术文件评分要求</w:t>
            </w:r>
          </w:p>
        </w:tc>
        <w:tc>
          <w:tcPr>
            <w:tcW w:w="3302" w:type="pct"/>
            <w:gridSpan w:val="2"/>
            <w:noWrap w:val="0"/>
            <w:vAlign w:val="center"/>
          </w:tcPr>
          <w:p w14:paraId="7EAFBA8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（1）对于施工组织设计等主观评分项，以0.1分为分割点，即评分依次为0、0.1、0.2、0.3、0.4等。评审内容缺项的该项得0分。</w:t>
            </w:r>
          </w:p>
          <w:p w14:paraId="2CB99B4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评标委员会成员总数为5人以上单数时，投标人的得分均以去掉一个评审最高分和一个最低分后的算术平均值确定(打分平均值保留小数点后两位，小数点后第三位四舍五入)</w:t>
            </w:r>
            <w:r>
              <w:rPr>
                <w:rFonts w:hint="eastAsia" w:ascii="Times New Roman" w:hAnsi="Times New Roman"/>
                <w:smallCaps w:val="0"/>
                <w:color w:val="000000" w:themeColor="text1"/>
                <w:highlight w:val="none"/>
                <w:lang w:eastAsia="zh-CN"/>
                <w14:textFill>
                  <w14:solidFill>
                    <w14:schemeClr w14:val="tx1"/>
                  </w14:solidFill>
                </w14:textFill>
              </w:rPr>
              <w:t>。</w:t>
            </w:r>
          </w:p>
          <w:p w14:paraId="7DAD9F9C">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3）</w:t>
            </w:r>
            <w:r>
              <w:rPr>
                <w:rFonts w:hint="eastAsia" w:ascii="Times New Roman" w:hAnsi="Times New Roman"/>
                <w:smallCaps w:val="0"/>
                <w:color w:val="000000" w:themeColor="text1"/>
                <w:highlight w:val="none"/>
                <w14:textFill>
                  <w14:solidFill>
                    <w14:schemeClr w14:val="tx1"/>
                  </w14:solidFill>
                </w14:textFill>
              </w:rPr>
              <w:t>……</w:t>
            </w:r>
          </w:p>
        </w:tc>
      </w:tr>
      <w:tr w14:paraId="509B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7" w:type="pct"/>
            <w:gridSpan w:val="3"/>
            <w:noWrap w:val="0"/>
            <w:vAlign w:val="center"/>
          </w:tcPr>
          <w:p w14:paraId="739548E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商务及技术文件评审所需证明材料</w:t>
            </w:r>
          </w:p>
        </w:tc>
        <w:tc>
          <w:tcPr>
            <w:tcW w:w="3302" w:type="pct"/>
            <w:gridSpan w:val="2"/>
            <w:noWrap w:val="0"/>
            <w:vAlign w:val="center"/>
          </w:tcPr>
          <w:p w14:paraId="62E85B4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r w14:paraId="46AB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7" w:type="pct"/>
            <w:gridSpan w:val="3"/>
            <w:noWrap w:val="0"/>
            <w:vAlign w:val="center"/>
          </w:tcPr>
          <w:p w14:paraId="278255B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BIM技术要求</w:t>
            </w:r>
          </w:p>
          <w:p w14:paraId="7B3DA6F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（如有）</w:t>
            </w:r>
          </w:p>
        </w:tc>
        <w:tc>
          <w:tcPr>
            <w:tcW w:w="3302" w:type="pct"/>
            <w:gridSpan w:val="2"/>
            <w:noWrap w:val="0"/>
            <w:vAlign w:val="center"/>
          </w:tcPr>
          <w:p w14:paraId="36F80624">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eastAsia="宋体" w:cs="Times New Roman"/>
                <w:small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参照安徽省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房屋建筑和市政基础设施工程施工应用BIM技术招标投标评标办法实施导则</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4DA9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7" w:type="pct"/>
            <w:gridSpan w:val="3"/>
            <w:noWrap w:val="0"/>
            <w:vAlign w:val="center"/>
          </w:tcPr>
          <w:p w14:paraId="2F10BFD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3302" w:type="pct"/>
            <w:gridSpan w:val="2"/>
            <w:noWrap w:val="0"/>
            <w:vAlign w:val="center"/>
          </w:tcPr>
          <w:p w14:paraId="6F82C1D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r>
    </w:tbl>
    <w:p w14:paraId="37404853">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p>
    <w:p w14:paraId="706A6F79">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p>
    <w:p w14:paraId="10C875B2">
      <w:pPr>
        <w:pStyle w:val="79"/>
        <w:pageBreakBefore w:val="0"/>
        <w:kinsoku/>
        <w:wordWrap w:val="0"/>
        <w:overflowPunct/>
        <w:bidi w:val="0"/>
        <w:ind w:left="0" w:leftChars="0" w:firstLine="0" w:firstLineChars="0"/>
        <w:jc w:val="center"/>
        <w:rPr>
          <w:rFonts w:hint="default" w:ascii="Times New Roman" w:hAnsi="Times New Roman" w:eastAsia="宋体"/>
          <w:b/>
          <w:bCs w:val="0"/>
          <w:smallCaps w:val="0"/>
          <w:color w:val="000000" w:themeColor="text1"/>
          <w:highlight w:val="none"/>
          <w:lang w:val="en-US" w:eastAsia="zh-CN"/>
          <w14:textFill>
            <w14:solidFill>
              <w14:schemeClr w14:val="tx1"/>
            </w14:solidFill>
          </w14:textFill>
        </w:rPr>
      </w:pPr>
      <w:r>
        <w:rPr>
          <w:rFonts w:hint="eastAsia" w:ascii="Times New Roman" w:hAnsi="Times New Roman"/>
          <w:b/>
          <w:bCs w:val="0"/>
          <w:smallCaps w:val="0"/>
          <w:color w:val="000000" w:themeColor="text1"/>
          <w:highlight w:val="none"/>
          <w:lang w:val="en-US" w:eastAsia="zh-CN"/>
          <w14:textFill>
            <w14:solidFill>
              <w14:schemeClr w14:val="tx1"/>
            </w14:solidFill>
          </w14:textFill>
        </w:rPr>
        <w:t>评分项设定规则</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1222"/>
        <w:gridCol w:w="6651"/>
      </w:tblGrid>
      <w:tr w14:paraId="4B7D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shd w:val="clear" w:color="auto" w:fill="D7D7D7" w:themeFill="background1" w:themeFillShade="D8"/>
          </w:tcPr>
          <w:p w14:paraId="1250EB8C">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b/>
                <w:bCs w:val="0"/>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b/>
                <w:bCs w:val="0"/>
                <w:smallCaps w:val="0"/>
                <w:color w:val="000000" w:themeColor="text1"/>
                <w:highlight w:val="none"/>
                <w:vertAlign w:val="baseline"/>
                <w:lang w:val="en-US" w:eastAsia="zh-CN"/>
                <w14:textFill>
                  <w14:solidFill>
                    <w14:schemeClr w14:val="tx1"/>
                  </w14:solidFill>
                </w14:textFill>
              </w:rPr>
              <w:t>评审环节</w:t>
            </w:r>
          </w:p>
        </w:tc>
        <w:tc>
          <w:tcPr>
            <w:tcW w:w="1222" w:type="dxa"/>
            <w:shd w:val="clear" w:color="auto" w:fill="D7D7D7" w:themeFill="background1" w:themeFillShade="D8"/>
          </w:tcPr>
          <w:p w14:paraId="3AEEFA1B">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b/>
                <w:bCs w:val="0"/>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b/>
                <w:bCs w:val="0"/>
                <w:smallCaps w:val="0"/>
                <w:color w:val="000000" w:themeColor="text1"/>
                <w:highlight w:val="none"/>
                <w:vertAlign w:val="baseline"/>
                <w:lang w:val="en-US" w:eastAsia="zh-CN"/>
                <w14:textFill>
                  <w14:solidFill>
                    <w14:schemeClr w14:val="tx1"/>
                  </w14:solidFill>
                </w14:textFill>
              </w:rPr>
              <w:t>分值范围</w:t>
            </w:r>
          </w:p>
        </w:tc>
        <w:tc>
          <w:tcPr>
            <w:tcW w:w="6651" w:type="dxa"/>
            <w:shd w:val="clear" w:color="auto" w:fill="D7D7D7" w:themeFill="background1" w:themeFillShade="D8"/>
          </w:tcPr>
          <w:p w14:paraId="5B7173E5">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b/>
                <w:bCs w:val="0"/>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b/>
                <w:bCs w:val="0"/>
                <w:smallCaps w:val="0"/>
                <w:color w:val="000000" w:themeColor="text1"/>
                <w:highlight w:val="none"/>
                <w:vertAlign w:val="baseline"/>
                <w:lang w:val="en-US" w:eastAsia="zh-CN"/>
                <w14:textFill>
                  <w14:solidFill>
                    <w14:schemeClr w14:val="tx1"/>
                  </w14:solidFill>
                </w14:textFill>
              </w:rPr>
              <w:t>设定规则</w:t>
            </w:r>
          </w:p>
        </w:tc>
      </w:tr>
      <w:tr w14:paraId="323E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3B19257C">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技术标</w:t>
            </w:r>
          </w:p>
        </w:tc>
        <w:tc>
          <w:tcPr>
            <w:tcW w:w="1222" w:type="dxa"/>
            <w:vAlign w:val="center"/>
          </w:tcPr>
          <w:p w14:paraId="7823CF11">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0～10</w:t>
            </w:r>
          </w:p>
        </w:tc>
        <w:tc>
          <w:tcPr>
            <w:tcW w:w="6651" w:type="dxa"/>
          </w:tcPr>
          <w:p w14:paraId="144CFCB2">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1、施工组织设计、BIM方案两项合计方案不得高于10分。</w:t>
            </w:r>
          </w:p>
          <w:p w14:paraId="3AFD22D4">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2、施工组织设计（不含BIM方案），技术标分值最高取5分。</w:t>
            </w:r>
          </w:p>
        </w:tc>
      </w:tr>
      <w:tr w14:paraId="643B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21C2ADEA">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商务标</w:t>
            </w:r>
          </w:p>
        </w:tc>
        <w:tc>
          <w:tcPr>
            <w:tcW w:w="1222" w:type="dxa"/>
            <w:vAlign w:val="center"/>
          </w:tcPr>
          <w:p w14:paraId="45DA2B6B">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0～20</w:t>
            </w:r>
          </w:p>
        </w:tc>
        <w:tc>
          <w:tcPr>
            <w:tcW w:w="6651" w:type="dxa"/>
          </w:tcPr>
          <w:p w14:paraId="2073EB48">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1、可以设置“业绩”“奖项”“管理人员技能水平”方面的评审项，未在列举范围内的评审项不得设置。</w:t>
            </w:r>
            <w:r>
              <w:rPr>
                <w:rFonts w:hint="eastAsia" w:ascii="Times New Roman" w:hAnsi="Times New Roman"/>
                <w:smallCaps w:val="0"/>
                <w:color w:val="000000" w:themeColor="text1"/>
                <w:highlight w:val="none"/>
                <w:lang w:val="en-US" w:eastAsia="zh-CN"/>
                <w14:textFill>
                  <w14:solidFill>
                    <w14:schemeClr w14:val="tx1"/>
                  </w14:solidFill>
                </w14:textFill>
              </w:rPr>
              <w:t>已经在资格条件中考察过投标人业绩情况的，不得在评分项中重复考察。</w:t>
            </w:r>
          </w:p>
          <w:p w14:paraId="4CFDDF70">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2、在设定考察业绩的条件时，企业业绩、项目经理业绩、技术负责人业绩的总业绩数量不得超过2个。</w:t>
            </w:r>
          </w:p>
          <w:p w14:paraId="10657743">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仅对有创优、创奖目标，且依规计列“优质工程增加费”的项目可以设定对应创奖目标等级的奖项评审项，同时不得排斥更高水平的奖项。对没有创优、创奖目标或没有依规计列“优质工程增加费”的项目不得设定任何奖项评审项。项目规模未达到对应奖项申报管理办法的申请标准的，不得设置对应奖项的创奖目标。</w:t>
            </w:r>
          </w:p>
          <w:p w14:paraId="758647CE">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4、建议分值分配：业绩0～12分，奖项0～3分，管理人员0～5分。仅对大型项目可以设定管理人员高级工程师职称的评分项（项目规模以工程设计资质标准中建设项目设计规模划分表中规定为准）。</w:t>
            </w:r>
          </w:p>
          <w:p w14:paraId="0E681D7F">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5、在不设定奖项评审项或管理人员评审项时，对应分值可以并入业绩评审项当中。</w:t>
            </w:r>
          </w:p>
          <w:p w14:paraId="397F8CBC">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6、技术标与商务标分值之和不得超过20分。</w:t>
            </w:r>
          </w:p>
        </w:tc>
      </w:tr>
      <w:tr w14:paraId="53C3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50AC9A0D">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投标报价</w:t>
            </w:r>
          </w:p>
        </w:tc>
        <w:tc>
          <w:tcPr>
            <w:tcW w:w="1222" w:type="dxa"/>
            <w:vAlign w:val="center"/>
          </w:tcPr>
          <w:p w14:paraId="005BBEA2">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80～100</w:t>
            </w:r>
          </w:p>
        </w:tc>
        <w:tc>
          <w:tcPr>
            <w:tcW w:w="6651" w:type="dxa"/>
          </w:tcPr>
          <w:p w14:paraId="78961F99">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1、在非政府采购工程建设项目中，投标报价总分值为N</w:t>
            </w:r>
            <w:r>
              <w:rPr>
                <w:rStyle w:val="28"/>
                <w:rFonts w:hint="eastAsia" w:ascii="Times New Roman" w:hAnsi="Times New Roman"/>
                <w:smallCaps w:val="0"/>
                <w:color w:val="000000" w:themeColor="text1"/>
                <w:highlight w:val="none"/>
                <w:lang w:val="en-US" w:eastAsia="zh-CN"/>
                <w14:textFill>
                  <w14:solidFill>
                    <w14:schemeClr w14:val="tx1"/>
                  </w14:solidFill>
                </w14:textFill>
              </w:rPr>
              <w:footnoteReference w:id="56"/>
            </w: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w:t>
            </w:r>
          </w:p>
          <w:p w14:paraId="0C9E8A21">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2、投标报价分值计算采用偏差值计算法。将参与评审的各投标人的有效投标报价与评标基准价比较，当有效报价等于评标基准价时，商务得满分；偏差率每低1%扣0.25（或0.5分。招标人根据自身情况选择）分；偏差率每高出1%扣1分。不足1%的按照插入法计算。</w:t>
            </w:r>
          </w:p>
          <w:p w14:paraId="26755DF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t>3、偏差率 = 100% ×（投标人报价 − 评标基准价）/评标基准价（注：百分号数值四舍五入，保留两位小数）</w:t>
            </w:r>
          </w:p>
          <w:p w14:paraId="729102B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t>设偏差率为P，得分为F。</w:t>
            </w:r>
          </w:p>
          <w:p w14:paraId="1C725D2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t>当P=0时，F=N；</w:t>
            </w:r>
          </w:p>
          <w:p w14:paraId="6DEB5EF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t xml:space="preserve">当P＞0时，F=N - P×1×100。 </w:t>
            </w:r>
          </w:p>
          <w:p w14:paraId="3AD4F66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smallCaps w:val="0"/>
                <w:snapToGrid w:val="0"/>
                <w:color w:val="000000" w:themeColor="text1"/>
                <w:sz w:val="21"/>
                <w:szCs w:val="21"/>
                <w:highlight w:val="none"/>
                <w:vertAlign w:val="baseline"/>
                <w:lang w:val="en-US" w:eastAsia="zh-CN"/>
                <w14:textFill>
                  <w14:solidFill>
                    <w14:schemeClr w14:val="tx1"/>
                  </w14:solidFill>
                </w14:textFill>
              </w:rPr>
              <w:t>当P＜0时，F=N + P×0.25（或0.5，等于以上选择的数值）×100。</w:t>
            </w:r>
          </w:p>
          <w:p w14:paraId="39F8BBBF">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4、评标基准价确定方式：取技术标前9名的有效投标报价（可选：去掉一个最高价，去掉一个最低价）中的平均值作为基准价（或以上单位中的最低价、次低价、或中位值作为评标基准价</w:t>
            </w:r>
            <w:r>
              <w:rPr>
                <w:rStyle w:val="28"/>
                <w:rFonts w:hint="eastAsia" w:ascii="Times New Roman" w:hAnsi="Times New Roman"/>
                <w:smallCaps w:val="0"/>
                <w:color w:val="000000" w:themeColor="text1"/>
                <w:highlight w:val="none"/>
                <w:lang w:val="en-US" w:eastAsia="zh-CN"/>
                <w14:textFill>
                  <w14:solidFill>
                    <w14:schemeClr w14:val="tx1"/>
                  </w14:solidFill>
                </w14:textFill>
              </w:rPr>
              <w:footnoteReference w:id="57"/>
            </w: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w:t>
            </w: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对符合“异常低价”判定条件但通过评审的投标单位，其投标报价不参与评标基准价计算。</w:t>
            </w: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采用最低价、次低价作为评标基准价的，由评标委员会直接在评标系统内勾选评标办法对应的最低价、次低价单位。采用平均值、中位值作为评标基准价的，由评标委员会勾选评标办法中参与计算的对应投标单位，由评标系统计算对应的平均值、中位值）。</w:t>
            </w:r>
          </w:p>
          <w:p w14:paraId="3406F482">
            <w:pPr>
              <w:pStyle w:val="7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smallCaps w:val="0"/>
                <w:color w:val="000000" w:themeColor="text1"/>
                <w:highlight w:val="none"/>
                <w:vertAlign w:val="baseline"/>
                <w:lang w:val="en-US" w:eastAsia="zh-CN"/>
                <w14:textFill>
                  <w14:solidFill>
                    <w14:schemeClr w14:val="tx1"/>
                  </w14:solidFill>
                </w14:textFill>
              </w:rPr>
            </w:pPr>
            <w:r>
              <w:rPr>
                <w:rFonts w:hint="eastAsia" w:ascii="Times New Roman" w:hAnsi="Times New Roman"/>
                <w:smallCaps w:val="0"/>
                <w:color w:val="000000" w:themeColor="text1"/>
                <w:highlight w:val="none"/>
                <w:vertAlign w:val="baseline"/>
                <w:lang w:val="en-US" w:eastAsia="zh-CN"/>
                <w14:textFill>
                  <w14:solidFill>
                    <w14:schemeClr w14:val="tx1"/>
                  </w14:solidFill>
                </w14:textFill>
              </w:rPr>
              <w:t>5、如果某单位的“异常低价”经过评标委员会认定有效且进入投标报价计算环节，其投标报价虽不参与评标基准价计算，但其应当计算其报价得分。</w:t>
            </w:r>
          </w:p>
        </w:tc>
      </w:tr>
    </w:tbl>
    <w:p w14:paraId="27CC444F">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lang w:val="en-US" w:eastAsia="zh-CN"/>
          <w14:textFill>
            <w14:solidFill>
              <w14:schemeClr w14:val="tx1"/>
            </w14:solidFill>
          </w14:textFill>
        </w:rPr>
      </w:pPr>
    </w:p>
    <w:p w14:paraId="4BC0E391">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lang w:val="en-US" w:eastAsia="zh-CN"/>
          <w14:textFill>
            <w14:solidFill>
              <w14:schemeClr w14:val="tx1"/>
            </w14:solidFill>
          </w14:textFill>
        </w:rPr>
      </w:pPr>
    </w:p>
    <w:p w14:paraId="55209424">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p>
    <w:p w14:paraId="62F79BFA">
      <w:pPr>
        <w:pStyle w:val="79"/>
        <w:pageBreakBefore w:val="0"/>
        <w:kinsoku/>
        <w:wordWrap w:val="0"/>
        <w:overflowPunct/>
        <w:bidi w:val="0"/>
        <w:ind w:left="0" w:leftChars="0" w:firstLine="0" w:firstLineChars="0"/>
        <w:rPr>
          <w:rStyle w:val="78"/>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bookmarkStart w:id="639" w:name="_Toc21882"/>
      <w:r>
        <w:rPr>
          <w:rStyle w:val="78"/>
          <w:rFonts w:hint="eastAsia" w:ascii="Times New Roman" w:hAnsi="Times New Roman"/>
          <w:smallCaps w:val="0"/>
          <w:color w:val="000000" w:themeColor="text1"/>
          <w:highlight w:val="none"/>
          <w:lang w:val="en-US" w:eastAsia="zh-CN"/>
          <w14:textFill>
            <w14:solidFill>
              <w14:schemeClr w14:val="tx1"/>
            </w14:solidFill>
          </w14:textFill>
        </w:rPr>
        <w:t>附件1</w:t>
      </w:r>
      <w:r>
        <w:rPr>
          <w:rStyle w:val="78"/>
          <w:rFonts w:hint="eastAsia" w:ascii="Times New Roman" w:hAnsi="Times New Roman"/>
          <w:smallCaps w:val="0"/>
          <w:color w:val="000000" w:themeColor="text1"/>
          <w:highlight w:val="none"/>
          <w:u w:val="none"/>
          <w:lang w:val="en-US" w:eastAsia="zh-CN"/>
          <w14:textFill>
            <w14:solidFill>
              <w14:schemeClr w14:val="tx1"/>
            </w14:solidFill>
          </w14:textFill>
        </w:rPr>
        <w:t>：</w:t>
      </w:r>
      <w:r>
        <w:rPr>
          <w:rStyle w:val="78"/>
          <w:rFonts w:hint="eastAsia" w:ascii="Times New Roman" w:hAnsi="Times New Roman"/>
          <w:smallCaps w:val="0"/>
          <w:color w:val="000000" w:themeColor="text1"/>
          <w:highlight w:val="none"/>
          <w:lang w:val="en-US" w:eastAsia="zh-CN"/>
          <w14:textFill>
            <w14:solidFill>
              <w14:schemeClr w14:val="tx1"/>
            </w14:solidFill>
          </w14:textFill>
        </w:rPr>
        <w:t>技术文件详细评审得分计算规则</w:t>
      </w:r>
    </w:p>
    <w:bookmarkEnd w:id="639"/>
    <w:p w14:paraId="5631DADF">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针对评标办法正文“3.2商务及技术文件详细评审”中“技术文件详细评审得分计算”规则，具体如下，计算保留小数点后两位，小数点后第三位“四舍五入”</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72590D6">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技术文件详细评审得分计算如下</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763666C">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①首先，根据评委技术文件详细评审打分汇总（以下简称“技术打分”），计算偏差率</w:t>
      </w:r>
    </w:p>
    <w:p w14:paraId="605ACF23">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根据评委对其评审的各投标人的技术打分进行排序，计算该评委最高与次高技术打分的纵向偏差率（该评委最高与次高技术打分的差值占该评委最高技术打分的百分比）；</w:t>
      </w:r>
    </w:p>
    <w:p w14:paraId="4B241DAE">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27953507">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当纵向偏差率达到或超过20%，同时横向偏差率达到或超过15%时，该评委的技术打分不纳入投标人得分计算。当出现2名或以上评委技术打分同时出现上述情况时，纵向偏差率最大的评委技术打分不纳入投标人得分计算；如纵向偏差率最大的相同时，以横向偏差率最大的评委技术打分不纳入投标人得分计算；如横向偏差率最大的也相同时，则计算该情形评委最高与次次高技术打分的偏差率，该偏差率最大的评委技术打分不纳入投标人得分计算；若最终仍然无法判断的，由评标委员会随机确定1位该情形评委技术打分不纳入投标人得分计算。</w:t>
      </w:r>
    </w:p>
    <w:p w14:paraId="409A7E37">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技术打分相同的，一并纳入同情形偏差率计算（见示例标示）。上述差值按照绝对值计算；</w:t>
      </w:r>
    </w:p>
    <w:p w14:paraId="5498ABB1">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示例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如某项目的投标人共6家，共有5位评委参与评审，评委进行技术打分分值见下表，现列举其中1位评委相关计算，具体如下</w:t>
      </w:r>
      <w:r>
        <w:rPr>
          <w:rFonts w:hint="eastAsia" w:ascii="Times New Roman" w:hAnsi="Times New Roman"/>
          <w:smallCaps w:val="0"/>
          <w:color w:val="000000" w:themeColor="text1"/>
          <w:highlight w:val="none"/>
          <w:u w:val="none"/>
          <w:lang w:eastAsia="zh-CN"/>
          <w14:textFill>
            <w14:solidFill>
              <w14:schemeClr w14:val="tx1"/>
            </w14:solidFill>
          </w14:textFill>
        </w:rPr>
        <w:t>：</w:t>
      </w:r>
    </w:p>
    <w:tbl>
      <w:tblPr>
        <w:tblStyle w:val="22"/>
        <w:tblW w:w="8566" w:type="dxa"/>
        <w:tblInd w:w="118" w:type="dxa"/>
        <w:tblLayout w:type="fixed"/>
        <w:tblCellMar>
          <w:top w:w="0" w:type="dxa"/>
          <w:left w:w="108" w:type="dxa"/>
          <w:bottom w:w="0" w:type="dxa"/>
          <w:right w:w="108" w:type="dxa"/>
        </w:tblCellMar>
      </w:tblPr>
      <w:tblGrid>
        <w:gridCol w:w="1253"/>
        <w:gridCol w:w="129"/>
        <w:gridCol w:w="1358"/>
        <w:gridCol w:w="1550"/>
        <w:gridCol w:w="1475"/>
        <w:gridCol w:w="1450"/>
        <w:gridCol w:w="1351"/>
      </w:tblGrid>
      <w:tr w14:paraId="227CC1B4">
        <w:tblPrEx>
          <w:tblCellMar>
            <w:top w:w="0" w:type="dxa"/>
            <w:left w:w="108" w:type="dxa"/>
            <w:bottom w:w="0" w:type="dxa"/>
            <w:right w:w="108" w:type="dxa"/>
          </w:tblCellMar>
        </w:tblPrEx>
        <w:trPr>
          <w:trHeight w:val="387" w:hRule="atLeast"/>
        </w:trPr>
        <w:tc>
          <w:tcPr>
            <w:tcW w:w="8566" w:type="dxa"/>
            <w:gridSpan w:val="7"/>
            <w:tcBorders>
              <w:top w:val="single" w:color="000000" w:sz="8" w:space="0"/>
              <w:left w:val="single" w:color="000000" w:sz="8" w:space="0"/>
              <w:bottom w:val="single" w:color="auto" w:sz="4" w:space="0"/>
              <w:right w:val="single" w:color="000000" w:sz="8" w:space="0"/>
            </w:tcBorders>
            <w:shd w:val="clear" w:color="auto" w:fill="BEBEBE"/>
            <w:noWrap/>
            <w:vAlign w:val="center"/>
          </w:tcPr>
          <w:p w14:paraId="0C07550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
                <w:bCs/>
                <w:smallCaps w:val="0"/>
                <w:color w:val="000000" w:themeColor="text1"/>
                <w:szCs w:val="18"/>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技术打分分值</w:t>
            </w:r>
          </w:p>
        </w:tc>
      </w:tr>
      <w:tr w14:paraId="6195A74E">
        <w:tblPrEx>
          <w:tblCellMar>
            <w:top w:w="0" w:type="dxa"/>
            <w:left w:w="108" w:type="dxa"/>
            <w:bottom w:w="0" w:type="dxa"/>
            <w:right w:w="108" w:type="dxa"/>
          </w:tblCellMar>
        </w:tblPrEx>
        <w:trPr>
          <w:trHeight w:val="387" w:hRule="atLeast"/>
        </w:trPr>
        <w:tc>
          <w:tcPr>
            <w:tcW w:w="1253" w:type="dxa"/>
            <w:tcBorders>
              <w:top w:val="single" w:color="000000" w:sz="8" w:space="0"/>
              <w:left w:val="single" w:color="000000" w:sz="8" w:space="0"/>
              <w:bottom w:val="single" w:color="auto" w:sz="4" w:space="0"/>
              <w:right w:val="single" w:color="000000" w:sz="8" w:space="0"/>
            </w:tcBorders>
            <w:noWrap/>
            <w:vAlign w:val="center"/>
          </w:tcPr>
          <w:p w14:paraId="72F8EAA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评委名称</w:t>
            </w:r>
          </w:p>
        </w:tc>
        <w:tc>
          <w:tcPr>
            <w:tcW w:w="1487" w:type="dxa"/>
            <w:gridSpan w:val="2"/>
            <w:tcBorders>
              <w:top w:val="single" w:color="000000" w:sz="8" w:space="0"/>
              <w:left w:val="nil"/>
              <w:bottom w:val="single" w:color="auto" w:sz="4" w:space="0"/>
              <w:right w:val="single" w:color="000000" w:sz="8" w:space="0"/>
            </w:tcBorders>
            <w:noWrap/>
            <w:vAlign w:val="center"/>
          </w:tcPr>
          <w:p w14:paraId="011AD68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评委1</w:t>
            </w:r>
          </w:p>
        </w:tc>
        <w:tc>
          <w:tcPr>
            <w:tcW w:w="1550" w:type="dxa"/>
            <w:tcBorders>
              <w:top w:val="single" w:color="000000" w:sz="8" w:space="0"/>
              <w:left w:val="nil"/>
              <w:bottom w:val="single" w:color="auto" w:sz="4" w:space="0"/>
              <w:right w:val="single" w:color="000000" w:sz="8" w:space="0"/>
            </w:tcBorders>
            <w:noWrap/>
            <w:vAlign w:val="center"/>
          </w:tcPr>
          <w:p w14:paraId="6ACF08A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评委2</w:t>
            </w:r>
          </w:p>
        </w:tc>
        <w:tc>
          <w:tcPr>
            <w:tcW w:w="1475" w:type="dxa"/>
            <w:tcBorders>
              <w:top w:val="single" w:color="000000" w:sz="8" w:space="0"/>
              <w:left w:val="nil"/>
              <w:bottom w:val="single" w:color="auto" w:sz="4" w:space="0"/>
              <w:right w:val="single" w:color="000000" w:sz="8" w:space="0"/>
            </w:tcBorders>
            <w:noWrap/>
            <w:vAlign w:val="center"/>
          </w:tcPr>
          <w:p w14:paraId="34E2499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评委3</w:t>
            </w:r>
          </w:p>
        </w:tc>
        <w:tc>
          <w:tcPr>
            <w:tcW w:w="1450" w:type="dxa"/>
            <w:tcBorders>
              <w:top w:val="single" w:color="000000" w:sz="8" w:space="0"/>
              <w:left w:val="nil"/>
              <w:bottom w:val="single" w:color="auto" w:sz="4" w:space="0"/>
              <w:right w:val="single" w:color="000000" w:sz="8" w:space="0"/>
            </w:tcBorders>
            <w:noWrap/>
            <w:vAlign w:val="center"/>
          </w:tcPr>
          <w:p w14:paraId="57E032A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评委4</w:t>
            </w:r>
          </w:p>
        </w:tc>
        <w:tc>
          <w:tcPr>
            <w:tcW w:w="1351" w:type="dxa"/>
            <w:tcBorders>
              <w:top w:val="single" w:color="000000" w:sz="8" w:space="0"/>
              <w:left w:val="nil"/>
              <w:bottom w:val="single" w:color="auto" w:sz="4" w:space="0"/>
              <w:right w:val="single" w:color="000000" w:sz="8" w:space="0"/>
            </w:tcBorders>
            <w:noWrap/>
            <w:vAlign w:val="center"/>
          </w:tcPr>
          <w:p w14:paraId="733E185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评委5</w:t>
            </w:r>
          </w:p>
        </w:tc>
      </w:tr>
      <w:tr w14:paraId="4403E6B7">
        <w:tblPrEx>
          <w:tblCellMar>
            <w:top w:w="0" w:type="dxa"/>
            <w:left w:w="108" w:type="dxa"/>
            <w:bottom w:w="0" w:type="dxa"/>
            <w:right w:w="108" w:type="dxa"/>
          </w:tblCellMar>
        </w:tblPrEx>
        <w:trPr>
          <w:trHeight w:val="567" w:hRule="atLeast"/>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880311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44F4A4E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28.0分</w:t>
            </w:r>
          </w:p>
          <w:p w14:paraId="2E406C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1E6CB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30.0分</w:t>
            </w:r>
          </w:p>
          <w:p w14:paraId="2367E94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780176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410B35E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A215D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25.0分</w:t>
            </w:r>
          </w:p>
          <w:p w14:paraId="0990AB6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84A2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20.0分</w:t>
            </w:r>
          </w:p>
          <w:p w14:paraId="072129A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r>
      <w:tr w14:paraId="03043D2A">
        <w:tblPrEx>
          <w:tblCellMar>
            <w:top w:w="0" w:type="dxa"/>
            <w:left w:w="108" w:type="dxa"/>
            <w:bottom w:w="0" w:type="dxa"/>
            <w:right w:w="108" w:type="dxa"/>
          </w:tblCellMar>
        </w:tblPrEx>
        <w:trPr>
          <w:trHeight w:val="567" w:hRule="atLeast"/>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83BB9E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308AC17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28.0分</w:t>
            </w:r>
          </w:p>
          <w:p w14:paraId="263126F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D5C92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28.0分</w:t>
            </w:r>
          </w:p>
          <w:p w14:paraId="3267B67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AE06AA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28.0分</w:t>
            </w:r>
          </w:p>
          <w:p w14:paraId="1B70BD6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0253D9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24.0分</w:t>
            </w:r>
          </w:p>
          <w:p w14:paraId="2C31549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9F986C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53BC36F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（次次高分）</w:t>
            </w:r>
          </w:p>
        </w:tc>
      </w:tr>
      <w:tr w14:paraId="33644B63">
        <w:tblPrEx>
          <w:tblCellMar>
            <w:top w:w="0" w:type="dxa"/>
            <w:left w:w="108" w:type="dxa"/>
            <w:bottom w:w="0" w:type="dxa"/>
            <w:right w:w="108" w:type="dxa"/>
          </w:tblCellMar>
        </w:tblPrEx>
        <w:trPr>
          <w:trHeight w:val="567" w:hRule="atLeast"/>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C9C0EC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7FA3590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26.0分</w:t>
            </w:r>
          </w:p>
          <w:p w14:paraId="3D1D8B9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2F0184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28.0分</w:t>
            </w:r>
          </w:p>
          <w:p w14:paraId="63A754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D83691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25.0分</w:t>
            </w:r>
          </w:p>
          <w:p w14:paraId="3D20D98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711E02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25.0分</w:t>
            </w:r>
          </w:p>
          <w:p w14:paraId="564681F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31082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23.0分</w:t>
            </w:r>
          </w:p>
          <w:p w14:paraId="7F16903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（次高分）</w:t>
            </w:r>
          </w:p>
        </w:tc>
      </w:tr>
      <w:tr w14:paraId="7E95E92A">
        <w:tblPrEx>
          <w:tblCellMar>
            <w:top w:w="0" w:type="dxa"/>
            <w:left w:w="108" w:type="dxa"/>
            <w:bottom w:w="0" w:type="dxa"/>
            <w:right w:w="108" w:type="dxa"/>
          </w:tblCellMar>
        </w:tblPrEx>
        <w:trPr>
          <w:trHeight w:val="567" w:hRule="atLeast"/>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C6C035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69A903D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24.0 分</w:t>
            </w:r>
          </w:p>
          <w:p w14:paraId="6940949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7D9A8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24.0 分</w:t>
            </w:r>
          </w:p>
          <w:p w14:paraId="523D56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54AC82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28.0 分</w:t>
            </w:r>
          </w:p>
          <w:p w14:paraId="0FEF077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C737A5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23.0 分</w:t>
            </w:r>
          </w:p>
          <w:p w14:paraId="170CE76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D083D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20.0 分</w:t>
            </w:r>
          </w:p>
          <w:p w14:paraId="244381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r>
      <w:tr w14:paraId="29CD7D4D">
        <w:tblPrEx>
          <w:tblCellMar>
            <w:top w:w="0" w:type="dxa"/>
            <w:left w:w="108" w:type="dxa"/>
            <w:bottom w:w="0" w:type="dxa"/>
            <w:right w:w="108" w:type="dxa"/>
          </w:tblCellMar>
        </w:tblPrEx>
        <w:trPr>
          <w:trHeight w:val="567" w:hRule="atLeast"/>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641B79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5725F85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503E9B8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2A23E7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45F5398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81A8EF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24.0分</w:t>
            </w:r>
          </w:p>
          <w:p w14:paraId="7D06BF4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6F71C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4857815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42872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019C47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（次次高分）</w:t>
            </w:r>
          </w:p>
        </w:tc>
      </w:tr>
      <w:tr w14:paraId="68D97196">
        <w:tblPrEx>
          <w:tblCellMar>
            <w:top w:w="0" w:type="dxa"/>
            <w:left w:w="108" w:type="dxa"/>
            <w:bottom w:w="0" w:type="dxa"/>
            <w:right w:w="108" w:type="dxa"/>
          </w:tblCellMar>
        </w:tblPrEx>
        <w:trPr>
          <w:trHeight w:val="567" w:hRule="atLeast"/>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2D825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5A0495E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48D8EA0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33B2EA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01C9B41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FF0A9A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445741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D89A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22.0分</w:t>
            </w:r>
          </w:p>
          <w:p w14:paraId="6C57FA5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F8E78B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30.0分</w:t>
            </w:r>
          </w:p>
          <w:p w14:paraId="7988A4E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（最高分）</w:t>
            </w:r>
          </w:p>
        </w:tc>
      </w:tr>
      <w:tr w14:paraId="6C555A47">
        <w:tblPrEx>
          <w:tblCellMar>
            <w:top w:w="0" w:type="dxa"/>
            <w:left w:w="108" w:type="dxa"/>
            <w:bottom w:w="0" w:type="dxa"/>
            <w:right w:w="108" w:type="dxa"/>
          </w:tblCellMar>
        </w:tblPrEx>
        <w:trPr>
          <w:trHeight w:val="415" w:hRule="atLeast"/>
        </w:trPr>
        <w:tc>
          <w:tcPr>
            <w:tcW w:w="8566" w:type="dxa"/>
            <w:gridSpan w:val="7"/>
            <w:tcBorders>
              <w:top w:val="single" w:color="auto" w:sz="4" w:space="0"/>
              <w:left w:val="single" w:color="000000" w:sz="4" w:space="0"/>
              <w:bottom w:val="single" w:color="auto" w:sz="4" w:space="0"/>
              <w:right w:val="single" w:color="000000" w:sz="4" w:space="0"/>
            </w:tcBorders>
            <w:shd w:val="clear" w:color="auto" w:fill="BEBEBE"/>
            <w:noWrap/>
            <w:vAlign w:val="center"/>
          </w:tcPr>
          <w:p w14:paraId="1CB6490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
                <w:bCs/>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列举评委1纵向偏差率计算</w:t>
            </w:r>
          </w:p>
        </w:tc>
      </w:tr>
      <w:tr w14:paraId="4D54F07F">
        <w:tblPrEx>
          <w:tblCellMar>
            <w:top w:w="0" w:type="dxa"/>
            <w:left w:w="108" w:type="dxa"/>
            <w:bottom w:w="0" w:type="dxa"/>
            <w:right w:w="108" w:type="dxa"/>
          </w:tblCellMar>
        </w:tblPrEx>
        <w:trPr>
          <w:trHeight w:val="472" w:hRule="atLeast"/>
        </w:trPr>
        <w:tc>
          <w:tcPr>
            <w:tcW w:w="2740"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2D53CAE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FFFFFF"/>
            <w:noWrap/>
            <w:vAlign w:val="center"/>
          </w:tcPr>
          <w:p w14:paraId="1F3DF00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【（28.0-26.0）÷28.0】×100%=7.14% </w:t>
            </w:r>
          </w:p>
        </w:tc>
      </w:tr>
      <w:tr w14:paraId="0151F4AF">
        <w:tblPrEx>
          <w:tblCellMar>
            <w:top w:w="0" w:type="dxa"/>
            <w:left w:w="108" w:type="dxa"/>
            <w:bottom w:w="0" w:type="dxa"/>
            <w:right w:w="108" w:type="dxa"/>
          </w:tblCellMar>
        </w:tblPrEx>
        <w:trPr>
          <w:trHeight w:val="412" w:hRule="atLeast"/>
        </w:trPr>
        <w:tc>
          <w:tcPr>
            <w:tcW w:w="8566" w:type="dxa"/>
            <w:gridSpan w:val="7"/>
            <w:tcBorders>
              <w:top w:val="single" w:color="auto" w:sz="4" w:space="0"/>
              <w:left w:val="single" w:color="auto" w:sz="4" w:space="0"/>
              <w:bottom w:val="single" w:color="auto" w:sz="4" w:space="0"/>
              <w:right w:val="single" w:color="auto" w:sz="4" w:space="0"/>
            </w:tcBorders>
            <w:shd w:val="clear" w:color="auto" w:fill="BEBEBE"/>
            <w:noWrap/>
            <w:vAlign w:val="center"/>
          </w:tcPr>
          <w:p w14:paraId="088FF2F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b/>
                <w:bCs/>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列举评委1横向偏差率计算</w:t>
            </w:r>
          </w:p>
        </w:tc>
      </w:tr>
      <w:tr w14:paraId="4A88FDC5">
        <w:tblPrEx>
          <w:tblCellMar>
            <w:top w:w="0" w:type="dxa"/>
            <w:left w:w="108" w:type="dxa"/>
            <w:bottom w:w="0" w:type="dxa"/>
            <w:right w:w="108" w:type="dxa"/>
          </w:tblCellMar>
        </w:tblPrEx>
        <w:trPr>
          <w:trHeight w:val="1017" w:hRule="atLeast"/>
        </w:trPr>
        <w:tc>
          <w:tcPr>
            <w:tcW w:w="1382" w:type="dxa"/>
            <w:gridSpan w:val="2"/>
            <w:vMerge w:val="restart"/>
            <w:tcBorders>
              <w:top w:val="single" w:color="auto" w:sz="4" w:space="0"/>
              <w:left w:val="single" w:color="auto" w:sz="4" w:space="0"/>
              <w:right w:val="single" w:color="auto" w:sz="4" w:space="0"/>
            </w:tcBorders>
            <w:shd w:val="clear" w:color="auto" w:fill="FFFFFF"/>
            <w:noWrap/>
            <w:vAlign w:val="center"/>
          </w:tcPr>
          <w:p w14:paraId="5F35B2D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评委1的</w:t>
            </w:r>
          </w:p>
          <w:p w14:paraId="4B3135B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FFFFFF"/>
            <w:noWrap/>
            <w:vAlign w:val="center"/>
          </w:tcPr>
          <w:p w14:paraId="3119CF4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对投标人1计算横向偏差={28.0-[（30.0+22.0+25.0+20.0）÷4]}÷[（30.0+22.0+25.0+20.0）÷4]×100%={28.0-24.25}÷[24.25]×100%=15.46%</w:t>
            </w:r>
          </w:p>
        </w:tc>
      </w:tr>
      <w:tr w14:paraId="50C474C0">
        <w:tblPrEx>
          <w:tblCellMar>
            <w:top w:w="0" w:type="dxa"/>
            <w:left w:w="108" w:type="dxa"/>
            <w:bottom w:w="0" w:type="dxa"/>
            <w:right w:w="108" w:type="dxa"/>
          </w:tblCellMar>
        </w:tblPrEx>
        <w:trPr>
          <w:trHeight w:val="905" w:hRule="atLeast"/>
        </w:trPr>
        <w:tc>
          <w:tcPr>
            <w:tcW w:w="1382" w:type="dxa"/>
            <w:gridSpan w:val="2"/>
            <w:vMerge w:val="continue"/>
            <w:tcBorders>
              <w:left w:val="single" w:color="auto" w:sz="4" w:space="0"/>
              <w:bottom w:val="single" w:color="auto" w:sz="4" w:space="0"/>
              <w:right w:val="single" w:color="auto" w:sz="4" w:space="0"/>
            </w:tcBorders>
            <w:shd w:val="clear" w:color="auto" w:fill="FFFFFF"/>
            <w:noWrap/>
            <w:vAlign w:val="center"/>
          </w:tcPr>
          <w:p w14:paraId="1C4D95A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FFFFFF"/>
            <w:noWrap/>
            <w:vAlign w:val="center"/>
          </w:tcPr>
          <w:p w14:paraId="0B1DC6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对投标人2计算横向偏差={28.0-[（28.0+28.0+24.0+22.0）÷4]}÷[（28.0+28.0+24.0+22.0）÷4]×100%={28.0-25.50}÷[25.50]×100%=9.80%</w:t>
            </w:r>
          </w:p>
        </w:tc>
      </w:tr>
    </w:tbl>
    <w:p w14:paraId="0DB0A408">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②其次，根据评委技术文件详细评审打分汇总（以下简称“技术打分”），计算打分差值</w:t>
      </w:r>
    </w:p>
    <w:p w14:paraId="33597F5A">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ascii="Times New Roman" w:hAnsi="Times New Roman"/>
          <w:smallCaps w:val="0"/>
          <w:color w:val="000000" w:themeColor="text1"/>
          <w:highlight w:val="none"/>
          <w14:textFill>
            <w14:solidFill>
              <w14:schemeClr w14:val="tx1"/>
            </w14:solidFill>
          </w14:textFill>
        </w:rPr>
        <w:t>a.</w:t>
      </w:r>
      <w:r>
        <w:rPr>
          <w:rFonts w:hint="eastAsia" w:ascii="Times New Roman" w:hAnsi="Times New Roman"/>
          <w:smallCaps w:val="0"/>
          <w:color w:val="000000" w:themeColor="text1"/>
          <w:highlight w:val="none"/>
          <w14:textFill>
            <w14:solidFill>
              <w14:schemeClr w14:val="tx1"/>
            </w14:solidFill>
          </w14:textFill>
        </w:rPr>
        <w:t>当未出现上述①中评委的技术打分不纳入投标人得分计算的情形时，根据评委对其评审的各投标人的技术打分进行排序，计算该评委最高与最低技术打分的差值；</w:t>
      </w:r>
    </w:p>
    <w:p w14:paraId="1AB9BA9E">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所有评委中技术打分差值最大的，其技术打分不纳入投标人得分计算。当出现技术打分差值最大的评委为2名或以上时，则计算该情形的评委次最高与最低技术打分的差值，次差值最大的评委的技术打分不纳入投标人得分计算；如次差值也相同时，则计算该情形的评委次次最高与最低技术打分的差值，次次差值最大的评委的技术打分不纳入投标人得分计算；以此类推。若最终仍然无法判断的，由评标委员会随机确定1位该情形评委的技术打分不纳入投标人得分计算。</w:t>
      </w:r>
    </w:p>
    <w:p w14:paraId="6BB1AECD">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技术打分相同的，一并纳入同情形差值计算（见示例标示）。</w:t>
      </w:r>
    </w:p>
    <w:p w14:paraId="6B32F9A5">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ascii="Times New Roman" w:hAnsi="Times New Roman"/>
          <w:smallCaps w:val="0"/>
          <w:color w:val="000000" w:themeColor="text1"/>
          <w:highlight w:val="none"/>
          <w14:textFill>
            <w14:solidFill>
              <w14:schemeClr w14:val="tx1"/>
            </w14:solidFill>
          </w14:textFill>
        </w:rPr>
        <w:t>b.</w:t>
      </w:r>
      <w:r>
        <w:rPr>
          <w:rFonts w:hint="eastAsia" w:ascii="Times New Roman" w:hAnsi="Times New Roman"/>
          <w:smallCaps w:val="0"/>
          <w:color w:val="000000" w:themeColor="text1"/>
          <w:highlight w:val="none"/>
          <w14:textFill>
            <w14:solidFill>
              <w14:schemeClr w14:val="tx1"/>
            </w14:solidFill>
          </w14:textFill>
        </w:rPr>
        <w:t>当出现上述①中评委的技术打分不纳入投标人得分计算的情形时，不再计算技术打分最大差值，直接进入下一步计算。</w:t>
      </w:r>
    </w:p>
    <w:p w14:paraId="1EA93FBB">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③再次，计算技术文件详细评审得分</w:t>
      </w:r>
    </w:p>
    <w:p w14:paraId="053FD78D">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依据上述①②的判断，按照剩余各评委的技术文件详细评审（本章第2.2.2（1）目）中对应的各评分（评审）因素的打分，去掉一个最高分和一个最低分后计算算术平均值，为该评分（评审）因素的得分；</w:t>
      </w:r>
    </w:p>
    <w:p w14:paraId="2D215D8E">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投标人第2.2.2（1）目得分A为该目中对应各评分（评审）因素得分的和；</w:t>
      </w:r>
    </w:p>
    <w:p w14:paraId="66010C2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投标人技术文件详细评审得分=A。</w:t>
      </w:r>
    </w:p>
    <w:p w14:paraId="57A3A3AF">
      <w:pPr>
        <w:pageBreakBefore w:val="0"/>
        <w:kinsoku/>
        <w:wordWrap w:val="0"/>
        <w:overflowPunct/>
        <w:bidi w:val="0"/>
        <w:rPr>
          <w:rStyle w:val="78"/>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bookmarkStart w:id="640" w:name="_Toc14922"/>
      <w:r>
        <w:rPr>
          <w:rStyle w:val="78"/>
          <w:rFonts w:hint="eastAsia" w:ascii="Times New Roman" w:hAnsi="Times New Roman"/>
          <w:smallCaps w:val="0"/>
          <w:color w:val="000000" w:themeColor="text1"/>
          <w:highlight w:val="none"/>
          <w:lang w:val="en-US" w:eastAsia="zh-CN"/>
          <w14:textFill>
            <w14:solidFill>
              <w14:schemeClr w14:val="tx1"/>
            </w14:solidFill>
          </w14:textFill>
        </w:rPr>
        <w:t>附件2</w:t>
      </w:r>
      <w:r>
        <w:rPr>
          <w:rStyle w:val="78"/>
          <w:rFonts w:hint="eastAsia" w:ascii="Times New Roman" w:hAnsi="Times New Roman"/>
          <w:smallCaps w:val="0"/>
          <w:color w:val="000000" w:themeColor="text1"/>
          <w:highlight w:val="none"/>
          <w:u w:val="none"/>
          <w:lang w:val="en-US" w:eastAsia="zh-CN"/>
          <w14:textFill>
            <w14:solidFill>
              <w14:schemeClr w14:val="tx1"/>
            </w14:solidFill>
          </w14:textFill>
        </w:rPr>
        <w:t>：</w:t>
      </w:r>
      <w:r>
        <w:rPr>
          <w:rStyle w:val="78"/>
          <w:rFonts w:hint="eastAsia" w:ascii="Times New Roman" w:hAnsi="Times New Roman"/>
          <w:smallCaps w:val="0"/>
          <w:color w:val="000000" w:themeColor="text1"/>
          <w:highlight w:val="none"/>
          <w:lang w:val="en-US" w:eastAsia="zh-CN"/>
          <w14:textFill>
            <w14:solidFill>
              <w14:schemeClr w14:val="tx1"/>
            </w14:solidFill>
          </w14:textFill>
        </w:rPr>
        <w:t>确定入围第三阶段报价文件评审的规定</w:t>
      </w:r>
    </w:p>
    <w:bookmarkEnd w:id="640"/>
    <w:p w14:paraId="61DA634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按商务及技术文件评审得分由高到低的顺序，若最终得分为商务及技术文件总分值70%及以上的投标人超过9家（含9家），确定得分为商务及技术文件总分值70%及以上的前9家投标人进入第三阶段报价文件评审；</w:t>
      </w:r>
    </w:p>
    <w:p w14:paraId="7A08F7F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按商务及技术文件评审得分由高到低的顺序，若最终得分为商务及技术文件总分值70%及以上的投标人不足9家（不含9家），得分为商务及技术文件总分值60%及以上的投标人超过9家（含9家），确定得分为商务及技术文件总分值60%及以上的前9家投标人进入第三阶段报价文件评审；</w:t>
      </w:r>
    </w:p>
    <w:p w14:paraId="647ECC1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按商务及技术文件评审得分由高到低的顺序，若最终得分为商务及技术文件总分值60%及以上的投标人不足9家（不含9家），确定得分为商务及技术文件总分值60%及以上的全部投标人进入第三阶段报价文件评审；</w:t>
      </w:r>
    </w:p>
    <w:p w14:paraId="7F9F7E5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最终得分为商务及技术文件总分值60%以下的投标人不予增补；</w:t>
      </w:r>
    </w:p>
    <w:p w14:paraId="4415EBD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符合上述原则得分相同且排序最末的投标人均进入第三阶段报价文件评审。</w:t>
      </w:r>
    </w:p>
    <w:p w14:paraId="2733BBF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如出现进入第三阶段报价文件评审的投标人数量不足3家的，评标委员会将否决所有投标。</w:t>
      </w:r>
    </w:p>
    <w:p w14:paraId="03C24EE6">
      <w:pPr>
        <w:pStyle w:val="79"/>
        <w:pageBreakBefore w:val="0"/>
        <w:kinsoku/>
        <w:wordWrap w:val="0"/>
        <w:overflowPunct/>
        <w:bidi w:val="0"/>
        <w:ind w:left="0" w:leftChars="0" w:firstLine="0" w:firstLineChars="0"/>
        <w:rPr>
          <w:rStyle w:val="78"/>
          <w:rFonts w:hint="eastAsia" w:ascii="Times New Roman" w:hAnsi="Times New Roman"/>
          <w:smallCaps w:val="0"/>
          <w:color w:val="000000" w:themeColor="text1"/>
          <w:highlight w:val="none"/>
          <w:lang w:val="en-US" w:eastAsia="zh-CN"/>
          <w14:textFill>
            <w14:solidFill>
              <w14:schemeClr w14:val="tx1"/>
            </w14:solidFill>
          </w14:textFill>
        </w:rPr>
      </w:pPr>
      <w:r>
        <w:rPr>
          <w:rFonts w:ascii="Times New Roman" w:hAnsi="Times New Roman"/>
          <w:smallCaps w:val="0"/>
          <w:color w:val="000000" w:themeColor="text1"/>
          <w:highlight w:val="none"/>
          <w14:textFill>
            <w14:solidFill>
              <w14:schemeClr w14:val="tx1"/>
            </w14:solidFill>
          </w14:textFill>
        </w:rPr>
        <w:br w:type="page"/>
      </w:r>
      <w:bookmarkStart w:id="641" w:name="_Toc28161"/>
      <w:r>
        <w:rPr>
          <w:rStyle w:val="78"/>
          <w:rFonts w:hint="eastAsia" w:ascii="Times New Roman" w:hAnsi="Times New Roman"/>
          <w:smallCaps w:val="0"/>
          <w:color w:val="000000" w:themeColor="text1"/>
          <w:highlight w:val="none"/>
          <w:lang w:val="en-US" w:eastAsia="zh-CN"/>
          <w14:textFill>
            <w14:solidFill>
              <w14:schemeClr w14:val="tx1"/>
            </w14:solidFill>
          </w14:textFill>
        </w:rPr>
        <w:t>附件3</w:t>
      </w:r>
      <w:r>
        <w:rPr>
          <w:rStyle w:val="78"/>
          <w:rFonts w:hint="eastAsia" w:ascii="Times New Roman" w:hAnsi="Times New Roman"/>
          <w:smallCaps w:val="0"/>
          <w:color w:val="000000" w:themeColor="text1"/>
          <w:highlight w:val="none"/>
          <w:u w:val="none"/>
          <w:lang w:val="en-US" w:eastAsia="zh-CN"/>
          <w14:textFill>
            <w14:solidFill>
              <w14:schemeClr w14:val="tx1"/>
            </w14:solidFill>
          </w14:textFill>
        </w:rPr>
        <w:t>：</w:t>
      </w:r>
      <w:r>
        <w:rPr>
          <w:rStyle w:val="78"/>
          <w:rFonts w:hint="eastAsia" w:ascii="Times New Roman" w:hAnsi="Times New Roman"/>
          <w:smallCaps w:val="0"/>
          <w:color w:val="000000" w:themeColor="text1"/>
          <w:highlight w:val="none"/>
          <w:lang w:val="en-US" w:eastAsia="zh-CN"/>
          <w14:textFill>
            <w14:solidFill>
              <w14:schemeClr w14:val="tx1"/>
            </w14:solidFill>
          </w14:textFill>
        </w:rPr>
        <w:t>否决投标的其他情形</w:t>
      </w:r>
    </w:p>
    <w:bookmarkEnd w:id="641"/>
    <w:p w14:paraId="35A6239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1.评标委员会应对在评标过程中发现的投标人与投标人之间、投标人与招标人之间存在的串通投标的情形进行评审和认定。投标人存在串通投标、弄虚作假、行贿等违法行为的，评标委员会应否决其投标。</w:t>
      </w:r>
    </w:p>
    <w:p w14:paraId="44D747FF">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（1）有下列情形之一的，属于投标人相互串通投标</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3733D70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①投标人之间协商投标报价等投标文件的实质性内容；</w:t>
      </w:r>
    </w:p>
    <w:p w14:paraId="0EE4187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②投标人之间约定中标人；</w:t>
      </w:r>
    </w:p>
    <w:p w14:paraId="1D3E600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③投标人之间约定部分投标人放弃投标或中标；</w:t>
      </w:r>
    </w:p>
    <w:p w14:paraId="105303D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④属于同一集团、协会、商会等组织成员的投标人按照该组织要求协同投标；</w:t>
      </w:r>
    </w:p>
    <w:p w14:paraId="49B0EA3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⑤投标人之间为谋取中标或排斥特定投标人而采取的其他联合行动。</w:t>
      </w:r>
    </w:p>
    <w:p w14:paraId="638B37E5">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（2）有下列情形之一的，视为投标人相互串通投标</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A89590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①不同投标人的投标文件由同一单位或个人编制；</w:t>
      </w:r>
    </w:p>
    <w:p w14:paraId="639C4E9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②不同投标人委托同一单位或个人办理投标事宜；</w:t>
      </w:r>
    </w:p>
    <w:p w14:paraId="476F9CE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③不同投标人的投标文件载明的项目管理成员为同一人；</w:t>
      </w:r>
    </w:p>
    <w:p w14:paraId="4F52C3B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④不同投标人的投标文件异常一致或投标报价呈规律性差异；</w:t>
      </w:r>
    </w:p>
    <w:p w14:paraId="48BE04F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⑤不同投标人的投标文件相互混装；</w:t>
      </w:r>
    </w:p>
    <w:p w14:paraId="3F48084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⑥不同投标人的投标保证金从同一单位或个人的账户转出。</w:t>
      </w:r>
    </w:p>
    <w:p w14:paraId="394E4886">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（3）有下列情形之一的，属于招标人与投标人串通投标</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BCF95C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①招标人在开标前开启投标文件并将有关信息泄露给其他投标人；</w:t>
      </w:r>
    </w:p>
    <w:p w14:paraId="796030F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②招标人直接或间接向投标人泄露标底、评标委员会成员等信息；</w:t>
      </w:r>
    </w:p>
    <w:p w14:paraId="2B0D563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③招标人明示或暗示投标人压低或抬高投标报价；</w:t>
      </w:r>
    </w:p>
    <w:p w14:paraId="215CA32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④招标人授意投标人撤换、修改投标文件；</w:t>
      </w:r>
    </w:p>
    <w:p w14:paraId="037BE54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⑤招标人明示或暗示投标人为特定投标人中标提供方便；</w:t>
      </w:r>
    </w:p>
    <w:p w14:paraId="67BE48F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⑥招标人与投标人为谋求特定投标人中标而采取的其他串通行为。</w:t>
      </w:r>
    </w:p>
    <w:p w14:paraId="7397C294">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（4）投标人有下列情形之一的，属于弄虚作假的行为</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6277BD8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①使用通过受让或租借等方式获取的资格、资质证书投标；</w:t>
      </w:r>
    </w:p>
    <w:p w14:paraId="7FA7CB5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②使用伪造、变造的许可证件；</w:t>
      </w:r>
    </w:p>
    <w:p w14:paraId="7FD3D2B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③提供虚假的财务状况或业绩；</w:t>
      </w:r>
    </w:p>
    <w:p w14:paraId="4FBC114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④提供虚假的项目经理或主要技术人员简历、劳动关系证明；</w:t>
      </w:r>
    </w:p>
    <w:p w14:paraId="7EE3A92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⑤提供虚假的信用状况；</w:t>
      </w:r>
    </w:p>
    <w:p w14:paraId="5640DD0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⑥其他弄虚作假的行为。</w:t>
      </w:r>
    </w:p>
    <w:p w14:paraId="1A9329A3">
      <w:pPr>
        <w:pStyle w:val="79"/>
        <w:pageBreakBefore w:val="0"/>
        <w:kinsoku/>
        <w:wordWrap w:val="0"/>
        <w:overflowPunct/>
        <w:bidi w:val="0"/>
        <w:rPr>
          <w:rFonts w:hint="eastAsia" w:ascii="Times New Roman" w:hAnsi="Times New Roman"/>
          <w:smallCaps w:val="0"/>
          <w:color w:val="000000" w:themeColor="text1"/>
          <w:highlight w:val="none"/>
          <w:u w:val="singl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r>
        <w:rPr>
          <w:rFonts w:hint="eastAsia" w:ascii="Times New Roman" w:hAnsi="Times New Roman"/>
          <w:smallCaps w:val="0"/>
          <w:color w:val="000000" w:themeColor="text1"/>
          <w:highlight w:val="none"/>
          <w:u w:val="single"/>
          <w14:textFill>
            <w14:solidFill>
              <w14:schemeClr w14:val="tx1"/>
            </w14:solidFill>
          </w14:textFill>
        </w:rPr>
        <w:t>……</w:t>
      </w:r>
    </w:p>
    <w:p w14:paraId="25830712">
      <w:pPr>
        <w:pStyle w:val="79"/>
        <w:pageBreakBefore w:val="0"/>
        <w:kinsoku/>
        <w:wordWrap w:val="0"/>
        <w:overflowPunct/>
        <w:bidi w:val="0"/>
        <w:ind w:left="0" w:leftChars="0" w:firstLine="0" w:firstLineChars="0"/>
        <w:rPr>
          <w:rStyle w:val="78"/>
          <w:rFonts w:hint="eastAsia" w:ascii="Times New Roman" w:hAnsi="Times New Roman"/>
          <w:b w:val="0"/>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bookmarkStart w:id="642" w:name="_Toc24215"/>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附件4</w:t>
      </w:r>
      <w:r>
        <w:rPr>
          <w:rStyle w:val="78"/>
          <w:rFonts w:hint="eastAsia" w:ascii="Times New Roman" w:hAnsi="Times New Roman"/>
          <w:b w:val="0"/>
          <w:smallCaps w:val="0"/>
          <w:color w:val="000000" w:themeColor="text1"/>
          <w:highlight w:val="none"/>
          <w:u w:val="none"/>
          <w:lang w:val="en-US" w:eastAsia="zh-CN"/>
          <w14:textFill>
            <w14:solidFill>
              <w14:schemeClr w14:val="tx1"/>
            </w14:solidFill>
          </w14:textFill>
        </w:rPr>
        <w:t>：</w:t>
      </w:r>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异常低价评审</w:t>
      </w:r>
    </w:p>
    <w:bookmarkEnd w:id="642"/>
    <w:p w14:paraId="34FAC468">
      <w:pPr>
        <w:keepNext w:val="0"/>
        <w:keepLines w:val="0"/>
        <w:pageBreakBefore w:val="0"/>
        <w:widowControl w:val="0"/>
        <w:kinsoku/>
        <w:wordWrap w:val="0"/>
        <w:overflowPunct/>
        <w:topLinePunct w:val="0"/>
        <w:autoSpaceDE/>
        <w:autoSpaceDN/>
        <w:bidi w:val="0"/>
        <w:adjustRightInd w:val="0"/>
        <w:snapToGrid/>
        <w:ind w:firstLine="420" w:firstLineChars="200"/>
        <w:jc w:val="left"/>
        <w:textAlignment w:val="auto"/>
        <w:rPr>
          <w:rFonts w:hint="eastAsia"/>
          <w:color w:val="000000" w:themeColor="text1"/>
          <w:sz w:val="21"/>
          <w:szCs w:val="21"/>
          <w:highlight w:val="none"/>
          <w:lang w:val="en-US" w:eastAsia="zh-CN"/>
          <w14:textFill>
            <w14:solidFill>
              <w14:schemeClr w14:val="tx1"/>
            </w14:solidFill>
          </w14:textFill>
        </w:rPr>
      </w:pPr>
    </w:p>
    <w:p w14:paraId="100D3414">
      <w:pPr>
        <w:keepNext w:val="0"/>
        <w:keepLines w:val="0"/>
        <w:pageBreakBefore w:val="0"/>
        <w:widowControl w:val="0"/>
        <w:kinsoku/>
        <w:wordWrap w:val="0"/>
        <w:overflowPunct/>
        <w:topLinePunct w:val="0"/>
        <w:autoSpaceDE/>
        <w:autoSpaceDN/>
        <w:bidi w:val="0"/>
        <w:adjustRightInd w:val="0"/>
        <w:snapToGrid/>
        <w:ind w:firstLine="420" w:firstLineChars="200"/>
        <w:jc w:val="left"/>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详见对应评审项要求</w:t>
      </w:r>
    </w:p>
    <w:p w14:paraId="447F6DC6">
      <w:pPr>
        <w:pStyle w:val="79"/>
        <w:pageBreakBefore w:val="0"/>
        <w:widowControl w:val="0"/>
        <w:kinsoku/>
        <w:wordWrap w:val="0"/>
        <w:overflowPunct/>
        <w:topLinePunct w:val="0"/>
        <w:autoSpaceDE/>
        <w:autoSpaceDN/>
        <w:bidi w:val="0"/>
        <w:snapToGrid/>
        <w:ind w:left="0" w:leftChars="0" w:firstLine="0" w:firstLineChars="0"/>
        <w:textAlignment w:val="auto"/>
        <w:rPr>
          <w:rStyle w:val="78"/>
          <w:rFonts w:hint="eastAsia" w:ascii="Times New Roman" w:hAnsi="Times New Roman"/>
          <w:smallCaps w:val="0"/>
          <w:color w:val="000000" w:themeColor="text1"/>
          <w:highlight w:val="none"/>
          <w:lang w:val="en-US" w:eastAsia="zh-CN"/>
          <w14:textFill>
            <w14:solidFill>
              <w14:schemeClr w14:val="tx1"/>
            </w14:solidFill>
          </w14:textFill>
        </w:rPr>
      </w:pPr>
      <w:r>
        <w:rPr>
          <w:rFonts w:ascii="Times New Roman" w:hAnsi="Times New Roman" w:eastAsia="黑体"/>
          <w:smallCaps w:val="0"/>
          <w:color w:val="000000" w:themeColor="text1"/>
          <w:highlight w:val="none"/>
          <w14:textFill>
            <w14:solidFill>
              <w14:schemeClr w14:val="tx1"/>
            </w14:solidFill>
          </w14:textFill>
        </w:rPr>
        <w:br w:type="page"/>
      </w:r>
      <w:bookmarkStart w:id="643" w:name="_Toc130919116"/>
      <w:bookmarkStart w:id="644" w:name="_Toc9514"/>
      <w:bookmarkStart w:id="645" w:name="_Toc4882"/>
      <w:r>
        <w:rPr>
          <w:rStyle w:val="78"/>
          <w:rFonts w:hint="eastAsia" w:ascii="Times New Roman" w:hAnsi="Times New Roman"/>
          <w:smallCaps w:val="0"/>
          <w:color w:val="000000" w:themeColor="text1"/>
          <w:highlight w:val="none"/>
          <w:lang w:val="en-US" w:eastAsia="zh-CN"/>
          <w14:textFill>
            <w14:solidFill>
              <w14:schemeClr w14:val="tx1"/>
            </w14:solidFill>
          </w14:textFill>
        </w:rPr>
        <w:t>1. 评标方法</w:t>
      </w:r>
      <w:bookmarkEnd w:id="643"/>
      <w:bookmarkEnd w:id="644"/>
    </w:p>
    <w:bookmarkEnd w:id="645"/>
    <w:p w14:paraId="4D1A20C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 本次评标采用综合评估法。</w:t>
      </w:r>
    </w:p>
    <w:p w14:paraId="54FF78A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 评标委员会对所有按规定</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并成功导入评标系统的投标文件进行评审，评审共分为三个阶段。第一阶段为商务及技术文件初步评审；商务及技术文件初步评审通过的进入第二阶段商务及技术文件详细评审评分，按照得分由高到低选择规定数量的投标人进入第三阶段报价文件评审。将第二阶段商务及技术文件得分与第三阶段报价文件得分相加得出综合得分。</w:t>
      </w:r>
    </w:p>
    <w:p w14:paraId="5B3011D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 评标委员会按照综合得分由高到低顺序推荐中标候选人，综合得分相等时，中标候选人排序方法见评标办法前附表；或根据招标人授权直接确定中标人。不得推荐为中标候选人、确定为中标人的情形见本章第3.7款、第3.8.1项。</w:t>
      </w:r>
    </w:p>
    <w:p w14:paraId="7C9CD9D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 本次推荐中标候选人的先后顺序及最多可中标段数量见评标办法前附表。被推荐为第一中标候选人的标段个数已达到最多允许中标的标段个数的投标人，在后续标段不再被推荐为中标候选人，但仍参与评审。</w:t>
      </w:r>
    </w:p>
    <w:p w14:paraId="30EFAAC4">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1.5 评标结束后如有某标段的第一中标候选人发生变化的情况，不影响其他标段排序。</w:t>
      </w:r>
    </w:p>
    <w:p w14:paraId="0DDEBA76">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 招标人应当根据项目的实际情况，在评标办法正文及前附表中列明所有否决投标的情形；第三章“评标</w:t>
      </w:r>
      <w:r>
        <w:rPr>
          <w:rFonts w:hint="eastAsia" w:ascii="Times New Roman" w:hAnsi="Times New Roman"/>
          <w:smallCaps w:val="0"/>
          <w:color w:val="000000" w:themeColor="text1"/>
          <w:highlight w:val="none"/>
          <w:lang w:eastAsia="zh-CN"/>
          <w14:textFill>
            <w14:solidFill>
              <w14:schemeClr w14:val="tx1"/>
            </w14:solidFill>
          </w14:textFill>
        </w:rPr>
        <w:t>及定标</w:t>
      </w:r>
      <w:r>
        <w:rPr>
          <w:rFonts w:hint="eastAsia" w:ascii="Times New Roman" w:hAnsi="Times New Roman"/>
          <w:smallCaps w:val="0"/>
          <w:color w:val="000000" w:themeColor="text1"/>
          <w:highlight w:val="none"/>
          <w14:textFill>
            <w14:solidFill>
              <w14:schemeClr w14:val="tx1"/>
            </w14:solidFill>
          </w14:textFill>
        </w:rPr>
        <w:t>”没有列明的否决投标的情形，一律不得作为评审依据。</w:t>
      </w:r>
    </w:p>
    <w:p w14:paraId="48E6BAE9">
      <w:pPr>
        <w:pStyle w:val="77"/>
        <w:pageBreakBefore w:val="0"/>
        <w:widowControl w:val="0"/>
        <w:kinsoku/>
        <w:wordWrap w:val="0"/>
        <w:overflowPunct/>
        <w:topLinePunct w:val="0"/>
        <w:autoSpaceDE/>
        <w:autoSpaceDN/>
        <w:bidi w:val="0"/>
        <w:snapToGrid/>
        <w:spacing w:before="0"/>
        <w:textAlignment w:val="auto"/>
        <w:rPr>
          <w:rFonts w:hint="eastAsia" w:ascii="Times New Roman" w:hAnsi="Times New Roman"/>
          <w:smallCaps w:val="0"/>
          <w:color w:val="000000" w:themeColor="text1"/>
          <w:highlight w:val="none"/>
          <w14:textFill>
            <w14:solidFill>
              <w14:schemeClr w14:val="tx1"/>
            </w14:solidFill>
          </w14:textFill>
        </w:rPr>
      </w:pPr>
      <w:bookmarkStart w:id="646" w:name="_Toc130919117"/>
      <w:bookmarkStart w:id="647" w:name="_Toc9883"/>
      <w:bookmarkStart w:id="648" w:name="_Toc24906"/>
      <w:r>
        <w:rPr>
          <w:rFonts w:hint="eastAsia" w:ascii="Times New Roman" w:hAnsi="Times New Roman"/>
          <w:smallCaps w:val="0"/>
          <w:color w:val="000000" w:themeColor="text1"/>
          <w:highlight w:val="none"/>
          <w14:textFill>
            <w14:solidFill>
              <w14:schemeClr w14:val="tx1"/>
            </w14:solidFill>
          </w14:textFill>
        </w:rPr>
        <w:t>2. 评审标准</w:t>
      </w:r>
      <w:bookmarkEnd w:id="646"/>
      <w:bookmarkEnd w:id="647"/>
      <w:bookmarkEnd w:id="648"/>
    </w:p>
    <w:p w14:paraId="2F37583E">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2.1 初步评审标准</w:t>
      </w:r>
    </w:p>
    <w:p w14:paraId="0E20AAE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2.1.1 形式评审标准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0498CE2D">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2.1.2 资格评审标准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4BA94E2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2.1.3 响应性评审标准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1EDCE32C">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2.2 详细评审标准</w:t>
      </w:r>
    </w:p>
    <w:p w14:paraId="230E9D04">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2.2.1 商务、技术和报价文件分值构成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3F3553A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2.2.2 商务、技术和报价文件评分标准</w:t>
      </w:r>
    </w:p>
    <w:p w14:paraId="752EE28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（1）技术文件评分标准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1BF547D5">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（2）商务文件评分标准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7DEBA99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（3）报价文件评分标准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见评标办法前附表。</w:t>
      </w:r>
    </w:p>
    <w:p w14:paraId="3D516114">
      <w:pPr>
        <w:pStyle w:val="77"/>
        <w:pageBreakBefore w:val="0"/>
        <w:widowControl w:val="0"/>
        <w:kinsoku/>
        <w:wordWrap w:val="0"/>
        <w:overflowPunct/>
        <w:topLinePunct w:val="0"/>
        <w:autoSpaceDE/>
        <w:autoSpaceDN/>
        <w:bidi w:val="0"/>
        <w:snapToGrid/>
        <w:spacing w:before="0"/>
        <w:textAlignment w:val="auto"/>
        <w:rPr>
          <w:rFonts w:hint="eastAsia" w:ascii="Times New Roman" w:hAnsi="Times New Roman"/>
          <w:smallCaps w:val="0"/>
          <w:color w:val="000000" w:themeColor="text1"/>
          <w:highlight w:val="none"/>
          <w14:textFill>
            <w14:solidFill>
              <w14:schemeClr w14:val="tx1"/>
            </w14:solidFill>
          </w14:textFill>
        </w:rPr>
      </w:pPr>
      <w:bookmarkStart w:id="649" w:name="_Toc19975"/>
      <w:bookmarkStart w:id="650" w:name="_Toc130919118"/>
      <w:bookmarkStart w:id="651" w:name="_Toc21043"/>
      <w:r>
        <w:rPr>
          <w:rFonts w:hint="eastAsia" w:ascii="Times New Roman" w:hAnsi="Times New Roman"/>
          <w:smallCaps w:val="0"/>
          <w:color w:val="000000" w:themeColor="text1"/>
          <w:highlight w:val="none"/>
          <w14:textFill>
            <w14:solidFill>
              <w14:schemeClr w14:val="tx1"/>
            </w14:solidFill>
          </w14:textFill>
        </w:rPr>
        <w:t>3. 评标程序</w:t>
      </w:r>
      <w:bookmarkEnd w:id="649"/>
      <w:bookmarkEnd w:id="650"/>
      <w:bookmarkEnd w:id="651"/>
    </w:p>
    <w:p w14:paraId="265938D4">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3.1 商务及技术文件初步评审</w:t>
      </w:r>
    </w:p>
    <w:p w14:paraId="2C1CD2F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3.1.1 评标委员会依据本章第2.1.1项、第2.1.2项、第2.1.3项规定的评审标准对商务文件进行初步评审。有一项不符合评审标准的，评标委员会应否决其投标。</w:t>
      </w:r>
    </w:p>
    <w:p w14:paraId="204328AD">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3.1.2 评标委员会依据本章第2.1.1项规定的评审标准对技术文件进行初步评审。有一项不符合评审标准的，评标委员会应否决其投标。</w:t>
      </w:r>
    </w:p>
    <w:p w14:paraId="6C8CD521">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3.2 商务及技术文件详细评审</w:t>
      </w:r>
    </w:p>
    <w:p w14:paraId="73849FF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3.2.1 评标委员会按照本章第2.2款规定的量化因素和分值进行打分，并计算出各投标人的商务及技术得分。</w:t>
      </w:r>
    </w:p>
    <w:p w14:paraId="5F8F578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（1）按照本章第2.2.2（1）目规定的评审因素和分值计算出技术文件得分A；</w:t>
      </w:r>
    </w:p>
    <w:p w14:paraId="6D1EA604">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（2）按照本章第2.2.2（2）目规定的评审因素和分值计算出商务文件得分B；</w:t>
      </w:r>
    </w:p>
    <w:p w14:paraId="644B02F5">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3.2.2 得分计算的确定</w:t>
      </w:r>
    </w:p>
    <w:p w14:paraId="21F09DB7">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（1）技术文件详细评审得分计算</w:t>
      </w:r>
    </w:p>
    <w:p w14:paraId="32F4FA6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本章第2.2.2（1）目属于技术文件详细评审内容，技术文件详细评审得分计算规则见评标办法前附表。</w:t>
      </w:r>
    </w:p>
    <w:p w14:paraId="3180173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（2）商务文件详细评审得分计算</w:t>
      </w:r>
    </w:p>
    <w:p w14:paraId="08FC1A6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本章第2.2.2（2）目属于商务文件详细评审内容，投标人第2.2.2（2）目的得分以评标委员会各成员对该目的打分平均值确定。</w:t>
      </w:r>
    </w:p>
    <w:p w14:paraId="3E9D2972">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3.2.3 评委对技术文件评分在招标文件第2.2.2（1）目规定评审总分的90%以上（含）、60%以下（含）的投标人，评委应提出充足的理由，该理由在评标委员会集体讨论并确认后记入评标报告，否则该评委应当且仅就评分理由重新提出充足的理由。</w:t>
      </w:r>
    </w:p>
    <w:p w14:paraId="5A76A71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3.2.4 投标人商务及技术得分=A+B。</w:t>
      </w:r>
    </w:p>
    <w:p w14:paraId="4BE4237A">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3.2.5 确定入围第三阶段报价文件评审的规定见评标办法前附表。</w:t>
      </w:r>
    </w:p>
    <w:p w14:paraId="30AECBAD">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3.3 报价文件公布</w:t>
      </w:r>
    </w:p>
    <w:p w14:paraId="74025AE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商务及技术文件评审结束后，招标人公布所有投标人的投标报价。</w:t>
      </w:r>
    </w:p>
    <w:p w14:paraId="764E1308">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3.4 报价文件初步评审</w:t>
      </w:r>
    </w:p>
    <w:p w14:paraId="0C2EB002">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3.4.1 评标委员会依据本章第2.1.1项、第2.1.3项规定的评审标准对入围第三阶段报价文件评审的投标人报价文件进行初步评审。有一项不符合评审标准的，评标委员会应否决其投标。</w:t>
      </w:r>
    </w:p>
    <w:p w14:paraId="3578E9A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3.4.2 初步评审时，评标委员会应对报价文件进行分析和整理工作（简称“清标”），从而发现并提取其中可能存在的对招标范围理解的偏差、投标报价的算术性错误、缺漏项、投标报价构成不合理、不平衡报价等存在明显异常的问题，并就这些问题整理形成清标成果。评标委员会对清标成果审议后，决定需要投标人进行澄清、说明的问题，向投标人发出问题澄清通知。清标工作可以使用计算机评标系统辅助评标委员会完成。</w:t>
      </w:r>
    </w:p>
    <w:p w14:paraId="31DA3D8B">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3.4.3 清标的内容和步骤</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21401E6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（1）投标文件在符合性、响应性等方面存在的偏差；</w:t>
      </w:r>
    </w:p>
    <w:p w14:paraId="2985C07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（2）投标文件存在的算术计算错误和修正结果；</w:t>
      </w:r>
    </w:p>
    <w:p w14:paraId="5E44F5BF">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（3）在列出的所有偏差中，属于重大偏差的情形和相关依据；在列出的所有偏差中，属于细微偏差的情形；</w:t>
      </w:r>
    </w:p>
    <w:p w14:paraId="36697E1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（4）评标委员会审核确认清标结果。</w:t>
      </w:r>
    </w:p>
    <w:p w14:paraId="5EC17E5C">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3.4.4 除按照第二章“投标人须知”第1.12.3项、第1.12.4项对细微偏差进行处理外，对于其他细微偏差按照以下规定处理</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CF67BC6">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（1）投标文件中填报的工程量清单报价书中的分部分项工程量清单项目名称、项目特征描述、计量单位及工程量等与招标人提供的工程量清单出现非实质性内容不一致时，以招标人提供的内容为准；</w:t>
      </w:r>
    </w:p>
    <w:p w14:paraId="187D95F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（2）投标文件中填报的投标报价前后不一致时，以投标函填报的为准； </w:t>
      </w:r>
    </w:p>
    <w:p w14:paraId="0DA700AC">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（3）投标报价计算错误的修正</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7A1BAE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①投标文件中的大写金额与小写金额不一致的，以大写金额为准；</w:t>
      </w:r>
    </w:p>
    <w:p w14:paraId="0CB3CFC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②总价金额与依据单价计算出的结果不一致的，以单价金额为准修正总价，但单价金额小数点有明显错误的除外；</w:t>
      </w:r>
    </w:p>
    <w:p w14:paraId="0525BE40">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③当单价与数量相乘不等于合价时，以单价计算为准，如果单价有明显的小数点位置差错，应以标出的合价为准，同时对单价予以修正；</w:t>
      </w:r>
    </w:p>
    <w:p w14:paraId="5D5D7358">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④当各子目的合价累计不等于总价时，应以各子目合价累计数为准，修正总价；</w:t>
      </w:r>
    </w:p>
    <w:p w14:paraId="3EDB64F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⑤工程量清单报价表中综合单价与工程量清单项目综合单价分析表相对应综合单价不一致时，以工程量清单项目综合单价分析表中标出的综合单价为准，但综合单价金额有明显错误的除外。</w:t>
      </w:r>
    </w:p>
    <w:p w14:paraId="397EFE5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（4）投标报价存在细微偏差的，评标委员会按照以上原则对投标报价进行处理，并要求投标人澄清确认，投标人拒不澄清确认的，评标委员会应当否决其投标。</w:t>
      </w:r>
    </w:p>
    <w:p w14:paraId="4F1AF669">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3.5 报价文件详细评审</w:t>
      </w:r>
    </w:p>
    <w:p w14:paraId="7734C6D3">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3.5.1 评标委员会按照本章第2.2.2（3）目规定的评审因素和分值对入围第三阶段报价文件评审且报价文件初步评审通过的投标人报价文件进行详细评审，计算出报价文件得分C</w:t>
      </w:r>
      <w:r>
        <w:rPr>
          <w:rStyle w:val="28"/>
          <w:rFonts w:hint="eastAsia" w:ascii="Times New Roman" w:hAnsi="Times New Roman" w:cs="宋体"/>
          <w:smallCaps w:val="0"/>
          <w:color w:val="000000" w:themeColor="text1"/>
          <w:szCs w:val="21"/>
          <w:highlight w:val="none"/>
          <w:u w:val="none"/>
          <w14:textFill>
            <w14:solidFill>
              <w14:schemeClr w14:val="tx1"/>
            </w14:solidFill>
          </w14:textFill>
        </w:rPr>
        <w:footnoteReference w:id="58"/>
      </w:r>
      <w:r>
        <w:rPr>
          <w:rFonts w:hint="eastAsia" w:ascii="Times New Roman" w:hAnsi="Times New Roman"/>
          <w:smallCaps w:val="0"/>
          <w:color w:val="000000" w:themeColor="text1"/>
          <w:highlight w:val="none"/>
          <w14:textFill>
            <w14:solidFill>
              <w14:schemeClr w14:val="tx1"/>
            </w14:solidFill>
          </w14:textFill>
        </w:rPr>
        <w:t>；报价文件得分C保留小数点后两位，小数点后第三位“四舍五入”。</w:t>
      </w:r>
    </w:p>
    <w:p w14:paraId="4A7A7B7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3.5.2 评标委员会发现投标人的报价明显低于其他投标报价，使得其投标报价可能低于其个别成本的，应当要求该投标人作出说明并提供相应的证明材料。投标人不能合理说明或者不能提供相应证明材料的，评标委员会应当认定该投标人以低于成本报价竞标，否决其投标。</w:t>
      </w:r>
    </w:p>
    <w:p w14:paraId="18FEE5E7">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3.6 投标文件的澄清、说明或补正</w:t>
      </w:r>
    </w:p>
    <w:p w14:paraId="73831008">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3.6.1 在评标过程中，评标委员会可以要求投标人对投标文件中含义不明确、对同类问题表述不一致或者有明显文字和计算错误的内容作必要的澄清、说明或补正。评标委员会不接受投标人主动提出的澄清、说明或补正。</w:t>
      </w:r>
    </w:p>
    <w:p w14:paraId="2B942B34">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3.6.2 澄清、说明或补正不得超出投标文件的范围且不得改变投标文件的实质性内容，并构成投标文件的组成部分。</w:t>
      </w:r>
    </w:p>
    <w:p w14:paraId="24A9418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3.6.3 评标委员会对投标人提交的澄清、说明或补正有疑问的，可以要求投标人进一步澄清、说明或补正，直至满足评标委员会的要求。</w:t>
      </w:r>
    </w:p>
    <w:p w14:paraId="18312EBB">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3.7 否决投标的情形</w:t>
      </w:r>
    </w:p>
    <w:p w14:paraId="12BEE5A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3.7.1 投标人不符合本章第3.1款、第3.4款的，评标委员会应否决其投标。</w:t>
      </w:r>
    </w:p>
    <w:p w14:paraId="2E25521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3.7.2 否决投标的其他情形，见评标办法前附表。</w:t>
      </w:r>
    </w:p>
    <w:p w14:paraId="1BD2E54A">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3.7.3 投标人未通过本章第3.5.2项评审的，评标委员会应否决其投标。</w:t>
      </w:r>
    </w:p>
    <w:p w14:paraId="0A121F45">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3.7.4 投标人未通过异常低价评审的，评标委员会应否决其投标，不得推荐为中标候选人、确定为中标人。异常低价评审见评标办法前附表。</w:t>
      </w:r>
    </w:p>
    <w:p w14:paraId="77CAF82F">
      <w:pPr>
        <w:pStyle w:val="77"/>
        <w:pageBreakBefore w:val="0"/>
        <w:widowControl w:val="0"/>
        <w:kinsoku/>
        <w:wordWrap w:val="0"/>
        <w:overflowPunct/>
        <w:topLinePunct w:val="0"/>
        <w:autoSpaceDE/>
        <w:autoSpaceDN/>
        <w:bidi w:val="0"/>
        <w:snapToGrid/>
        <w:spacing w:before="0"/>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3.8 评标结果</w:t>
      </w:r>
    </w:p>
    <w:p w14:paraId="6A2097C3">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3.8.1 评标委员会对拟推荐的中标候选人进行查询，存在投标人须知第1.4.4项规定情形的，不得推荐为中标候选人，查询要求如下</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53ABEC6">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（1）评标委员会仅通过投标人须知第1.4.4项</w:t>
      </w:r>
      <w:r>
        <w:rPr>
          <w:rFonts w:hint="eastAsia" w:ascii="Times New Roman" w:hAnsi="Times New Roman"/>
          <w:smallCaps w:val="0"/>
          <w:color w:val="000000" w:themeColor="text1"/>
          <w:highlight w:val="none"/>
          <w:lang w:eastAsia="zh-CN"/>
          <w14:textFill>
            <w14:solidFill>
              <w14:schemeClr w14:val="tx1"/>
            </w14:solidFill>
          </w14:textFill>
        </w:rPr>
        <w:t>规定的网站</w:t>
      </w:r>
      <w:r>
        <w:rPr>
          <w:rFonts w:hint="eastAsia" w:ascii="Times New Roman" w:hAnsi="Times New Roman"/>
          <w:smallCaps w:val="0"/>
          <w:color w:val="000000" w:themeColor="text1"/>
          <w:highlight w:val="none"/>
          <w14:textFill>
            <w14:solidFill>
              <w14:schemeClr w14:val="tx1"/>
            </w14:solidFill>
          </w14:textFill>
        </w:rPr>
        <w:t>查询拟推荐中标候选人是否被列入严重违法失信名单，并将查询截图及查询结果在评标报告中予以记录；</w:t>
      </w:r>
    </w:p>
    <w:p w14:paraId="689B94CB">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评标委员会仅通过“信用中国”查询拟推荐中标候选人是否被列为失信被执行人、确定为重大税收违法失信主体、列入拖欠农民工工资失信联合惩戒对象名单，并将查询截图及查询结果在评标报告中予以记录；</w:t>
      </w:r>
    </w:p>
    <w:p w14:paraId="3C81316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（3）其他要求见投标人须知前附表第1.4.4（5）目。</w:t>
      </w:r>
    </w:p>
    <w:p w14:paraId="42151D31">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除第二章投标人须知前附表授权直接确定中标人外，评标委员会按照评标办法的规定推荐中标候选人，并标明排列排序。</w:t>
      </w:r>
    </w:p>
    <w:p w14:paraId="6C871688">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3.8.2 评标委员会完成评标后，应当向招标人提交评标报告。</w:t>
      </w:r>
      <w:r>
        <w:rPr>
          <w:rFonts w:hint="eastAsia" w:ascii="Times New Roman" w:hAnsi="Times New Roman"/>
          <w:smallCaps w:val="0"/>
          <w:color w:val="000000" w:themeColor="text1"/>
          <w:highlight w:val="none"/>
          <w:lang w:val="en-US" w:eastAsia="zh-CN"/>
          <w14:textFill>
            <w14:solidFill>
              <w14:schemeClr w14:val="tx1"/>
            </w14:solidFill>
          </w14:textFill>
        </w:rPr>
        <w:t>评标报告应当如实载明以下内容</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727077ED">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（1）基本情况和数据表；</w:t>
      </w:r>
    </w:p>
    <w:p w14:paraId="7DB826B5">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（2）评标委员会成员名单；</w:t>
      </w:r>
    </w:p>
    <w:p w14:paraId="0543E048">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（3）开标记录；</w:t>
      </w:r>
    </w:p>
    <w:p w14:paraId="10EFB7BA">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（4）符合要求的投标人一览表；</w:t>
      </w:r>
    </w:p>
    <w:p w14:paraId="17D4D241">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（5）否决投标情况说明；</w:t>
      </w:r>
    </w:p>
    <w:p w14:paraId="413F3A56">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（6）评标标准、评标方法或者评标因素一览表；</w:t>
      </w:r>
    </w:p>
    <w:p w14:paraId="0878640D">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（7）评分情况一览表；</w:t>
      </w:r>
    </w:p>
    <w:p w14:paraId="4D9E53F2">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（8）经评审的投标人排序；</w:t>
      </w:r>
    </w:p>
    <w:p w14:paraId="4C4DC377">
      <w:pPr>
        <w:pStyle w:val="79"/>
        <w:pageBreakBefore w:val="0"/>
        <w:widowControl w:val="0"/>
        <w:kinsoku/>
        <w:wordWrap w:val="0"/>
        <w:overflowPunct/>
        <w:topLinePunct w:val="0"/>
        <w:autoSpaceDE/>
        <w:autoSpaceDN/>
        <w:bidi w:val="0"/>
        <w:snapToGrid/>
        <w:spacing w:line="400" w:lineRule="exact"/>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（9）推荐的中标候选人名单与签订合同前要处理的事宜；</w:t>
      </w:r>
    </w:p>
    <w:p w14:paraId="4F338309">
      <w:pPr>
        <w:pStyle w:val="79"/>
        <w:pageBreakBefore w:val="0"/>
        <w:widowControl w:val="0"/>
        <w:kinsoku/>
        <w:wordWrap w:val="0"/>
        <w:overflowPunct/>
        <w:topLinePunct w:val="0"/>
        <w:autoSpaceDE/>
        <w:autoSpaceDN/>
        <w:bidi w:val="0"/>
        <w:snapToGrid/>
        <w:textAlignment w:val="auto"/>
        <w:rPr>
          <w:rFonts w:hint="eastAsia" w:ascii="Times New Roman" w:hAnsi="Times New Roman" w:eastAsia="宋体" w:cs="宋体"/>
          <w:b w:val="0"/>
          <w:bCs/>
          <w:smallCaps w:val="0"/>
          <w:color w:val="000000" w:themeColor="text1"/>
          <w:kern w:val="2"/>
          <w:szCs w:val="24"/>
          <w:highlight w:val="none"/>
          <w:u w:val="none"/>
          <w:lang w:val="en-US" w:eastAsia="zh-CN" w:bidi="ar"/>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（10）澄清、说明事项纪要。</w:t>
      </w:r>
    </w:p>
    <w:p w14:paraId="2A065F9E">
      <w:pPr>
        <w:pStyle w:val="40"/>
        <w:pageBreakBefore w:val="0"/>
        <w:numPr>
          <w:ilvl w:val="0"/>
          <w:numId w:val="9"/>
        </w:numPr>
        <w:kinsoku/>
        <w:wordWrap w:val="0"/>
        <w:overflowPunct/>
        <w:bidi w:val="0"/>
        <w:rPr>
          <w:rFonts w:hint="eastAsia"/>
          <w:color w:val="000000" w:themeColor="text1"/>
          <w:highlight w:val="none"/>
          <w:lang w:val="en-US" w:eastAsia="zh-CN"/>
          <w14:textFill>
            <w14:solidFill>
              <w14:schemeClr w14:val="tx1"/>
            </w14:solidFill>
          </w14:textFill>
        </w:rPr>
      </w:pPr>
      <w:bookmarkStart w:id="652" w:name="_Toc28799375"/>
      <w:r>
        <w:rPr>
          <w:rFonts w:hint="eastAsia" w:ascii="Times New Roman" w:hAnsi="Times New Roman" w:eastAsia="宋体" w:cs="宋体"/>
          <w:bCs/>
          <w:smallCaps w:val="0"/>
          <w:color w:val="000000" w:themeColor="text1"/>
          <w:szCs w:val="24"/>
          <w:highlight w:val="none"/>
          <w14:textFill>
            <w14:solidFill>
              <w14:schemeClr w14:val="tx1"/>
            </w14:solidFill>
          </w14:textFill>
        </w:rPr>
        <w:br w:type="page"/>
      </w:r>
      <w:bookmarkEnd w:id="652"/>
      <w:bookmarkStart w:id="653" w:name="_Toc152042387"/>
      <w:bookmarkStart w:id="654" w:name="_Toc144974577"/>
      <w:bookmarkStart w:id="655" w:name="_Toc179632627"/>
      <w:bookmarkStart w:id="656" w:name="_Toc152045609"/>
      <w:bookmarkStart w:id="657" w:name="_Toc21275"/>
      <w:bookmarkStart w:id="658" w:name="_Toc28799376"/>
      <w:bookmarkStart w:id="659" w:name="_Toc4492"/>
      <w:bookmarkStart w:id="660" w:name="_Toc1973"/>
      <w:r>
        <w:rPr>
          <w:rFonts w:hint="eastAsia"/>
          <w:color w:val="000000" w:themeColor="text1"/>
          <w:highlight w:val="none"/>
          <w:lang w:val="en-US" w:eastAsia="zh-CN"/>
          <w14:textFill>
            <w14:solidFill>
              <w14:schemeClr w14:val="tx1"/>
            </w14:solidFill>
          </w14:textFill>
        </w:rPr>
        <w:t xml:space="preserve">  </w:t>
      </w:r>
      <w:bookmarkStart w:id="661" w:name="_Toc10320"/>
      <w:r>
        <w:rPr>
          <w:rFonts w:hint="eastAsia"/>
          <w:color w:val="000000" w:themeColor="text1"/>
          <w:highlight w:val="none"/>
          <w:lang w:val="en-US" w:eastAsia="zh-CN"/>
          <w14:textFill>
            <w14:solidFill>
              <w14:schemeClr w14:val="tx1"/>
            </w14:solidFill>
          </w14:textFill>
        </w:rPr>
        <w:t>合同条款及格式</w:t>
      </w:r>
      <w:bookmarkEnd w:id="653"/>
      <w:bookmarkEnd w:id="654"/>
      <w:bookmarkEnd w:id="655"/>
      <w:bookmarkEnd w:id="656"/>
      <w:bookmarkEnd w:id="661"/>
    </w:p>
    <w:p w14:paraId="39E4F860">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both"/>
        <w:textAlignment w:val="auto"/>
        <w:rPr>
          <w:rFonts w:hint="eastAsia"/>
          <w:color w:val="000000" w:themeColor="text1"/>
          <w:highlight w:val="none"/>
          <w:lang w:val="en-US" w:eastAsia="zh-CN"/>
          <w14:textFill>
            <w14:solidFill>
              <w14:schemeClr w14:val="tx1"/>
            </w14:solidFill>
          </w14:textFill>
        </w:rPr>
      </w:pPr>
    </w:p>
    <w:p w14:paraId="081E97E1">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both"/>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使用要求：招标文件投标人须知前附表中已经明确的合同条款必须与招标文件的主要合同条款一致。</w:t>
      </w:r>
    </w:p>
    <w:p w14:paraId="330276B0">
      <w:pPr>
        <w:pageBreakBefore w:val="0"/>
        <w:kinsoku/>
        <w:wordWrap w:val="0"/>
        <w:overflowPunct/>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14:paraId="752838B7">
      <w:pPr>
        <w:pStyle w:val="40"/>
        <w:pageBreakBefore w:val="0"/>
        <w:kinsoku/>
        <w:wordWrap w:val="0"/>
        <w:overflowPunct/>
        <w:bidi w:val="0"/>
        <w:outlineLvl w:val="1"/>
        <w:rPr>
          <w:rFonts w:hint="eastAsia" w:ascii="Times New Roman" w:hAnsi="Times New Roman"/>
          <w:smallCaps w:val="0"/>
          <w:color w:val="000000" w:themeColor="text1"/>
          <w:highlight w:val="none"/>
          <w:lang w:val="en-US" w:eastAsia="zh-CN"/>
          <w14:textFill>
            <w14:solidFill>
              <w14:schemeClr w14:val="tx1"/>
            </w14:solidFill>
          </w14:textFill>
        </w:rPr>
      </w:pPr>
      <w:bookmarkStart w:id="662" w:name="_Toc21084"/>
      <w:r>
        <w:rPr>
          <w:rFonts w:hint="eastAsia" w:ascii="Times New Roman" w:hAnsi="Times New Roman"/>
          <w:smallCaps w:val="0"/>
          <w:color w:val="000000" w:themeColor="text1"/>
          <w:highlight w:val="none"/>
          <w:lang w:val="en-US" w:eastAsia="zh-CN"/>
          <w14:textFill>
            <w14:solidFill>
              <w14:schemeClr w14:val="tx1"/>
            </w14:solidFill>
          </w14:textFill>
        </w:rPr>
        <w:t>第一节  合同协议书</w:t>
      </w:r>
      <w:bookmarkEnd w:id="657"/>
      <w:bookmarkEnd w:id="658"/>
      <w:bookmarkEnd w:id="659"/>
      <w:bookmarkEnd w:id="660"/>
      <w:bookmarkEnd w:id="662"/>
    </w:p>
    <w:p w14:paraId="72AA154A">
      <w:pPr>
        <w:pageBreakBefore w:val="0"/>
        <w:kinsoku/>
        <w:wordWrap w:val="0"/>
        <w:overflowPunct/>
        <w:bidi w:val="0"/>
        <w:adjustRightInd/>
        <w:spacing w:line="400" w:lineRule="exact"/>
        <w:jc w:val="center"/>
        <w:rPr>
          <w:rFonts w:hint="eastAsia" w:ascii="Times New Roman" w:hAnsi="Times New Roman" w:eastAsia="黑体"/>
          <w:smallCaps w:val="0"/>
          <w:color w:val="000000" w:themeColor="text1"/>
          <w:sz w:val="28"/>
          <w:szCs w:val="28"/>
          <w:highlight w:val="none"/>
          <w14:textFill>
            <w14:solidFill>
              <w14:schemeClr w14:val="tx1"/>
            </w14:solidFill>
          </w14:textFill>
        </w:rPr>
      </w:pPr>
    </w:p>
    <w:p w14:paraId="486FFDE6">
      <w:pPr>
        <w:pStyle w:val="79"/>
        <w:pageBreakBefore w:val="0"/>
        <w:kinsoku/>
        <w:wordWrap w:val="0"/>
        <w:overflowPunct/>
        <w:bidi w:val="0"/>
        <w:ind w:left="0" w:leftChars="0" w:firstLine="0" w:firstLineChars="0"/>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发包人（全称）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p w14:paraId="184D9C46">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承包人（全称）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p w14:paraId="54982C30">
      <w:pPr>
        <w:pageBreakBefore w:val="0"/>
        <w:kinsoku/>
        <w:wordWrap w:val="0"/>
        <w:overflowPunct/>
        <w:bidi w:val="0"/>
        <w:spacing w:line="360" w:lineRule="auto"/>
        <w:rPr>
          <w:rFonts w:hint="eastAsia" w:ascii="Times New Roman" w:hAnsi="Times New Roman" w:cs="宋体"/>
          <w:smallCaps w:val="0"/>
          <w:color w:val="000000" w:themeColor="text1"/>
          <w:szCs w:val="21"/>
          <w:highlight w:val="none"/>
          <w:u w:val="single"/>
          <w14:textFill>
            <w14:solidFill>
              <w14:schemeClr w14:val="tx1"/>
            </w14:solidFill>
          </w14:textFill>
        </w:rPr>
      </w:pPr>
    </w:p>
    <w:p w14:paraId="770E8D32">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根据《中华人民共和国民法典》《中华人民共和国建筑法》及有关法律规定，遵循平等、自愿、公平和诚实信用的原则，双方就</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工程施工及有关事项协商一致，共同达成如下协议</w:t>
      </w:r>
      <w:bookmarkStart w:id="663" w:name="_Toc351203481"/>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D497FB7">
      <w:pPr>
        <w:pStyle w:val="77"/>
        <w:pageBreakBefore w:val="0"/>
        <w:kinsoku/>
        <w:wordWrap w:val="0"/>
        <w:overflowPunct/>
        <w:bidi w:val="0"/>
        <w:outlineLvl w:val="2"/>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一、工程概况</w:t>
      </w:r>
      <w:bookmarkEnd w:id="663"/>
    </w:p>
    <w:p w14:paraId="04D9C9D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工程名称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6C5FE8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工程地点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C48D4D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 工程立项批准文号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22BD15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 资金来源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B3BA02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 工程内容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9973D7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群体工程应附《承包人承揽工程项目一览表》（附件1）。</w:t>
      </w:r>
    </w:p>
    <w:p w14:paraId="74CD221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 工程承包范围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F1A57F5">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64" w:name="_Toc351203482"/>
      <w:r>
        <w:rPr>
          <w:rFonts w:hint="eastAsia" w:ascii="Times New Roman" w:hAnsi="Times New Roman"/>
          <w:b w:val="0"/>
          <w:smallCaps w:val="0"/>
          <w:color w:val="000000" w:themeColor="text1"/>
          <w:sz w:val="24"/>
          <w:szCs w:val="24"/>
          <w:highlight w:val="none"/>
          <w14:textFill>
            <w14:solidFill>
              <w14:schemeClr w14:val="tx1"/>
            </w14:solidFill>
          </w14:textFill>
        </w:rPr>
        <w:t>二、合同工期</w:t>
      </w:r>
      <w:bookmarkEnd w:id="664"/>
    </w:p>
    <w:p w14:paraId="6630810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计划开工日期</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23573E9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计划竣工日期</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7DE5D5A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工期总日历天数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天。工期总日历天数与根据前述计划开竣工日期计算的工期天数不一致的，以工期总日历天数为准。</w:t>
      </w:r>
    </w:p>
    <w:p w14:paraId="2A3A578F">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65" w:name="_Toc351203483"/>
      <w:r>
        <w:rPr>
          <w:rFonts w:hint="eastAsia" w:ascii="Times New Roman" w:hAnsi="Times New Roman"/>
          <w:b w:val="0"/>
          <w:smallCaps w:val="0"/>
          <w:color w:val="000000" w:themeColor="text1"/>
          <w:sz w:val="24"/>
          <w:szCs w:val="24"/>
          <w:highlight w:val="none"/>
          <w14:textFill>
            <w14:solidFill>
              <w14:schemeClr w14:val="tx1"/>
            </w14:solidFill>
          </w14:textFill>
        </w:rPr>
        <w:t>三、质量标准</w:t>
      </w:r>
      <w:bookmarkEnd w:id="665"/>
    </w:p>
    <w:p w14:paraId="6171DB2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工程质量符合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标准。</w:t>
      </w:r>
    </w:p>
    <w:p w14:paraId="1BF54817">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66" w:name="_Toc351203484"/>
      <w:r>
        <w:rPr>
          <w:rFonts w:hint="eastAsia" w:ascii="Times New Roman" w:hAnsi="Times New Roman"/>
          <w:b w:val="0"/>
          <w:smallCaps w:val="0"/>
          <w:color w:val="000000" w:themeColor="text1"/>
          <w:sz w:val="24"/>
          <w:szCs w:val="24"/>
          <w:highlight w:val="none"/>
          <w14:textFill>
            <w14:solidFill>
              <w14:schemeClr w14:val="tx1"/>
            </w14:solidFill>
          </w14:textFill>
        </w:rPr>
        <w:t>四、签约合同价与合同价格形式</w:t>
      </w:r>
      <w:bookmarkEnd w:id="666"/>
    </w:p>
    <w:p w14:paraId="54621420">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签约合同价为</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984F0B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p>
    <w:p w14:paraId="0C3ACBEF">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其中</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4887579">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（1）安全文明施工费</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574592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p>
    <w:p w14:paraId="24593999">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（2）材料和工程设备暂估价金额</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647057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p>
    <w:p w14:paraId="4257C556">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（3）专业工程暂估价金额</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2C68F1A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p>
    <w:p w14:paraId="65A19DC7">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（4）暂列金额</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9232090">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r>
        <w:rPr>
          <w:rFonts w:hint="eastAsia" w:ascii="Times New Roman" w:hAnsi="Times New Roman"/>
          <w:smallCaps w:val="0"/>
          <w:color w:val="000000" w:themeColor="text1"/>
          <w:highlight w:val="none"/>
          <w:lang w:eastAsia="zh-CN"/>
          <w14:textFill>
            <w14:solidFill>
              <w14:schemeClr w14:val="tx1"/>
            </w14:solidFill>
          </w14:textFill>
        </w:rPr>
        <w:t>；</w:t>
      </w:r>
    </w:p>
    <w:p w14:paraId="63B8888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（5）BIM技术应用费用：</w:t>
      </w:r>
    </w:p>
    <w:p w14:paraId="7BCADBCD">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人民币（大写）</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p>
    <w:p w14:paraId="45FEECD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合同价格形式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503C684">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67" w:name="_Toc351203485"/>
      <w:r>
        <w:rPr>
          <w:rFonts w:hint="eastAsia" w:ascii="Times New Roman" w:hAnsi="Times New Roman"/>
          <w:b w:val="0"/>
          <w:smallCaps w:val="0"/>
          <w:color w:val="000000" w:themeColor="text1"/>
          <w:sz w:val="24"/>
          <w:szCs w:val="24"/>
          <w:highlight w:val="none"/>
          <w14:textFill>
            <w14:solidFill>
              <w14:schemeClr w14:val="tx1"/>
            </w14:solidFill>
          </w14:textFill>
        </w:rPr>
        <w:t>五、</w:t>
      </w:r>
      <w:bookmarkEnd w:id="667"/>
      <w:r>
        <w:rPr>
          <w:rFonts w:hint="eastAsia" w:ascii="Times New Roman" w:hAnsi="Times New Roman"/>
          <w:b w:val="0"/>
          <w:smallCaps w:val="0"/>
          <w:color w:val="000000" w:themeColor="text1"/>
          <w:sz w:val="24"/>
          <w:szCs w:val="24"/>
          <w:highlight w:val="none"/>
          <w14:textFill>
            <w14:solidFill>
              <w14:schemeClr w14:val="tx1"/>
            </w14:solidFill>
          </w14:textFill>
        </w:rPr>
        <w:t>项目经理</w:t>
      </w:r>
    </w:p>
    <w:p w14:paraId="3E3AC90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承包人项目经理</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73282B4">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68" w:name="_Toc351203486"/>
      <w:r>
        <w:rPr>
          <w:rFonts w:hint="eastAsia" w:ascii="Times New Roman" w:hAnsi="Times New Roman"/>
          <w:b w:val="0"/>
          <w:smallCaps w:val="0"/>
          <w:color w:val="000000" w:themeColor="text1"/>
          <w:sz w:val="24"/>
          <w:szCs w:val="24"/>
          <w:highlight w:val="none"/>
          <w14:textFill>
            <w14:solidFill>
              <w14:schemeClr w14:val="tx1"/>
            </w14:solidFill>
          </w14:textFill>
        </w:rPr>
        <w:t>六、合同文件构成</w:t>
      </w:r>
      <w:bookmarkEnd w:id="668"/>
    </w:p>
    <w:p w14:paraId="7D215DAB">
      <w:pPr>
        <w:pStyle w:val="79"/>
        <w:pageBreakBefore w:val="0"/>
        <w:kinsoku/>
        <w:wordWrap w:val="0"/>
        <w:overflowPunct/>
        <w:bidi w:val="0"/>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本协议书与下列文件一起构成合同文件</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11333FB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（1）中标通知书（如果有）；</w:t>
      </w:r>
    </w:p>
    <w:p w14:paraId="4282C56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（2）投标函及其附录（如果有）； </w:t>
      </w:r>
    </w:p>
    <w:p w14:paraId="30D3F22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（3）专用合同条款及其附件；</w:t>
      </w:r>
    </w:p>
    <w:p w14:paraId="06ED4FE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（4）通用合同条款；</w:t>
      </w:r>
    </w:p>
    <w:p w14:paraId="0EF09A4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（5）技术标准和要求；</w:t>
      </w:r>
    </w:p>
    <w:p w14:paraId="3D18A4C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（6）图纸；</w:t>
      </w:r>
    </w:p>
    <w:p w14:paraId="4C89298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（7）已标价工程量清单或预算书；</w:t>
      </w:r>
    </w:p>
    <w:p w14:paraId="67BE107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（8）其他合同文件。</w:t>
      </w:r>
    </w:p>
    <w:p w14:paraId="4ED4E5A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在合同订立及履行过程中形成的与合同有关的文件均构成合同文件组成部分。</w:t>
      </w:r>
    </w:p>
    <w:p w14:paraId="6D36CBC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7BDF892E">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69" w:name="_Toc351203487"/>
      <w:r>
        <w:rPr>
          <w:rFonts w:hint="eastAsia" w:ascii="Times New Roman" w:hAnsi="Times New Roman"/>
          <w:b w:val="0"/>
          <w:smallCaps w:val="0"/>
          <w:color w:val="000000" w:themeColor="text1"/>
          <w:sz w:val="24"/>
          <w:szCs w:val="24"/>
          <w:highlight w:val="none"/>
          <w14:textFill>
            <w14:solidFill>
              <w14:schemeClr w14:val="tx1"/>
            </w14:solidFill>
          </w14:textFill>
        </w:rPr>
        <w:t>七、承诺</w:t>
      </w:r>
      <w:bookmarkEnd w:id="669"/>
    </w:p>
    <w:p w14:paraId="1D18E95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发包人承诺按照法律规定履行项目审批手续、筹集工程建设资金并按照合同约定的期限和方式支付合同价款。</w:t>
      </w:r>
    </w:p>
    <w:p w14:paraId="4BF0508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承包人承诺按照法律规定及合同约定组织完成工程施工，确保工程质量和安全，不进行转包及违法分包，并在缺陷责任期及保修期内承担相应的工程维修责任。</w:t>
      </w:r>
    </w:p>
    <w:p w14:paraId="0950D80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 发包人和承包人通过招投标形式签订合同的，双方理解并承诺不再就同一工程另行签订与合同实质性内容相背离的协议。</w:t>
      </w:r>
    </w:p>
    <w:p w14:paraId="5A0050E3">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70" w:name="_Toc351203488"/>
      <w:r>
        <w:rPr>
          <w:rFonts w:hint="eastAsia" w:ascii="Times New Roman" w:hAnsi="Times New Roman"/>
          <w:b w:val="0"/>
          <w:smallCaps w:val="0"/>
          <w:color w:val="000000" w:themeColor="text1"/>
          <w:sz w:val="24"/>
          <w:szCs w:val="24"/>
          <w:highlight w:val="none"/>
          <w14:textFill>
            <w14:solidFill>
              <w14:schemeClr w14:val="tx1"/>
            </w14:solidFill>
          </w14:textFill>
        </w:rPr>
        <w:t>八、词语含义</w:t>
      </w:r>
      <w:bookmarkEnd w:id="670"/>
    </w:p>
    <w:p w14:paraId="0EF0C1E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本协议书中词语含义与第二部分通用合同条款中赋予的含义相同。</w:t>
      </w:r>
    </w:p>
    <w:p w14:paraId="4B3BEF2A">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71" w:name="_Toc351203489"/>
      <w:r>
        <w:rPr>
          <w:rFonts w:hint="eastAsia" w:ascii="Times New Roman" w:hAnsi="Times New Roman"/>
          <w:b w:val="0"/>
          <w:smallCaps w:val="0"/>
          <w:color w:val="000000" w:themeColor="text1"/>
          <w:sz w:val="24"/>
          <w:szCs w:val="24"/>
          <w:highlight w:val="none"/>
          <w14:textFill>
            <w14:solidFill>
              <w14:schemeClr w14:val="tx1"/>
            </w14:solidFill>
          </w14:textFill>
        </w:rPr>
        <w:t>九、签订时间</w:t>
      </w:r>
      <w:bookmarkEnd w:id="671"/>
    </w:p>
    <w:p w14:paraId="5C7EDD5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本合同于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日签订。</w:t>
      </w:r>
    </w:p>
    <w:p w14:paraId="491115F1">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72" w:name="_Toc351203490"/>
      <w:r>
        <w:rPr>
          <w:rFonts w:hint="eastAsia" w:ascii="Times New Roman" w:hAnsi="Times New Roman"/>
          <w:b w:val="0"/>
          <w:smallCaps w:val="0"/>
          <w:color w:val="000000" w:themeColor="text1"/>
          <w:sz w:val="24"/>
          <w:szCs w:val="24"/>
          <w:highlight w:val="none"/>
          <w14:textFill>
            <w14:solidFill>
              <w14:schemeClr w14:val="tx1"/>
            </w14:solidFill>
          </w14:textFill>
        </w:rPr>
        <w:t>十、签订地点</w:t>
      </w:r>
      <w:bookmarkEnd w:id="672"/>
    </w:p>
    <w:p w14:paraId="4ECCDC3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本合同在</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签订。</w:t>
      </w:r>
    </w:p>
    <w:p w14:paraId="11A1899A">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73" w:name="_Toc351203491"/>
      <w:r>
        <w:rPr>
          <w:rFonts w:hint="eastAsia" w:ascii="Times New Roman" w:hAnsi="Times New Roman"/>
          <w:b w:val="0"/>
          <w:smallCaps w:val="0"/>
          <w:color w:val="000000" w:themeColor="text1"/>
          <w:sz w:val="24"/>
          <w:szCs w:val="24"/>
          <w:highlight w:val="none"/>
          <w14:textFill>
            <w14:solidFill>
              <w14:schemeClr w14:val="tx1"/>
            </w14:solidFill>
          </w14:textFill>
        </w:rPr>
        <w:t>十一、补充协议</w:t>
      </w:r>
      <w:bookmarkEnd w:id="673"/>
    </w:p>
    <w:p w14:paraId="4C094F6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合同未尽事宜，合同当事人另行签订补充协议，补充协议是合同的组成部分。</w:t>
      </w:r>
    </w:p>
    <w:p w14:paraId="0A4377B5">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74" w:name="_Toc351203492"/>
      <w:r>
        <w:rPr>
          <w:rFonts w:hint="eastAsia" w:ascii="Times New Roman" w:hAnsi="Times New Roman"/>
          <w:b w:val="0"/>
          <w:smallCaps w:val="0"/>
          <w:color w:val="000000" w:themeColor="text1"/>
          <w:sz w:val="24"/>
          <w:szCs w:val="24"/>
          <w:highlight w:val="none"/>
          <w14:textFill>
            <w14:solidFill>
              <w14:schemeClr w14:val="tx1"/>
            </w14:solidFill>
          </w14:textFill>
        </w:rPr>
        <w:t>十二、合同生效</w:t>
      </w:r>
      <w:bookmarkEnd w:id="674"/>
    </w:p>
    <w:p w14:paraId="2E371EA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本合同自</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生效。</w:t>
      </w:r>
    </w:p>
    <w:p w14:paraId="677DDD2B">
      <w:pPr>
        <w:pStyle w:val="77"/>
        <w:pageBreakBefore w:val="0"/>
        <w:kinsoku/>
        <w:wordWrap w:val="0"/>
        <w:overflowPunct/>
        <w:bidi w:val="0"/>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675" w:name="_Toc351203493"/>
      <w:r>
        <w:rPr>
          <w:rFonts w:hint="eastAsia" w:ascii="Times New Roman" w:hAnsi="Times New Roman"/>
          <w:b w:val="0"/>
          <w:smallCaps w:val="0"/>
          <w:color w:val="000000" w:themeColor="text1"/>
          <w:sz w:val="24"/>
          <w:szCs w:val="24"/>
          <w:highlight w:val="none"/>
          <w14:textFill>
            <w14:solidFill>
              <w14:schemeClr w14:val="tx1"/>
            </w14:solidFill>
          </w14:textFill>
        </w:rPr>
        <w:t>十三、合同份数</w:t>
      </w:r>
      <w:bookmarkEnd w:id="675"/>
    </w:p>
    <w:p w14:paraId="305D64C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本合同一式</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份，均具有同等法律效力，发包人执</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份，承包人执</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份。</w:t>
      </w:r>
    </w:p>
    <w:p w14:paraId="002625ED">
      <w:pPr>
        <w:pageBreakBefore w:val="0"/>
        <w:kinsoku/>
        <w:wordWrap w:val="0"/>
        <w:overflowPunct/>
        <w:bidi w:val="0"/>
        <w:spacing w:line="360" w:lineRule="auto"/>
        <w:rPr>
          <w:rFonts w:hint="eastAsia" w:ascii="Times New Roman" w:hAnsi="Times New Roman" w:cs="宋体"/>
          <w:bCs/>
          <w:smallCaps w:val="0"/>
          <w:color w:val="000000" w:themeColor="text1"/>
          <w:szCs w:val="21"/>
          <w:highlight w:val="none"/>
          <w14:textFill>
            <w14:solidFill>
              <w14:schemeClr w14:val="tx1"/>
            </w14:solidFill>
          </w14:textFill>
        </w:rPr>
      </w:pPr>
    </w:p>
    <w:p w14:paraId="327ECA4A">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发包人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r>
        <w:rPr>
          <w:rFonts w:hint="eastAsia" w:ascii="Times New Roman" w:hAnsi="Times New Roman" w:cs="宋体"/>
          <w:smallCaps w:val="0"/>
          <w:color w:val="000000" w:themeColor="text1"/>
          <w:sz w:val="21"/>
          <w:szCs w:val="21"/>
          <w:highlight w:val="none"/>
          <w14:textFill>
            <w14:solidFill>
              <w14:schemeClr w14:val="tx1"/>
            </w14:solidFill>
          </w14:textFill>
        </w:rPr>
        <w:t>(公章)          承包人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(公章)</w:t>
      </w:r>
    </w:p>
    <w:p w14:paraId="5480B626">
      <w:pPr>
        <w:pageBreakBefore w:val="0"/>
        <w:kinsoku/>
        <w:wordWrap w:val="0"/>
        <w:overflowPunct/>
        <w:bidi w:val="0"/>
        <w:spacing w:line="360" w:lineRule="auto"/>
        <w:ind w:left="0" w:leftChars="0" w:firstLine="0" w:firstLineChars="0"/>
        <w:rPr>
          <w:rFonts w:hint="eastAsia" w:ascii="Times New Roman" w:hAnsi="Times New Roman" w:eastAsia="宋体" w:cs="宋体"/>
          <w:smallCaps w:val="0"/>
          <w:color w:val="000000" w:themeColor="text1"/>
          <w:sz w:val="21"/>
          <w:szCs w:val="21"/>
          <w:highlight w:val="none"/>
          <w:lang w:eastAsia="zh-CN"/>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法定代表人或其委托代理人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法定代表人或其委托代理人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p>
    <w:p w14:paraId="7971FB33">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52A4DAE5">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u w:val="single"/>
          <w14:textFill>
            <w14:solidFill>
              <w14:schemeClr w14:val="tx1"/>
            </w14:solidFill>
          </w14:textFill>
        </w:rPr>
      </w:pPr>
    </w:p>
    <w:p w14:paraId="6D3EDA2E">
      <w:pPr>
        <w:pageBreakBefore w:val="0"/>
        <w:tabs>
          <w:tab w:val="left" w:pos="4410"/>
        </w:tabs>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组织机构代码</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组织机构代码</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5B02951D">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地  址</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地  址</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31CC268F">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邮政编码</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邮政编码</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3CF71687">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法定代表人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法定代表人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p>
    <w:p w14:paraId="0C6CC24A">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委托代理人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委托代理人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013C356E">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电  话</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电  话</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29118DCB">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传  真</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传  真</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p>
    <w:p w14:paraId="3C6AD496">
      <w:pPr>
        <w:pageBreakBefore w:val="0"/>
        <w:kinsoku/>
        <w:wordWrap w:val="0"/>
        <w:overflowPunct/>
        <w:bidi w:val="0"/>
        <w:spacing w:line="360" w:lineRule="auto"/>
        <w:ind w:left="0" w:leftChars="0" w:firstLine="0" w:firstLineChars="0"/>
        <w:rPr>
          <w:rFonts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电子信箱</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电子信箱</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00909058">
      <w:pPr>
        <w:pageBreakBefore w:val="0"/>
        <w:kinsoku/>
        <w:wordWrap w:val="0"/>
        <w:overflowPunct/>
        <w:bidi w:val="0"/>
        <w:spacing w:line="360" w:lineRule="auto"/>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开户银行</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开户银行</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7E402D5D">
      <w:pPr>
        <w:pageBreakBefore w:val="0"/>
        <w:kinsoku/>
        <w:wordWrap w:val="0"/>
        <w:overflowPunct/>
        <w:bidi w:val="0"/>
        <w:ind w:left="0" w:leftChars="0" w:firstLine="0" w:firstLineChars="0"/>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账  号</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账  号</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0754AB67">
      <w:pPr>
        <w:keepNext/>
        <w:keepLines/>
        <w:pageBreakBefore w:val="0"/>
        <w:kinsoku/>
        <w:wordWrap w:val="0"/>
        <w:overflowPunct/>
        <w:bidi w:val="0"/>
        <w:spacing w:line="360" w:lineRule="auto"/>
        <w:jc w:val="center"/>
        <w:outlineLvl w:val="9"/>
        <w:rPr>
          <w:rFonts w:hint="eastAsia" w:ascii="Times New Roman" w:hAnsi="Times New Roman" w:cs="宋体"/>
          <w:b/>
          <w:bCs/>
          <w:smallCaps w:val="0"/>
          <w:color w:val="000000" w:themeColor="text1"/>
          <w:sz w:val="32"/>
          <w:szCs w:val="32"/>
          <w:highlight w:val="none"/>
          <w14:textFill>
            <w14:solidFill>
              <w14:schemeClr w14:val="tx1"/>
            </w14:solidFill>
          </w14:textFill>
        </w:rPr>
      </w:pPr>
      <w:r>
        <w:rPr>
          <w:rFonts w:hint="eastAsia" w:ascii="Times New Roman" w:hAnsi="Times New Roman" w:cs="宋体"/>
          <w:b/>
          <w:bCs/>
          <w:smallCaps w:val="0"/>
          <w:color w:val="000000" w:themeColor="text1"/>
          <w:sz w:val="32"/>
          <w:szCs w:val="32"/>
          <w:highlight w:val="none"/>
          <w14:textFill>
            <w14:solidFill>
              <w14:schemeClr w14:val="tx1"/>
            </w14:solidFill>
          </w14:textFill>
        </w:rPr>
        <w:t xml:space="preserve"> </w:t>
      </w:r>
      <w:r>
        <w:rPr>
          <w:rFonts w:hint="eastAsia" w:ascii="Times New Roman" w:hAnsi="Times New Roman" w:cs="宋体"/>
          <w:b/>
          <w:bCs/>
          <w:smallCaps w:val="0"/>
          <w:color w:val="000000" w:themeColor="text1"/>
          <w:sz w:val="32"/>
          <w:szCs w:val="32"/>
          <w:highlight w:val="none"/>
          <w14:textFill>
            <w14:solidFill>
              <w14:schemeClr w14:val="tx1"/>
            </w14:solidFill>
          </w14:textFill>
        </w:rPr>
        <w:br w:type="page"/>
      </w:r>
      <w:bookmarkStart w:id="676" w:name="_Toc28799377"/>
    </w:p>
    <w:bookmarkEnd w:id="676"/>
    <w:p w14:paraId="5CE46206">
      <w:pPr>
        <w:pageBreakBefore w:val="0"/>
        <w:numPr>
          <w:ilvl w:val="0"/>
          <w:numId w:val="0"/>
        </w:numPr>
        <w:kinsoku/>
        <w:wordWrap w:val="0"/>
        <w:overflowPunct/>
        <w:bidi w:val="0"/>
        <w:spacing w:before="120" w:after="120" w:line="400" w:lineRule="exact"/>
        <w:ind w:leftChars="0"/>
        <w:jc w:val="both"/>
        <w:outlineLvl w:val="9"/>
        <w:rPr>
          <w:rFonts w:ascii="Times New Roman" w:hAnsi="Times New Roman"/>
          <w:smallCaps w:val="0"/>
          <w:color w:val="000000" w:themeColor="text1"/>
          <w:highlight w:val="none"/>
          <w14:textFill>
            <w14:solidFill>
              <w14:schemeClr w14:val="tx1"/>
            </w14:solidFill>
          </w14:textFill>
        </w:rPr>
      </w:pPr>
    </w:p>
    <w:p w14:paraId="11B3A2F1">
      <w:pPr>
        <w:pageBreakBefore w:val="0"/>
        <w:kinsoku/>
        <w:wordWrap w:val="0"/>
        <w:overflowPunct/>
        <w:bidi w:val="0"/>
        <w:spacing w:line="400" w:lineRule="exact"/>
        <w:outlineLvl w:val="9"/>
        <w:rPr>
          <w:rFonts w:ascii="Times New Roman" w:hAnsi="Times New Roman"/>
          <w:smallCaps w:val="0"/>
          <w:color w:val="000000" w:themeColor="text1"/>
          <w:highlight w:val="none"/>
          <w14:textFill>
            <w14:solidFill>
              <w14:schemeClr w14:val="tx1"/>
            </w14:solidFill>
          </w14:textFill>
        </w:rPr>
      </w:pPr>
    </w:p>
    <w:p w14:paraId="06A19B9A">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363855AC">
      <w:pPr>
        <w:pStyle w:val="40"/>
        <w:pageBreakBefore w:val="0"/>
        <w:kinsoku/>
        <w:wordWrap w:val="0"/>
        <w:overflowPunct/>
        <w:bidi w:val="0"/>
        <w:outlineLvl w:val="1"/>
        <w:rPr>
          <w:rFonts w:hint="eastAsia" w:ascii="Times New Roman" w:hAnsi="Times New Roman"/>
          <w:smallCaps w:val="0"/>
          <w:color w:val="000000" w:themeColor="text1"/>
          <w:highlight w:val="none"/>
          <w:lang w:val="en-US" w:eastAsia="zh-CN"/>
          <w14:textFill>
            <w14:solidFill>
              <w14:schemeClr w14:val="tx1"/>
            </w14:solidFill>
          </w14:textFill>
        </w:rPr>
      </w:pPr>
      <w:bookmarkStart w:id="677" w:name="_Toc152045610"/>
      <w:bookmarkStart w:id="678" w:name="_Toc152042388"/>
      <w:bookmarkStart w:id="679" w:name="_Toc24754"/>
      <w:bookmarkStart w:id="680" w:name="_Toc144974578"/>
      <w:bookmarkStart w:id="681" w:name="_Toc179632628"/>
      <w:r>
        <w:rPr>
          <w:rFonts w:hint="eastAsia" w:ascii="Times New Roman" w:hAnsi="Times New Roman"/>
          <w:smallCaps w:val="0"/>
          <w:color w:val="000000" w:themeColor="text1"/>
          <w:highlight w:val="none"/>
          <w:lang w:val="en-US" w:eastAsia="zh-CN"/>
          <w14:textFill>
            <w14:solidFill>
              <w14:schemeClr w14:val="tx1"/>
            </w14:solidFill>
          </w14:textFill>
        </w:rPr>
        <w:t>第二节 通用合同条款</w:t>
      </w:r>
      <w:bookmarkEnd w:id="677"/>
      <w:bookmarkEnd w:id="678"/>
      <w:bookmarkEnd w:id="679"/>
      <w:bookmarkEnd w:id="680"/>
      <w:bookmarkEnd w:id="681"/>
    </w:p>
    <w:p w14:paraId="6D361CD7">
      <w:pPr>
        <w:pStyle w:val="79"/>
        <w:pageBreakBefore w:val="0"/>
        <w:kinsoku/>
        <w:wordWrap w:val="0"/>
        <w:overflowPunct/>
        <w:bidi w:val="0"/>
        <w:rPr>
          <w:rFonts w:hint="eastAsia" w:ascii="Times New Roman" w:hAnsi="Times New Roman"/>
          <w:b/>
          <w:bCs w:val="0"/>
          <w:smallCaps w:val="0"/>
          <w:color w:val="000000" w:themeColor="text1"/>
          <w:highlight w:val="none"/>
          <w14:textFill>
            <w14:solidFill>
              <w14:schemeClr w14:val="tx1"/>
            </w14:solidFill>
          </w14:textFill>
        </w:rPr>
      </w:pPr>
    </w:p>
    <w:p w14:paraId="7ACF4CB2">
      <w:pPr>
        <w:pStyle w:val="79"/>
        <w:pageBreakBefore w:val="0"/>
        <w:kinsoku/>
        <w:wordWrap w:val="0"/>
        <w:overflowPunct/>
        <w:bidi w:val="0"/>
        <w:rPr>
          <w:rFonts w:hint="eastAsia" w:ascii="Times New Roman" w:hAnsi="Times New Roman"/>
          <w:b/>
          <w:bCs w:val="0"/>
          <w:smallCaps w:val="0"/>
          <w:color w:val="000000" w:themeColor="text1"/>
          <w:sz w:val="24"/>
          <w:szCs w:val="40"/>
          <w:highlight w:val="none"/>
          <w14:textFill>
            <w14:solidFill>
              <w14:schemeClr w14:val="tx1"/>
            </w14:solidFill>
          </w14:textFill>
        </w:rPr>
      </w:pPr>
      <w:r>
        <w:rPr>
          <w:rFonts w:hint="eastAsia" w:ascii="Times New Roman" w:hAnsi="Times New Roman"/>
          <w:b/>
          <w:bCs w:val="0"/>
          <w:smallCaps w:val="0"/>
          <w:color w:val="000000" w:themeColor="text1"/>
          <w:sz w:val="24"/>
          <w:szCs w:val="40"/>
          <w:highlight w:val="none"/>
          <w14:textFill>
            <w14:solidFill>
              <w14:schemeClr w14:val="tx1"/>
            </w14:solidFill>
          </w14:textFill>
        </w:rPr>
        <w:t>采用《建设工程施工合同(示范文本)》（GF-2017-0201）</w:t>
      </w:r>
      <w:r>
        <w:rPr>
          <w:rStyle w:val="28"/>
          <w:rFonts w:hint="eastAsia" w:ascii="Times New Roman" w:hAnsi="Times New Roman" w:eastAsia="方正小标宋简体" w:cs="方正小标宋简体"/>
          <w:b/>
          <w:bCs w:val="0"/>
          <w:smallCaps w:val="0"/>
          <w:snapToGrid w:val="0"/>
          <w:color w:val="000000" w:themeColor="text1"/>
          <w:kern w:val="0"/>
          <w:sz w:val="24"/>
          <w:szCs w:val="36"/>
          <w:highlight w:val="none"/>
          <w14:textFill>
            <w14:solidFill>
              <w14:schemeClr w14:val="tx1"/>
            </w14:solidFill>
          </w14:textFill>
        </w:rPr>
        <w:footnoteReference w:id="59"/>
      </w:r>
      <w:r>
        <w:rPr>
          <w:rFonts w:hint="eastAsia" w:ascii="Times New Roman" w:hAnsi="Times New Roman"/>
          <w:b/>
          <w:bCs w:val="0"/>
          <w:smallCaps w:val="0"/>
          <w:color w:val="000000" w:themeColor="text1"/>
          <w:sz w:val="24"/>
          <w:szCs w:val="40"/>
          <w:highlight w:val="none"/>
          <w14:textFill>
            <w14:solidFill>
              <w14:schemeClr w14:val="tx1"/>
            </w14:solidFill>
          </w14:textFill>
        </w:rPr>
        <w:t>中通用合同条款。上述资料由投标人自行准备。</w:t>
      </w:r>
    </w:p>
    <w:p w14:paraId="244DB5D7">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
          <w:bCs/>
          <w:smallCaps w:val="0"/>
          <w:color w:val="000000" w:themeColor="text1"/>
          <w:sz w:val="24"/>
          <w:szCs w:val="32"/>
          <w:highlight w:val="none"/>
          <w14:textFill>
            <w14:solidFill>
              <w14:schemeClr w14:val="tx1"/>
            </w14:solidFill>
          </w14:textFill>
        </w:rPr>
        <w:br w:type="page"/>
      </w:r>
    </w:p>
    <w:p w14:paraId="3557C143">
      <w:pPr>
        <w:pageBreakBefore w:val="0"/>
        <w:kinsoku/>
        <w:wordWrap w:val="0"/>
        <w:overflowPunct/>
        <w:bidi w:val="0"/>
        <w:spacing w:line="400" w:lineRule="exact"/>
        <w:rPr>
          <w:rFonts w:ascii="Times New Roman" w:hAnsi="Times New Roman"/>
          <w:smallCaps w:val="0"/>
          <w:color w:val="000000" w:themeColor="text1"/>
          <w:highlight w:val="none"/>
          <w14:textFill>
            <w14:solidFill>
              <w14:schemeClr w14:val="tx1"/>
            </w14:solidFill>
          </w14:textFill>
        </w:rPr>
      </w:pPr>
    </w:p>
    <w:p w14:paraId="04810997">
      <w:pPr>
        <w:pStyle w:val="40"/>
        <w:pageBreakBefore w:val="0"/>
        <w:kinsoku/>
        <w:wordWrap w:val="0"/>
        <w:overflowPunct/>
        <w:bidi w:val="0"/>
        <w:outlineLvl w:val="1"/>
        <w:rPr>
          <w:rFonts w:hint="eastAsia" w:ascii="Times New Roman" w:hAnsi="Times New Roman"/>
          <w:smallCaps w:val="0"/>
          <w:color w:val="000000" w:themeColor="text1"/>
          <w:highlight w:val="none"/>
          <w:lang w:val="en-US" w:eastAsia="zh-CN"/>
          <w14:textFill>
            <w14:solidFill>
              <w14:schemeClr w14:val="tx1"/>
            </w14:solidFill>
          </w14:textFill>
        </w:rPr>
      </w:pPr>
      <w:bookmarkStart w:id="682" w:name="_Toc152045766"/>
      <w:bookmarkStart w:id="683" w:name="_Toc152042545"/>
      <w:bookmarkStart w:id="684" w:name="_Toc4076"/>
      <w:bookmarkStart w:id="685" w:name="_Toc179632784"/>
      <w:bookmarkStart w:id="686" w:name="_Toc144974736"/>
      <w:r>
        <w:rPr>
          <w:rFonts w:hint="eastAsia" w:ascii="Times New Roman" w:hAnsi="Times New Roman"/>
          <w:smallCaps w:val="0"/>
          <w:color w:val="000000" w:themeColor="text1"/>
          <w:highlight w:val="none"/>
          <w:lang w:val="en-US" w:eastAsia="zh-CN"/>
          <w14:textFill>
            <w14:solidFill>
              <w14:schemeClr w14:val="tx1"/>
            </w14:solidFill>
          </w14:textFill>
        </w:rPr>
        <w:t>第三节  专用合同条款</w:t>
      </w:r>
      <w:bookmarkEnd w:id="682"/>
      <w:bookmarkEnd w:id="683"/>
      <w:bookmarkEnd w:id="684"/>
      <w:bookmarkEnd w:id="685"/>
      <w:bookmarkEnd w:id="686"/>
    </w:p>
    <w:p w14:paraId="5F531DAE">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p>
    <w:p w14:paraId="18264A37">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smallCaps w:val="0"/>
          <w:color w:val="000000" w:themeColor="text1"/>
          <w:sz w:val="24"/>
          <w:szCs w:val="24"/>
          <w:highlight w:val="none"/>
          <w14:textFill>
            <w14:solidFill>
              <w14:schemeClr w14:val="tx1"/>
            </w14:solidFill>
          </w14:textFill>
        </w:rPr>
      </w:pPr>
      <w:bookmarkStart w:id="687" w:name="_Toc351203633"/>
      <w:r>
        <w:rPr>
          <w:rFonts w:hint="eastAsia" w:ascii="Times New Roman" w:hAnsi="Times New Roman"/>
          <w:smallCaps w:val="0"/>
          <w:color w:val="000000" w:themeColor="text1"/>
          <w:sz w:val="24"/>
          <w:szCs w:val="24"/>
          <w:highlight w:val="none"/>
          <w14:textFill>
            <w14:solidFill>
              <w14:schemeClr w14:val="tx1"/>
            </w14:solidFill>
          </w14:textFill>
        </w:rPr>
        <w:t>1</w:t>
      </w:r>
      <w:bookmarkStart w:id="688" w:name="_Toc296890984"/>
      <w:bookmarkStart w:id="689" w:name="_Toc296347155"/>
      <w:bookmarkStart w:id="690" w:name="_Toc292559866"/>
      <w:bookmarkStart w:id="691" w:name="_Toc297120456"/>
      <w:bookmarkStart w:id="692" w:name="_Toc296891196"/>
      <w:bookmarkStart w:id="693" w:name="_Toc292559361"/>
      <w:bookmarkStart w:id="694" w:name="_Toc296503156"/>
      <w:bookmarkStart w:id="695" w:name="_Toc297048342"/>
      <w:bookmarkStart w:id="696" w:name="_Toc296944495"/>
      <w:bookmarkStart w:id="697" w:name="_Toc296346657"/>
      <w:r>
        <w:rPr>
          <w:rFonts w:hint="eastAsia" w:ascii="Times New Roman" w:hAnsi="Times New Roman"/>
          <w:smallCaps w:val="0"/>
          <w:color w:val="000000" w:themeColor="text1"/>
          <w:sz w:val="24"/>
          <w:szCs w:val="24"/>
          <w:highlight w:val="none"/>
          <w14:textFill>
            <w14:solidFill>
              <w14:schemeClr w14:val="tx1"/>
            </w14:solidFill>
          </w14:textFill>
        </w:rPr>
        <w:t>. 一般约定</w:t>
      </w:r>
      <w:bookmarkEnd w:id="687"/>
    </w:p>
    <w:bookmarkEnd w:id="688"/>
    <w:bookmarkEnd w:id="689"/>
    <w:bookmarkEnd w:id="690"/>
    <w:bookmarkEnd w:id="691"/>
    <w:bookmarkEnd w:id="692"/>
    <w:bookmarkEnd w:id="693"/>
    <w:bookmarkEnd w:id="694"/>
    <w:bookmarkEnd w:id="695"/>
    <w:bookmarkEnd w:id="696"/>
    <w:bookmarkEnd w:id="697"/>
    <w:p w14:paraId="53889602">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1.1 词语定义与解释</w:t>
      </w:r>
    </w:p>
    <w:p w14:paraId="44B223A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 合同</w:t>
      </w:r>
    </w:p>
    <w:p w14:paraId="0D5B4E0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1.1.1.10 其他合同文件包括</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604F6F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1.1.2 合同当事人及其他相关方</w:t>
      </w:r>
    </w:p>
    <w:p w14:paraId="26D4C21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1.1.2.4 监理人</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C7A78B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名</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5AC413A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资质类别和等级</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   </w:t>
      </w:r>
      <w:r>
        <w:rPr>
          <w:rFonts w:hint="eastAsia" w:ascii="Times New Roman" w:hAnsi="Times New Roman"/>
          <w:smallCaps w:val="0"/>
          <w:color w:val="000000" w:themeColor="text1"/>
          <w:highlight w:val="none"/>
          <w14:textFill>
            <w14:solidFill>
              <w14:schemeClr w14:val="tx1"/>
            </w14:solidFill>
          </w14:textFill>
        </w:rPr>
        <w:t>；</w:t>
      </w:r>
    </w:p>
    <w:p w14:paraId="372C971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联系电话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844BD9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电子信箱</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95AA55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通信地址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717126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1.1.2.5 设计人</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53BAADA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名</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10AFB3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资质类别和等级</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C7AE74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联系电话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01A0A2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电子信箱</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785F498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通信地址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2B459B5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1.1.3 工程和设备</w:t>
      </w:r>
    </w:p>
    <w:p w14:paraId="627DE6E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1.1.3.7 作为施工现场组成部分的其他场所包括</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3080D9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1.1.3.9 永久占地包括</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17DA2BF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1.1.3.10 临时占地包括</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60CFC608">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 xml:space="preserve">1.3 法律 </w:t>
      </w:r>
    </w:p>
    <w:p w14:paraId="7C7A86F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适用于合同的其他规范性文件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329A721">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1.4 标准和规范</w:t>
      </w:r>
    </w:p>
    <w:p w14:paraId="7308D3A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1.4.1 适用于工程的标准规范包括</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471E38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1.4.2 发包人提供国外标准、规范的名称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7B36CB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发包人提供国外标准、规范的份数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14CD5C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发包人提供国外标准、规范的时间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7C7975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1.4.3 发包人对工程的技术标准和功能要求的特殊要求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C6D732E">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1.5 合同文件的优先顺序</w:t>
      </w:r>
    </w:p>
    <w:p w14:paraId="55AB215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合同文件组成及优先顺序为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BEF2BEB">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1.6 图纸和承包人文件</w:t>
      </w:r>
      <w:r>
        <w:rPr>
          <w:rFonts w:hint="eastAsia" w:ascii="Times New Roman" w:hAnsi="Times New Roman"/>
          <w:b w:val="0"/>
          <w:smallCaps w:val="0"/>
          <w:color w:val="000000" w:themeColor="text1"/>
          <w:sz w:val="24"/>
          <w:szCs w:val="24"/>
          <w:highlight w:val="none"/>
          <w14:textFill>
            <w14:solidFill>
              <w14:schemeClr w14:val="tx1"/>
            </w14:solidFill>
          </w14:textFill>
        </w:rPr>
        <w:tab/>
      </w:r>
    </w:p>
    <w:p w14:paraId="1051A55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1.6.1 图纸的提供和交底</w:t>
      </w:r>
    </w:p>
    <w:p w14:paraId="757991A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发包人向承包人提供图纸的期限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9FDA25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发包人向承包人提供图纸的数量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提供</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套</w:t>
      </w:r>
      <w:r>
        <w:rPr>
          <w:rFonts w:hint="eastAsia" w:ascii="Times New Roman" w:hAnsi="Times New Roman"/>
          <w:smallCaps w:val="0"/>
          <w:color w:val="000000" w:themeColor="text1"/>
          <w:highlight w:val="none"/>
          <w:lang w:val="en-US" w:eastAsia="zh-CN"/>
          <w14:textFill>
            <w14:solidFill>
              <w14:schemeClr w14:val="tx1"/>
            </w14:solidFill>
          </w14:textFill>
        </w:rPr>
        <w:t>，不足的由承包人自行复制</w:t>
      </w:r>
      <w:r>
        <w:rPr>
          <w:rFonts w:hint="eastAsia" w:ascii="Times New Roman" w:hAnsi="Times New Roman"/>
          <w:smallCaps w:val="0"/>
          <w:color w:val="000000" w:themeColor="text1"/>
          <w:highlight w:val="none"/>
          <w14:textFill>
            <w14:solidFill>
              <w14:schemeClr w14:val="tx1"/>
            </w14:solidFill>
          </w14:textFill>
        </w:rPr>
        <w:t>，费用自理；</w:t>
      </w:r>
    </w:p>
    <w:p w14:paraId="0754FA3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发包人向承包人提供图纸的内容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871852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1.6.4 承包人文件</w:t>
      </w:r>
    </w:p>
    <w:p w14:paraId="0993531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需要由承包人提供的文件，包括</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2DB1A0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承包人提供的文件的期限为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                          </w:t>
      </w:r>
      <w:r>
        <w:rPr>
          <w:rFonts w:hint="eastAsia" w:ascii="Times New Roman" w:hAnsi="Times New Roman"/>
          <w:smallCaps w:val="0"/>
          <w:color w:val="000000" w:themeColor="text1"/>
          <w:highlight w:val="none"/>
          <w14:textFill>
            <w14:solidFill>
              <w14:schemeClr w14:val="tx1"/>
            </w14:solidFill>
          </w14:textFill>
        </w:rPr>
        <w:t>；</w:t>
      </w:r>
    </w:p>
    <w:p w14:paraId="290098F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承包人提供的文件的数量为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6D7585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承包人提供的文件的形式为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CAC073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发包人审批承包人文件的期限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5ACC56D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1.6.5 图纸和承包人文件的保管</w:t>
      </w:r>
    </w:p>
    <w:p w14:paraId="1652C26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关于图纸和承包人文件保管的约定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47949FB">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1.7 联络</w:t>
      </w:r>
    </w:p>
    <w:p w14:paraId="644C2A4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1.7.1 发包人和承包人应当在7天内将与合同有关的通知、批准、证明、证书、指示、指令、要求、请求、同意、意见、确定和决定等书面函件送达对方当事人。</w:t>
      </w:r>
    </w:p>
    <w:p w14:paraId="23042DB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1.7.2 发包人接收文件的地点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C6F994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发包人指定的接收人为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17A318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承包人接收文件的地点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E9A187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承包人指定的接收人为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6E9E40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监理人接收文件的地点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1D142C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监理人指定的接收人为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2ED71AF8">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1.10 交通运输</w:t>
      </w:r>
    </w:p>
    <w:p w14:paraId="108C1F4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bookmarkStart w:id="698" w:name="_Toc318581155"/>
      <w:bookmarkStart w:id="699" w:name="_Toc304295521"/>
      <w:bookmarkStart w:id="700" w:name="_Toc303539100"/>
      <w:bookmarkStart w:id="701" w:name="_Toc312677986"/>
      <w:bookmarkStart w:id="702" w:name="_Toc300934943"/>
      <w:r>
        <w:rPr>
          <w:rFonts w:hint="eastAsia" w:ascii="Times New Roman" w:hAnsi="Times New Roman"/>
          <w:smallCaps w:val="0"/>
          <w:color w:val="000000" w:themeColor="text1"/>
          <w:highlight w:val="none"/>
          <w14:textFill>
            <w14:solidFill>
              <w14:schemeClr w14:val="tx1"/>
            </w14:solidFill>
          </w14:textFill>
        </w:rPr>
        <w:t>.10.1 出入现场的权利</w:t>
      </w:r>
    </w:p>
    <w:p w14:paraId="060BAFE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关于出入现场的权利的约定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698"/>
    <w:bookmarkEnd w:id="699"/>
    <w:bookmarkEnd w:id="700"/>
    <w:bookmarkEnd w:id="701"/>
    <w:bookmarkEnd w:id="702"/>
    <w:p w14:paraId="2C7547D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bookmarkStart w:id="703" w:name="_Toc300934944"/>
      <w:bookmarkStart w:id="704" w:name="_Toc318581156"/>
      <w:bookmarkStart w:id="705" w:name="_Toc312677987"/>
      <w:bookmarkStart w:id="706" w:name="_Toc304295522"/>
      <w:bookmarkStart w:id="707" w:name="_Toc303539101"/>
      <w:r>
        <w:rPr>
          <w:rFonts w:hint="eastAsia" w:ascii="Times New Roman" w:hAnsi="Times New Roman"/>
          <w:smallCaps w:val="0"/>
          <w:color w:val="000000" w:themeColor="text1"/>
          <w:highlight w:val="none"/>
          <w14:textFill>
            <w14:solidFill>
              <w14:schemeClr w14:val="tx1"/>
            </w14:solidFill>
          </w14:textFill>
        </w:rPr>
        <w:t>.10.3 场内交通</w:t>
      </w:r>
    </w:p>
    <w:p w14:paraId="5A7EB05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关于场外交通和场内交通的边界的约定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0D213E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关于发包人向承包人免费提供满足工程施工需要的场内道路和交通设施的约定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bookmarkEnd w:id="703"/>
      <w:bookmarkEnd w:id="704"/>
      <w:bookmarkEnd w:id="705"/>
      <w:bookmarkEnd w:id="706"/>
      <w:bookmarkEnd w:id="707"/>
      <w:bookmarkStart w:id="708" w:name="_Toc318581157"/>
    </w:p>
    <w:p w14:paraId="537E1F3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1.10.4 超大件和超重件的运输</w:t>
      </w:r>
    </w:p>
    <w:p w14:paraId="45C1310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运输超大件或超重件所需的道路和桥梁临时加固改造费用和其他有关费用由</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承担。</w:t>
      </w:r>
    </w:p>
    <w:bookmarkEnd w:id="708"/>
    <w:p w14:paraId="5FB9E72C">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1.11 知识产权</w:t>
      </w:r>
    </w:p>
    <w:p w14:paraId="5D535A2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1.11.1 关于发包人提供给承包人的图纸、发包人为实施工程自行编制或委托编制的技术规范以及反映发包人关于合同要求或其他类似性质的文件的著作权的归属</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5BDB9E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关于发包人提供的上述文件的使用限制的要求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4441E0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1.11.2 关于承包人为实施工程所编制文件的著作权的归属</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3E480A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关于承包人提供的上述文件的使用限制的要求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11EFCF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1.11.4 承包人在施工过程中所采用的专利、专有技术、技术秘密的使用费的承担方式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C6AE9BE">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1.13 工程量清单错误的修正</w:t>
      </w:r>
    </w:p>
    <w:p w14:paraId="25EC2CF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出现工程量清单错误时，是否调整合同价格</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99BD31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允许调整合同价格的工程量偏差范围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6092293">
      <w:pPr>
        <w:pStyle w:val="77"/>
        <w:pageBreakBefore w:val="0"/>
        <w:kinsoku/>
        <w:wordWrap w:val="0"/>
        <w:overflowPunct/>
        <w:bidi w:val="0"/>
        <w:outlineLvl w:val="3"/>
        <w:rPr>
          <w:rFonts w:hint="eastAsia" w:ascii="Times New Roman" w:hAnsi="Times New Roman" w:eastAsia="黑体" w:cs="黑体"/>
          <w:smallCaps w:val="0"/>
          <w:color w:val="000000" w:themeColor="text1"/>
          <w:sz w:val="24"/>
          <w:szCs w:val="24"/>
          <w:highlight w:val="none"/>
          <w14:textFill>
            <w14:solidFill>
              <w14:schemeClr w14:val="tx1"/>
            </w14:solidFill>
          </w14:textFill>
        </w:rPr>
      </w:pPr>
      <w:r>
        <w:rPr>
          <w:rFonts w:hint="eastAsia" w:ascii="Times New Roman" w:hAnsi="Times New Roman" w:eastAsia="黑体" w:cs="黑体"/>
          <w:smallCaps w:val="0"/>
          <w:color w:val="000000" w:themeColor="text1"/>
          <w:sz w:val="24"/>
          <w:szCs w:val="24"/>
          <w:highlight w:val="none"/>
          <w14:textFill>
            <w14:solidFill>
              <w14:schemeClr w14:val="tx1"/>
            </w14:solidFill>
          </w14:textFill>
        </w:rPr>
        <w:t>1.14 BIM实施范围</w:t>
      </w:r>
    </w:p>
    <w:p w14:paraId="3207BC3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1.14.1 基本约定</w:t>
      </w:r>
    </w:p>
    <w:p w14:paraId="1E8BDEF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⑴BIM实施范围</w:t>
      </w:r>
    </w:p>
    <w:p w14:paraId="552C69F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工程需实施BIM技术应用的，BIM实施内容应包含“施工BIM实施准备”、“设计BIM成果接收”、“施工BIM应用内容和要求”、“施工BIM成果归档和移交”、“竣工数字化资产验收和运维移交”、“施工BIM考核评价”及专用条款约定的内容。</w:t>
      </w:r>
    </w:p>
    <w:p w14:paraId="7BF5044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BIM实施应继承和延用设计阶段BIM成果，并考虑运维阶段的BIM技术应用需求。</w:t>
      </w:r>
    </w:p>
    <w:p w14:paraId="0B8BA0C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⑵BIM实施内容和要求</w:t>
      </w:r>
    </w:p>
    <w:p w14:paraId="0E18B34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承包人应在BIM实施前编制《施工BIM实施方案》，经发包人确认后，作为承包人BIM实施以及发包人BIM审查验收的依据。</w:t>
      </w:r>
    </w:p>
    <w:p w14:paraId="0BA5109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工程BIM模型的创建和管理应分为深化设计、施工过程和竣工验收3个阶段，承包人应用BIM技术进行深化设计、施工过程可视化模拟、施工方案优化、施工进度和成本的管控等。各阶段的BIM技术和管理应用应满足专用条款中约定的要求。</w:t>
      </w:r>
    </w:p>
    <w:p w14:paraId="10174FC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承包人创建的BIM模型应保证信息要素全面完备，模型精细度应符合专用条款中的标准要求。</w:t>
      </w:r>
    </w:p>
    <w:p w14:paraId="4A59A34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发包人应在办理规划许可、施工许可、竣工验收审批报建环节提交BIM模型。</w:t>
      </w:r>
    </w:p>
    <w:p w14:paraId="4DD25D4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⑶BIM成果的归档和移交</w:t>
      </w:r>
    </w:p>
    <w:p w14:paraId="53D9A37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发包人应在工程竣工后，组织对本工程BIM实施成果进行归档和移交。</w:t>
      </w:r>
    </w:p>
    <w:p w14:paraId="0A84F67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本工程BIM成果包括BIM模型和与之对应的图纸、文档、统计表格，以及综合协调、模拟分析、统计计算等形成的数字化成果文件。BIM模型必须与竣工图纸一致。</w:t>
      </w:r>
    </w:p>
    <w:p w14:paraId="6A0B4CF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承包人应按专用条款约定的交付标准移交BIM成果。发包人审核后，按照政府有关部门的要求进行归档，并在工程交付使用时，应将BIM模型提交给运维单位。</w:t>
      </w:r>
    </w:p>
    <w:p w14:paraId="39DD026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⑷BIM信息安全责任</w:t>
      </w:r>
    </w:p>
    <w:p w14:paraId="7502592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发承包双方应按照发承包双方应按照合同有关规定，加强对BIM数据的安全管理，建立健全数据管理制度，及时排查BIM数据在存储、使用、加工、传递、交付过程中可能出现的信息安全隐患，做好安全防护和处理。</w:t>
      </w:r>
    </w:p>
    <w:p w14:paraId="3E3683E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1.14.2 其他约定</w:t>
      </w:r>
    </w:p>
    <w:p w14:paraId="1006FFD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根据项目实际情况，招标人可明确其他BIM应用落地的内容：</w:t>
      </w:r>
    </w:p>
    <w:p w14:paraId="1A5FAE0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（1）关于BIM实施内容的约定_____________________。</w:t>
      </w:r>
    </w:p>
    <w:p w14:paraId="45D9B02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BIM实施内容和要求</w:t>
      </w:r>
    </w:p>
    <w:p w14:paraId="6BC6295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关于深化设计、施工过程和竣工验收阶段BIM技术和管理应用要求的约定_____________________。</w:t>
      </w:r>
    </w:p>
    <w:p w14:paraId="7C8175A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（3）BIM模型精细度的标准要求：_____________________。</w:t>
      </w:r>
    </w:p>
    <w:p w14:paraId="1550328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 BIM成果的归档和移交</w:t>
      </w:r>
    </w:p>
    <w:p w14:paraId="0E8C6F7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关于BIM成果交付标准的约定：_____________________。</w:t>
      </w:r>
    </w:p>
    <w:p w14:paraId="38E6411D">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709" w:name="_Toc351203634"/>
      <w:r>
        <w:rPr>
          <w:rFonts w:hint="eastAsia" w:ascii="Times New Roman" w:hAnsi="Times New Roman"/>
          <w:b w:val="0"/>
          <w:smallCaps w:val="0"/>
          <w:color w:val="000000" w:themeColor="text1"/>
          <w:sz w:val="24"/>
          <w:szCs w:val="24"/>
          <w:highlight w:val="none"/>
          <w14:textFill>
            <w14:solidFill>
              <w14:schemeClr w14:val="tx1"/>
            </w14:solidFill>
          </w14:textFill>
        </w:rPr>
        <w:t>2</w:t>
      </w:r>
      <w:bookmarkStart w:id="710" w:name="_Toc296890985"/>
      <w:bookmarkStart w:id="711" w:name="_Toc297120457"/>
      <w:bookmarkStart w:id="712" w:name="_Toc292559362"/>
      <w:bookmarkStart w:id="713" w:name="_Toc296944496"/>
      <w:bookmarkStart w:id="714" w:name="_Toc297048343"/>
      <w:bookmarkStart w:id="715" w:name="_Toc296347156"/>
      <w:bookmarkStart w:id="716" w:name="_Toc292559867"/>
      <w:bookmarkStart w:id="717" w:name="_Toc296346658"/>
      <w:bookmarkStart w:id="718" w:name="_Toc296503157"/>
      <w:bookmarkStart w:id="719" w:name="_Toc296891197"/>
      <w:r>
        <w:rPr>
          <w:rFonts w:hint="eastAsia" w:ascii="Times New Roman" w:hAnsi="Times New Roman"/>
          <w:b w:val="0"/>
          <w:smallCaps w:val="0"/>
          <w:color w:val="000000" w:themeColor="text1"/>
          <w:sz w:val="24"/>
          <w:szCs w:val="24"/>
          <w:highlight w:val="none"/>
          <w14:textFill>
            <w14:solidFill>
              <w14:schemeClr w14:val="tx1"/>
            </w14:solidFill>
          </w14:textFill>
        </w:rPr>
        <w:t>. 发包人</w:t>
      </w:r>
      <w:bookmarkEnd w:id="709"/>
    </w:p>
    <w:bookmarkEnd w:id="710"/>
    <w:bookmarkEnd w:id="711"/>
    <w:bookmarkEnd w:id="712"/>
    <w:bookmarkEnd w:id="713"/>
    <w:bookmarkEnd w:id="714"/>
    <w:bookmarkEnd w:id="715"/>
    <w:bookmarkEnd w:id="716"/>
    <w:bookmarkEnd w:id="717"/>
    <w:bookmarkEnd w:id="718"/>
    <w:bookmarkEnd w:id="719"/>
    <w:p w14:paraId="1820149D">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2.2 发包人代表</w:t>
      </w:r>
    </w:p>
    <w:p w14:paraId="28A6CB3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发包人代表</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6BC1FE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姓</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3A74EE1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身份证号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1C7884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职</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务</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059AFFC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联系电话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9AA815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电子信箱</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23AE1F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通信地址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2378993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发包人对发包人代表的授权范围如下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B6FD28A">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2.4 施工现场、施工条件和基础资料的提供</w:t>
      </w:r>
    </w:p>
    <w:p w14:paraId="4BE1A80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2.4.1 提供施工现场</w:t>
      </w:r>
    </w:p>
    <w:p w14:paraId="4D473C0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关于发包人移交施工现场的期限要求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205846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2.4.2 提供施工条件</w:t>
      </w:r>
    </w:p>
    <w:p w14:paraId="6B3823F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关于发包人应负责提供施工所需要的条件，包括</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288FA95">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2.5 资金来源证明及支付担保</w:t>
      </w:r>
    </w:p>
    <w:p w14:paraId="2477B4C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发包人提供资金来源证明的期限要求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43967E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发包人是否提供支付担保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DE3C0B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发包人提供支付担保的形式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6FE20D2">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720" w:name="_Toc351203635"/>
      <w:r>
        <w:rPr>
          <w:rFonts w:hint="eastAsia" w:ascii="Times New Roman" w:hAnsi="Times New Roman"/>
          <w:b w:val="0"/>
          <w:smallCaps w:val="0"/>
          <w:color w:val="000000" w:themeColor="text1"/>
          <w:sz w:val="24"/>
          <w:szCs w:val="24"/>
          <w:highlight w:val="none"/>
          <w14:textFill>
            <w14:solidFill>
              <w14:schemeClr w14:val="tx1"/>
            </w14:solidFill>
          </w14:textFill>
        </w:rPr>
        <w:t>3</w:t>
      </w:r>
      <w:bookmarkStart w:id="721" w:name="_Toc292559868"/>
      <w:bookmarkStart w:id="722" w:name="_Toc296891198"/>
      <w:bookmarkStart w:id="723" w:name="_Toc292559363"/>
      <w:bookmarkStart w:id="724" w:name="_Toc296503158"/>
      <w:bookmarkStart w:id="725" w:name="_Toc296890986"/>
      <w:bookmarkStart w:id="726" w:name="_Toc297120458"/>
      <w:bookmarkStart w:id="727" w:name="_Toc297048344"/>
      <w:bookmarkStart w:id="728" w:name="_Toc296944497"/>
      <w:bookmarkStart w:id="729" w:name="_Toc296346659"/>
      <w:bookmarkStart w:id="730" w:name="_Toc296347157"/>
      <w:r>
        <w:rPr>
          <w:rFonts w:hint="eastAsia" w:ascii="Times New Roman" w:hAnsi="Times New Roman"/>
          <w:b w:val="0"/>
          <w:smallCaps w:val="0"/>
          <w:color w:val="000000" w:themeColor="text1"/>
          <w:sz w:val="24"/>
          <w:szCs w:val="24"/>
          <w:highlight w:val="none"/>
          <w14:textFill>
            <w14:solidFill>
              <w14:schemeClr w14:val="tx1"/>
            </w14:solidFill>
          </w14:textFill>
        </w:rPr>
        <w:t>. 承包人</w:t>
      </w:r>
      <w:bookmarkEnd w:id="720"/>
    </w:p>
    <w:bookmarkEnd w:id="721"/>
    <w:bookmarkEnd w:id="722"/>
    <w:bookmarkEnd w:id="723"/>
    <w:bookmarkEnd w:id="724"/>
    <w:bookmarkEnd w:id="725"/>
    <w:bookmarkEnd w:id="726"/>
    <w:bookmarkEnd w:id="727"/>
    <w:bookmarkEnd w:id="728"/>
    <w:bookmarkEnd w:id="729"/>
    <w:bookmarkEnd w:id="730"/>
    <w:p w14:paraId="72F6E7F4">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3.1 承包人的一般义务</w:t>
      </w:r>
    </w:p>
    <w:p w14:paraId="57563AA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（9）承包人提交的竣工资料的内容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承包人提供全套竣工图，所有竣工图应为新图纸。</w:t>
      </w:r>
    </w:p>
    <w:p w14:paraId="35ABA9B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承包人需要提交的竣工资料套数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44253A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承包人提交的竣工资料的费用承担</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承包人承担</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CA0F20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承包人提交的竣工资料移交时间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470D21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承包人提交的竣工资料形式要求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660BE3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（10）承包人应履行的其他义务</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9ACA19A">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3.2 项目经理</w:t>
      </w:r>
    </w:p>
    <w:p w14:paraId="2893E7B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3.2.1 项目经理</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4B803B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姓</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66D879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身份证号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5FF928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建造师执业资格等级</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7F5D2E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建造师注册证书号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3DE115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建造师执业印章号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303EB5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安全生产考核合格证书号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60D56E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联系电话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91CBFC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电子信箱</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9F4BF6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通信地址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03AE35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承包人对项目经理的授权范围如下</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B21CC0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关于项目经理每月在施工现场的时间要求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驻场时间每月不少于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天，每天在岗工作时间不得少于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小时</w:t>
      </w:r>
      <w:r>
        <w:rPr>
          <w:rFonts w:hint="eastAsia" w:ascii="Times New Roman" w:hAnsi="Times New Roman"/>
          <w:smallCaps w:val="0"/>
          <w:color w:val="000000" w:themeColor="text1"/>
          <w:highlight w:val="none"/>
          <w:lang w:eastAsia="zh-CN"/>
          <w14:textFill>
            <w14:solidFill>
              <w14:schemeClr w14:val="tx1"/>
            </w14:solidFill>
          </w14:textFill>
        </w:rPr>
        <w:t>。</w:t>
      </w:r>
    </w:p>
    <w:p w14:paraId="52432A6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承包人未提交劳动合同，以及没有为项目经理缴纳社会保险证明的违约责任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6C7822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项目经理未经批准，擅自离开施工现场的违约责任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368B37B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3.2.3 承包人擅自更换项目经理的违约责任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275373D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不得擅自更换投标时所报项目经理,否则发包人有权解除合同，由此造成的损失由承包人自行承担，承包人还应赔偿由此造成发包人的全部损失。确需更换的须在签订合同后，报经发包人同意后按相关规定办理，并支付</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万元的违约金</w:t>
      </w:r>
      <w:r>
        <w:rPr>
          <w:rStyle w:val="28"/>
          <w:rFonts w:hint="eastAsia" w:ascii="Times New Roman" w:hAnsi="Times New Roman"/>
          <w:smallCaps w:val="0"/>
          <w:color w:val="000000" w:themeColor="text1"/>
          <w:highlight w:val="none"/>
          <w14:textFill>
            <w14:solidFill>
              <w14:schemeClr w14:val="tx1"/>
            </w14:solidFill>
          </w14:textFill>
        </w:rPr>
        <w:footnoteReference w:id="60"/>
      </w:r>
      <w:r>
        <w:rPr>
          <w:rFonts w:hint="eastAsia" w:ascii="Times New Roman" w:hAnsi="Times New Roman"/>
          <w:smallCaps w:val="0"/>
          <w:color w:val="000000" w:themeColor="text1"/>
          <w:highlight w:val="none"/>
          <w14:textFill>
            <w14:solidFill>
              <w14:schemeClr w14:val="tx1"/>
            </w14:solidFill>
          </w14:textFill>
        </w:rPr>
        <w:t>，更换后的人员不得低于承包人投标时所报人员资质和技术水平。</w:t>
      </w:r>
    </w:p>
    <w:p w14:paraId="4833752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3.2.4 承包人无正当理由拒绝更换项目经理的违约责任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01B077A">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3.3 承包人人员</w:t>
      </w:r>
    </w:p>
    <w:p w14:paraId="66805D1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3.3.1 承包人提交项目管理机构及施工现场管理人员安排报告的期限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639482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3.3.3 承包人无正当理由拒绝撤换主要施工管理人员的违约责任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77C455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3.3.4 承包人主要施工管理人员离开施工现场的批准要求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C49248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3.3.5 承包人擅自更换主要施工管理人员的违约责任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不得擅自更换主要管理人员,否则发包人有权解除合同，由此造成的损失由承包人自行承担，承包人还应赔偿由此造成发包人的全部损失。确需更换的须在签订合同后，报经发包人同意后按相关规定办理，并支付</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万元/人的违约金，更换后的人员不得低于承包人投标时所报人员资质和技术水平。发包人如认为有必要，可要求对上述人员中的部分人员作出更好的调整。</w:t>
      </w:r>
    </w:p>
    <w:p w14:paraId="34054C0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承包人主要施工管理人员擅自离开施工现场的违约责任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93973D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 xml:space="preserve">3.3.6 </w:t>
      </w:r>
      <w:r>
        <w:rPr>
          <w:rFonts w:hint="eastAsia" w:ascii="Times New Roman" w:hAnsi="Times New Roman"/>
          <w:b w:val="0"/>
          <w:bCs w:val="0"/>
          <w:smallCaps w:val="0"/>
          <w:color w:val="000000" w:themeColor="text1"/>
          <w:sz w:val="21"/>
          <w:szCs w:val="21"/>
          <w:highlight w:val="none"/>
          <w:u w:val="none"/>
          <w:vertAlign w:val="baseline"/>
          <w:lang w:val="en-US" w:eastAsia="zh-CN"/>
          <w14:textFill>
            <w14:solidFill>
              <w14:schemeClr w14:val="tx1"/>
            </w14:solidFill>
          </w14:textFill>
        </w:rPr>
        <w:t>项目开工前，建设单位、施工单位、严格按照行业主管部门管理要求和投标文件人员配置情况、合同约定，将项目经理、技术负责人、施工员、质量员、专职安全员、劳务员等管理人员全部纳入实名制系统（电子考勤打卡系统）管理。发现人员配备不达标、擅自变更、不在岗、不按规定履行职责的，严格按合同约定追究违约责任，对涉嫌转包、违法分包的及时报行业监管部门</w:t>
      </w:r>
    </w:p>
    <w:p w14:paraId="6F1A3A3B">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3</w:t>
      </w:r>
      <w:bookmarkStart w:id="731" w:name="_Toc297216151"/>
      <w:bookmarkStart w:id="732" w:name="_Toc292559364"/>
      <w:bookmarkStart w:id="733" w:name="_Toc304295523"/>
      <w:bookmarkStart w:id="734" w:name="_Toc296347158"/>
      <w:bookmarkStart w:id="735" w:name="_Toc297120459"/>
      <w:bookmarkStart w:id="736" w:name="_Toc297123492"/>
      <w:bookmarkStart w:id="737" w:name="_Toc296346660"/>
      <w:bookmarkStart w:id="738" w:name="_Toc300934945"/>
      <w:bookmarkStart w:id="739" w:name="_Toc312677988"/>
      <w:bookmarkStart w:id="740" w:name="_Toc296891199"/>
      <w:bookmarkStart w:id="741" w:name="_Toc292559869"/>
      <w:bookmarkStart w:id="742" w:name="_Toc296503159"/>
      <w:bookmarkStart w:id="743" w:name="_Toc297048345"/>
      <w:bookmarkStart w:id="744" w:name="_Toc303539102"/>
      <w:bookmarkStart w:id="745" w:name="_Toc296944498"/>
      <w:bookmarkStart w:id="746" w:name="_Toc296890987"/>
      <w:r>
        <w:rPr>
          <w:rFonts w:hint="eastAsia" w:ascii="Times New Roman" w:hAnsi="Times New Roman"/>
          <w:b w:val="0"/>
          <w:smallCaps w:val="0"/>
          <w:color w:val="000000" w:themeColor="text1"/>
          <w:sz w:val="24"/>
          <w:szCs w:val="24"/>
          <w:highlight w:val="none"/>
          <w14:textFill>
            <w14:solidFill>
              <w14:schemeClr w14:val="tx1"/>
            </w14:solidFill>
          </w14:textFill>
        </w:rPr>
        <w:t>.5 分包</w:t>
      </w:r>
    </w:p>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14:paraId="517A08B9">
      <w:pPr>
        <w:pStyle w:val="77"/>
        <w:pageBreakBefore w:val="0"/>
        <w:widowControl w:val="0"/>
        <w:kinsoku/>
        <w:wordWrap w:val="0"/>
        <w:overflowPunct/>
        <w:topLinePunct w:val="0"/>
        <w:autoSpaceDE/>
        <w:autoSpaceDN/>
        <w:bidi w:val="0"/>
        <w:snapToGrid/>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3</w:t>
      </w:r>
      <w:bookmarkStart w:id="747" w:name="_Toc296346661"/>
      <w:bookmarkStart w:id="748" w:name="_Toc296347159"/>
      <w:bookmarkStart w:id="749" w:name="_Toc300934946"/>
      <w:bookmarkStart w:id="750" w:name="_Toc296890988"/>
      <w:bookmarkStart w:id="751" w:name="_Toc296944499"/>
      <w:bookmarkStart w:id="752" w:name="_Toc304295524"/>
      <w:bookmarkStart w:id="753" w:name="_Toc303539103"/>
      <w:bookmarkStart w:id="754" w:name="_Toc292559365"/>
      <w:bookmarkStart w:id="755" w:name="_Toc297123493"/>
      <w:bookmarkStart w:id="756" w:name="_Toc297120460"/>
      <w:bookmarkStart w:id="757" w:name="_Toc296891200"/>
      <w:bookmarkStart w:id="758" w:name="_Toc296503160"/>
      <w:bookmarkStart w:id="759" w:name="_Toc297216152"/>
      <w:bookmarkStart w:id="760" w:name="_Toc297048346"/>
      <w:bookmarkStart w:id="761" w:name="_Toc292559870"/>
      <w:bookmarkStart w:id="762" w:name="_Toc312677989"/>
      <w:bookmarkStart w:id="763" w:name="_Toc318581158"/>
      <w:r>
        <w:rPr>
          <w:rFonts w:hint="eastAsia" w:ascii="Times New Roman" w:hAnsi="Times New Roman"/>
          <w:b w:val="0"/>
          <w:smallCaps w:val="0"/>
          <w:color w:val="000000" w:themeColor="text1"/>
          <w:sz w:val="24"/>
          <w:szCs w:val="24"/>
          <w:highlight w:val="none"/>
          <w14:textFill>
            <w14:solidFill>
              <w14:schemeClr w14:val="tx1"/>
            </w14:solidFill>
          </w14:textFill>
        </w:rPr>
        <w:t>.5.1 分包的一般约定</w:t>
      </w:r>
    </w:p>
    <w:p w14:paraId="2D0D317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禁止分包的工程包括</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A9530E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主体结构、关键性工作的范围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Start w:id="764" w:name="_Toc296891201"/>
      <w:bookmarkStart w:id="765" w:name="_Toc296944500"/>
      <w:bookmarkStart w:id="766" w:name="_Toc296346662"/>
      <w:bookmarkStart w:id="767" w:name="_Toc297123494"/>
      <w:bookmarkStart w:id="768" w:name="_Toc296890989"/>
      <w:bookmarkStart w:id="769" w:name="_Toc300934947"/>
      <w:bookmarkStart w:id="770" w:name="_Toc297048347"/>
      <w:bookmarkStart w:id="771" w:name="_Toc297120461"/>
      <w:bookmarkStart w:id="772" w:name="_Toc304295525"/>
      <w:bookmarkStart w:id="773" w:name="_Toc303539104"/>
      <w:bookmarkStart w:id="774" w:name="_Toc296503161"/>
      <w:bookmarkStart w:id="775" w:name="_Toc297216153"/>
      <w:bookmarkStart w:id="776" w:name="_Toc296347160"/>
    </w:p>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14:paraId="72E9BC0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bookmarkStart w:id="777" w:name="_Toc318581159"/>
      <w:bookmarkStart w:id="778" w:name="_Toc312677990"/>
      <w:r>
        <w:rPr>
          <w:rFonts w:hint="eastAsia" w:ascii="Times New Roman" w:hAnsi="Times New Roman"/>
          <w:smallCaps w:val="0"/>
          <w:color w:val="000000" w:themeColor="text1"/>
          <w:highlight w:val="none"/>
          <w14:textFill>
            <w14:solidFill>
              <w14:schemeClr w14:val="tx1"/>
            </w14:solidFill>
          </w14:textFill>
        </w:rPr>
        <w:t>.5.2 分包的确定</w:t>
      </w:r>
    </w:p>
    <w:p w14:paraId="3B78164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允许分包的专业工程包括</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FDF373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其他关于分包的约定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1174A7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3.5.4 分包合同价款</w:t>
      </w:r>
    </w:p>
    <w:p w14:paraId="0C11AEA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关于分包合同价款支付的约定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777"/>
    <w:bookmarkEnd w:id="778"/>
    <w:p w14:paraId="79CAE0EF">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3.6 工程照管与成品、半成品保护</w:t>
      </w:r>
    </w:p>
    <w:p w14:paraId="2F905F9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承包人负责照管工程及工程相关的材料、工程设备的起始时间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自发包人向承包人移交施工现场之日起，承包人应负责照管工程及工程相关的材料、工程设备，直到颁发工程接收证书之日止。</w:t>
      </w:r>
    </w:p>
    <w:p w14:paraId="7BC2D06F">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3.7 履约保证金</w:t>
      </w:r>
    </w:p>
    <w:p w14:paraId="456663C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承包人是否提供履约保证金</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提供。</w:t>
      </w:r>
    </w:p>
    <w:p w14:paraId="197CC7F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承包人提供履约保证金的形式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银行转账或银行电汇或银行保函或担保机构担保或保证保险</w:t>
      </w:r>
    </w:p>
    <w:p w14:paraId="7C53A49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p w14:paraId="06EDE91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履约保证金的金额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中标合同金额的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6CD66C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履约保证金提交期限的要求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签订合同前</w:t>
      </w:r>
      <w:r>
        <w:rPr>
          <w:rFonts w:hint="eastAsia" w:ascii="Times New Roman" w:hAnsi="Times New Roman"/>
          <w:smallCaps w:val="0"/>
          <w:color w:val="000000" w:themeColor="text1"/>
          <w:highlight w:val="none"/>
          <w:lang w:eastAsia="zh-CN"/>
          <w14:textFill>
            <w14:solidFill>
              <w14:schemeClr w14:val="tx1"/>
            </w14:solidFill>
          </w14:textFill>
        </w:rPr>
        <w:t>。</w:t>
      </w:r>
    </w:p>
    <w:p w14:paraId="2D7BFAC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履约保证金退还时限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履约保证金有效期满7日内（最迟不得超过项目竣工验收通过后28天）。</w:t>
      </w:r>
    </w:p>
    <w:p w14:paraId="1E6490E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履约保证金退还其他事项</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以银行转账或银行电汇方式提交履约保证金的，同时退还同期银行存款利息。</w:t>
      </w:r>
    </w:p>
    <w:p w14:paraId="2188060F">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779" w:name="_Toc351203636"/>
      <w:r>
        <w:rPr>
          <w:rFonts w:hint="eastAsia" w:ascii="Times New Roman" w:hAnsi="Times New Roman"/>
          <w:b w:val="0"/>
          <w:smallCaps w:val="0"/>
          <w:color w:val="000000" w:themeColor="text1"/>
          <w:sz w:val="24"/>
          <w:szCs w:val="24"/>
          <w:highlight w:val="none"/>
          <w14:textFill>
            <w14:solidFill>
              <w14:schemeClr w14:val="tx1"/>
            </w14:solidFill>
          </w14:textFill>
        </w:rPr>
        <w:t>4</w:t>
      </w:r>
      <w:bookmarkStart w:id="780" w:name="_Toc296890990"/>
      <w:bookmarkStart w:id="781" w:name="_Toc297048348"/>
      <w:bookmarkStart w:id="782" w:name="_Toc267251413"/>
      <w:bookmarkStart w:id="783" w:name="_Toc296944501"/>
      <w:bookmarkStart w:id="784" w:name="_Toc296891202"/>
      <w:bookmarkStart w:id="785" w:name="_Toc292559871"/>
      <w:bookmarkStart w:id="786" w:name="_Toc297120462"/>
      <w:bookmarkStart w:id="787" w:name="_Toc296347161"/>
      <w:bookmarkStart w:id="788" w:name="_Toc296503162"/>
      <w:bookmarkStart w:id="789" w:name="_Toc296346663"/>
      <w:bookmarkStart w:id="790" w:name="_Toc292559366"/>
      <w:r>
        <w:rPr>
          <w:rFonts w:hint="eastAsia" w:ascii="Times New Roman" w:hAnsi="Times New Roman"/>
          <w:b w:val="0"/>
          <w:smallCaps w:val="0"/>
          <w:color w:val="000000" w:themeColor="text1"/>
          <w:sz w:val="24"/>
          <w:szCs w:val="24"/>
          <w:highlight w:val="none"/>
          <w14:textFill>
            <w14:solidFill>
              <w14:schemeClr w14:val="tx1"/>
            </w14:solidFill>
          </w14:textFill>
        </w:rPr>
        <w:t>. 监</w:t>
      </w:r>
      <w:bookmarkEnd w:id="780"/>
      <w:bookmarkEnd w:id="781"/>
      <w:bookmarkEnd w:id="782"/>
      <w:bookmarkEnd w:id="783"/>
      <w:bookmarkEnd w:id="784"/>
      <w:bookmarkEnd w:id="785"/>
      <w:bookmarkEnd w:id="786"/>
      <w:bookmarkEnd w:id="787"/>
      <w:bookmarkEnd w:id="788"/>
      <w:bookmarkEnd w:id="789"/>
      <w:bookmarkEnd w:id="790"/>
      <w:r>
        <w:rPr>
          <w:rFonts w:hint="eastAsia" w:ascii="Times New Roman" w:hAnsi="Times New Roman"/>
          <w:b w:val="0"/>
          <w:smallCaps w:val="0"/>
          <w:color w:val="000000" w:themeColor="text1"/>
          <w:sz w:val="24"/>
          <w:szCs w:val="24"/>
          <w:highlight w:val="none"/>
          <w14:textFill>
            <w14:solidFill>
              <w14:schemeClr w14:val="tx1"/>
            </w14:solidFill>
          </w14:textFill>
        </w:rPr>
        <w:t>理人</w:t>
      </w:r>
      <w:bookmarkEnd w:id="779"/>
    </w:p>
    <w:p w14:paraId="3EAF703C">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4.1 监理人的一般规定</w:t>
      </w:r>
    </w:p>
    <w:p w14:paraId="4AB3586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关于监理人的监理内容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8AEC2F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关于监理人的监理权限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w:t>
      </w:r>
    </w:p>
    <w:p w14:paraId="1CFC15D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关于监理人在施工现场的办公场所、生活场所的提供和费用承担的约定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9E33A62">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4.2 监理人员</w:t>
      </w:r>
    </w:p>
    <w:p w14:paraId="07B1B6B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总监理工程师</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999428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姓</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名</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2F2211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职</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务</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017232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监理工程师执业资格证书号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556DC4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联系电话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7AE247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电子信箱</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C2CB87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通信地址</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DFE1F4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关于监理人的其他约定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1C9AACB">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4.4 商定或确定</w:t>
      </w:r>
    </w:p>
    <w:p w14:paraId="0B05A63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bookmarkStart w:id="791" w:name="_Toc267251418"/>
      <w:r>
        <w:rPr>
          <w:rFonts w:hint="eastAsia" w:ascii="Times New Roman" w:hAnsi="Times New Roman"/>
          <w:smallCaps w:val="0"/>
          <w:color w:val="000000" w:themeColor="text1"/>
          <w:highlight w:val="none"/>
          <w14:textFill>
            <w14:solidFill>
              <w14:schemeClr w14:val="tx1"/>
            </w14:solidFill>
          </w14:textFill>
        </w:rPr>
        <w:t>在发包人和承包人不能通过协商达成一致意见时，发包人授权监理人对以下事项进行确定</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3CC0733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D82DDD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B5E903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B4CAAE3">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792" w:name="_Toc351203637"/>
      <w:r>
        <w:rPr>
          <w:rFonts w:hint="eastAsia" w:ascii="Times New Roman" w:hAnsi="Times New Roman"/>
          <w:b w:val="0"/>
          <w:smallCaps w:val="0"/>
          <w:color w:val="000000" w:themeColor="text1"/>
          <w:sz w:val="24"/>
          <w:szCs w:val="24"/>
          <w:highlight w:val="none"/>
          <w14:textFill>
            <w14:solidFill>
              <w14:schemeClr w14:val="tx1"/>
            </w14:solidFill>
          </w14:textFill>
        </w:rPr>
        <w:t>5</w:t>
      </w:r>
      <w:bookmarkEnd w:id="791"/>
      <w:bookmarkStart w:id="793" w:name="_Toc296944502"/>
      <w:bookmarkStart w:id="794" w:name="_Toc292559872"/>
      <w:bookmarkStart w:id="795" w:name="_Toc296346664"/>
      <w:bookmarkStart w:id="796" w:name="_Toc292559367"/>
      <w:bookmarkStart w:id="797" w:name="_Toc297120463"/>
      <w:bookmarkStart w:id="798" w:name="_Toc297048349"/>
      <w:bookmarkStart w:id="799" w:name="_Toc296891203"/>
      <w:bookmarkStart w:id="800" w:name="_Toc296890991"/>
      <w:bookmarkStart w:id="801" w:name="_Toc296503163"/>
      <w:bookmarkStart w:id="802" w:name="_Toc296347162"/>
      <w:r>
        <w:rPr>
          <w:rFonts w:hint="eastAsia" w:ascii="Times New Roman" w:hAnsi="Times New Roman"/>
          <w:b w:val="0"/>
          <w:smallCaps w:val="0"/>
          <w:color w:val="000000" w:themeColor="text1"/>
          <w:sz w:val="24"/>
          <w:szCs w:val="24"/>
          <w:highlight w:val="none"/>
          <w14:textFill>
            <w14:solidFill>
              <w14:schemeClr w14:val="tx1"/>
            </w14:solidFill>
          </w14:textFill>
        </w:rPr>
        <w:t>. 工程质量</w:t>
      </w:r>
      <w:bookmarkEnd w:id="792"/>
    </w:p>
    <w:p w14:paraId="124A9B79">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5.1 质量要求</w:t>
      </w:r>
    </w:p>
    <w:p w14:paraId="20F0444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w:t>
      </w:r>
      <w:bookmarkStart w:id="803" w:name="_Toc297123496"/>
      <w:bookmarkStart w:id="804" w:name="_Toc312677997"/>
      <w:bookmarkStart w:id="805" w:name="_Toc303539106"/>
      <w:bookmarkStart w:id="806" w:name="_Toc300934949"/>
      <w:bookmarkStart w:id="807" w:name="_Toc318581164"/>
      <w:bookmarkStart w:id="808" w:name="_Toc304295527"/>
      <w:bookmarkStart w:id="809" w:name="_Toc297216155"/>
      <w:r>
        <w:rPr>
          <w:rFonts w:hint="eastAsia" w:ascii="Times New Roman" w:hAnsi="Times New Roman"/>
          <w:smallCaps w:val="0"/>
          <w:color w:val="000000" w:themeColor="text1"/>
          <w:highlight w:val="none"/>
          <w14:textFill>
            <w14:solidFill>
              <w14:schemeClr w14:val="tx1"/>
            </w14:solidFill>
          </w14:textFill>
        </w:rPr>
        <w:t>.1.1 特殊质量标准和要求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1A3C07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关于工程奖项的约定</w:t>
      </w:r>
      <w:r>
        <w:rPr>
          <w:rStyle w:val="28"/>
          <w:rFonts w:hint="eastAsia" w:ascii="Times New Roman" w:hAnsi="Times New Roman"/>
          <w:smallCaps w:val="0"/>
          <w:color w:val="000000" w:themeColor="text1"/>
          <w:highlight w:val="none"/>
          <w14:textFill>
            <w14:solidFill>
              <w14:schemeClr w14:val="tx1"/>
            </w14:solidFill>
          </w14:textFill>
        </w:rPr>
        <w:footnoteReference w:id="61"/>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DFF04C2">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5.3 隐蔽工程检查</w:t>
      </w:r>
    </w:p>
    <w:p w14:paraId="30E991F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5.3.2 承包人提前通知监理人隐蔽工程检查的期限的约定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ED755E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监理人不能按时进行检查时，应提前</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小时提交书面延期要求。</w:t>
      </w:r>
    </w:p>
    <w:p w14:paraId="79B2590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关于延期最长不得超过</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小时。</w:t>
      </w:r>
    </w:p>
    <w:p w14:paraId="0FB9428B">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810" w:name="_Toc351203638"/>
      <w:r>
        <w:rPr>
          <w:rFonts w:hint="eastAsia" w:ascii="Times New Roman" w:hAnsi="Times New Roman"/>
          <w:b w:val="0"/>
          <w:smallCaps w:val="0"/>
          <w:color w:val="000000" w:themeColor="text1"/>
          <w:sz w:val="24"/>
          <w:szCs w:val="24"/>
          <w:highlight w:val="none"/>
          <w14:textFill>
            <w14:solidFill>
              <w14:schemeClr w14:val="tx1"/>
            </w14:solidFill>
          </w14:textFill>
        </w:rPr>
        <w:t>6. 安全文明施工与环境保护</w:t>
      </w:r>
      <w:bookmarkEnd w:id="810"/>
    </w:p>
    <w:p w14:paraId="56E4BA02">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6.1 安全文明施工</w:t>
      </w:r>
    </w:p>
    <w:p w14:paraId="3F37B63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6.1.1 项目安全生产的达标目标及相应事项的约定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0D9CC3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6.1.4 关于治安保卫的特别约定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BB6470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关于编制施工场地治安管理计划的约定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B19791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6.1.5 文明施工</w:t>
      </w:r>
    </w:p>
    <w:p w14:paraId="015494E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合同当事人对文明施工的要求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27C6B0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6.1.6 关于安全文明施工费支付比例和支付期限的约定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803"/>
    <w:bookmarkEnd w:id="804"/>
    <w:bookmarkEnd w:id="805"/>
    <w:bookmarkEnd w:id="806"/>
    <w:bookmarkEnd w:id="807"/>
    <w:bookmarkEnd w:id="808"/>
    <w:bookmarkEnd w:id="809"/>
    <w:p w14:paraId="6B77ADA6">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811" w:name="_Toc351203639"/>
      <w:r>
        <w:rPr>
          <w:rFonts w:hint="eastAsia" w:ascii="Times New Roman" w:hAnsi="Times New Roman"/>
          <w:b w:val="0"/>
          <w:smallCaps w:val="0"/>
          <w:color w:val="000000" w:themeColor="text1"/>
          <w:sz w:val="24"/>
          <w:szCs w:val="24"/>
          <w:highlight w:val="none"/>
          <w14:textFill>
            <w14:solidFill>
              <w14:schemeClr w14:val="tx1"/>
            </w14:solidFill>
          </w14:textFill>
        </w:rPr>
        <w:t>7. 工期和进度</w:t>
      </w:r>
      <w:bookmarkEnd w:id="811"/>
    </w:p>
    <w:p w14:paraId="244E081A">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7.1 施工组织设计</w:t>
      </w:r>
    </w:p>
    <w:p w14:paraId="6248D88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7.1.1 合同当事人约定的施工组织设计应包括的其他内容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总进度计划须含网络图、横道图</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32F311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7.1.2 施工组织设计的提交和修改</w:t>
      </w:r>
    </w:p>
    <w:p w14:paraId="4E12C6C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承包人提交详细施工组织设计的期限的约定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653552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发包人和监理人在收到详细的施工组织设计后确认或提出修改意见的期限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10CEA3E">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7</w:t>
      </w:r>
      <w:bookmarkStart w:id="812" w:name="_Toc304295541"/>
      <w:bookmarkStart w:id="813" w:name="_Toc312678005"/>
      <w:bookmarkStart w:id="814" w:name="_Toc297123514"/>
      <w:bookmarkStart w:id="815" w:name="_Toc312677479"/>
      <w:bookmarkStart w:id="816" w:name="_Toc303539123"/>
      <w:bookmarkStart w:id="817" w:name="_Toc300934966"/>
      <w:bookmarkStart w:id="818" w:name="_Toc297216173"/>
      <w:r>
        <w:rPr>
          <w:rFonts w:hint="eastAsia" w:ascii="Times New Roman" w:hAnsi="Times New Roman"/>
          <w:b w:val="0"/>
          <w:smallCaps w:val="0"/>
          <w:color w:val="000000" w:themeColor="text1"/>
          <w:sz w:val="24"/>
          <w:szCs w:val="24"/>
          <w:highlight w:val="none"/>
          <w14:textFill>
            <w14:solidFill>
              <w14:schemeClr w14:val="tx1"/>
            </w14:solidFill>
          </w14:textFill>
        </w:rPr>
        <w:t>.2 施工进度计划</w:t>
      </w:r>
    </w:p>
    <w:p w14:paraId="5E6E740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7.2.2 施工进度计划的修订</w:t>
      </w:r>
    </w:p>
    <w:p w14:paraId="57A3B3E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发包人和监理人在收到修订的施工进度计划后确认或提出修改意见的期限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866BFC9">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7.3 开工</w:t>
      </w:r>
    </w:p>
    <w:p w14:paraId="1C7418A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7.3.1 开工准备</w:t>
      </w:r>
    </w:p>
    <w:p w14:paraId="0A647A9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关于承包人提交工程开工报审表的期限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5B7507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关于发包人应完成的其他开工准备工作及期限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D15852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关于承包人应完成的其他开工准备工作及期限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AC49A7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7.3.2 开工通知</w:t>
      </w:r>
    </w:p>
    <w:p w14:paraId="1534217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因发包人原因造成监理人未能在计划开工日期之日起</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天内发出开工通知的，承包人</w:t>
      </w:r>
      <w:r>
        <w:rPr>
          <w:rFonts w:hint="eastAsia" w:ascii="Times New Roman" w:hAnsi="Times New Roman"/>
          <w:smallCaps w:val="0"/>
          <w:color w:val="000000" w:themeColor="text1"/>
          <w:highlight w:val="none"/>
          <w14:textFill>
            <w14:solidFill>
              <w14:schemeClr w14:val="tx1"/>
            </w14:solidFill>
          </w14:textFill>
        </w:rPr>
        <w:t>有权提出价格调整要求，或者解除合同。</w:t>
      </w:r>
    </w:p>
    <w:bookmarkEnd w:id="812"/>
    <w:bookmarkEnd w:id="813"/>
    <w:bookmarkEnd w:id="814"/>
    <w:bookmarkEnd w:id="815"/>
    <w:bookmarkEnd w:id="816"/>
    <w:bookmarkEnd w:id="817"/>
    <w:bookmarkEnd w:id="818"/>
    <w:p w14:paraId="58D2C672">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7.4 测量放线</w:t>
      </w:r>
    </w:p>
    <w:p w14:paraId="1FF171F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7.4.1 发包人通过监理人向承包人提供测量基准点、基准线和水准点及其书面资料的期限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629DCE8">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7</w:t>
      </w:r>
      <w:bookmarkStart w:id="819" w:name="_Toc312677484"/>
      <w:bookmarkStart w:id="820" w:name="_Toc297216175"/>
      <w:bookmarkStart w:id="821" w:name="_Toc303539125"/>
      <w:bookmarkStart w:id="822" w:name="_Toc304295546"/>
      <w:bookmarkStart w:id="823" w:name="_Toc300934968"/>
      <w:bookmarkStart w:id="824" w:name="_Toc312678010"/>
      <w:bookmarkStart w:id="825" w:name="_Toc297123516"/>
      <w:r>
        <w:rPr>
          <w:rFonts w:hint="eastAsia" w:ascii="Times New Roman" w:hAnsi="Times New Roman"/>
          <w:b w:val="0"/>
          <w:smallCaps w:val="0"/>
          <w:color w:val="000000" w:themeColor="text1"/>
          <w:sz w:val="24"/>
          <w:szCs w:val="24"/>
          <w:highlight w:val="none"/>
          <w14:textFill>
            <w14:solidFill>
              <w14:schemeClr w14:val="tx1"/>
            </w14:solidFill>
          </w14:textFill>
        </w:rPr>
        <w:t>.5 工期延误</w:t>
      </w:r>
    </w:p>
    <w:bookmarkEnd w:id="819"/>
    <w:bookmarkEnd w:id="820"/>
    <w:bookmarkEnd w:id="821"/>
    <w:bookmarkEnd w:id="822"/>
    <w:bookmarkEnd w:id="823"/>
    <w:bookmarkEnd w:id="824"/>
    <w:bookmarkEnd w:id="825"/>
    <w:p w14:paraId="328E135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7.5.1 因发包人原因导致工期延误</w:t>
      </w:r>
    </w:p>
    <w:p w14:paraId="4E1FFC4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（7）因发包人原因导致工期延误的其他情形</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756B4C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w:t>
      </w:r>
      <w:bookmarkStart w:id="826" w:name="_Toc312678012"/>
      <w:bookmarkStart w:id="827" w:name="_Toc312677486"/>
      <w:bookmarkStart w:id="828" w:name="_Toc318581169"/>
      <w:bookmarkStart w:id="829" w:name="_Toc300934970"/>
      <w:bookmarkStart w:id="830" w:name="_Toc303539127"/>
      <w:bookmarkStart w:id="831" w:name="_Toc297123518"/>
      <w:bookmarkStart w:id="832" w:name="_Toc297216177"/>
      <w:bookmarkStart w:id="833" w:name="_Toc304295548"/>
      <w:r>
        <w:rPr>
          <w:rFonts w:hint="eastAsia" w:ascii="Times New Roman" w:hAnsi="Times New Roman"/>
          <w:smallCaps w:val="0"/>
          <w:color w:val="000000" w:themeColor="text1"/>
          <w:highlight w:val="none"/>
          <w14:textFill>
            <w14:solidFill>
              <w14:schemeClr w14:val="tx1"/>
            </w14:solidFill>
          </w14:textFill>
        </w:rPr>
        <w:t>.5.2 因承包人原因导致工期延误</w:t>
      </w:r>
    </w:p>
    <w:bookmarkEnd w:id="826"/>
    <w:bookmarkEnd w:id="827"/>
    <w:bookmarkEnd w:id="828"/>
    <w:p w14:paraId="6F01107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因</w:t>
      </w:r>
      <w:bookmarkStart w:id="834" w:name="_Toc312678013"/>
      <w:bookmarkStart w:id="835" w:name="_Toc312677487"/>
      <w:bookmarkStart w:id="836" w:name="_Toc318581170"/>
      <w:r>
        <w:rPr>
          <w:rFonts w:hint="eastAsia" w:ascii="Times New Roman" w:hAnsi="Times New Roman"/>
          <w:smallCaps w:val="0"/>
          <w:color w:val="000000" w:themeColor="text1"/>
          <w:highlight w:val="none"/>
          <w14:textFill>
            <w14:solidFill>
              <w14:schemeClr w14:val="tx1"/>
            </w14:solidFill>
          </w14:textFill>
        </w:rPr>
        <w:t>承包人原因造成工期延误，逾期竣工违约金的计算方法为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bookmarkEnd w:id="829"/>
      <w:bookmarkEnd w:id="830"/>
      <w:bookmarkEnd w:id="831"/>
      <w:bookmarkEnd w:id="832"/>
      <w:bookmarkEnd w:id="833"/>
      <w:bookmarkEnd w:id="834"/>
      <w:bookmarkEnd w:id="835"/>
    </w:p>
    <w:bookmarkEnd w:id="836"/>
    <w:p w14:paraId="6D0A062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因承包人原因造成工期延误，逾</w:t>
      </w:r>
      <w:bookmarkStart w:id="837" w:name="_Toc312678014"/>
      <w:bookmarkStart w:id="838" w:name="_Toc318581171"/>
      <w:r>
        <w:rPr>
          <w:rFonts w:hint="eastAsia" w:ascii="Times New Roman" w:hAnsi="Times New Roman"/>
          <w:smallCaps w:val="0"/>
          <w:color w:val="000000" w:themeColor="text1"/>
          <w:highlight w:val="none"/>
          <w14:textFill>
            <w14:solidFill>
              <w14:schemeClr w14:val="tx1"/>
            </w14:solidFill>
          </w14:textFill>
        </w:rPr>
        <w:t>期竣工违约金的上限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837"/>
    <w:bookmarkEnd w:id="838"/>
    <w:p w14:paraId="109F01B8">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7</w:t>
      </w:r>
      <w:bookmarkStart w:id="839" w:name="_Toc303539128"/>
      <w:bookmarkStart w:id="840" w:name="_Toc297123519"/>
      <w:bookmarkStart w:id="841" w:name="_Toc304295549"/>
      <w:bookmarkStart w:id="842" w:name="_Toc300934971"/>
      <w:bookmarkStart w:id="843" w:name="_Toc312678015"/>
      <w:bookmarkStart w:id="844" w:name="_Toc297216178"/>
      <w:r>
        <w:rPr>
          <w:rFonts w:hint="eastAsia" w:ascii="Times New Roman" w:hAnsi="Times New Roman"/>
          <w:b w:val="0"/>
          <w:smallCaps w:val="0"/>
          <w:color w:val="000000" w:themeColor="text1"/>
          <w:sz w:val="24"/>
          <w:szCs w:val="24"/>
          <w:highlight w:val="none"/>
          <w14:textFill>
            <w14:solidFill>
              <w14:schemeClr w14:val="tx1"/>
            </w14:solidFill>
          </w14:textFill>
        </w:rPr>
        <w:t>.6 不</w:t>
      </w:r>
      <w:bookmarkEnd w:id="839"/>
      <w:bookmarkEnd w:id="840"/>
      <w:bookmarkEnd w:id="841"/>
      <w:bookmarkEnd w:id="842"/>
      <w:bookmarkEnd w:id="843"/>
      <w:bookmarkEnd w:id="844"/>
      <w:r>
        <w:rPr>
          <w:rFonts w:hint="eastAsia" w:ascii="Times New Roman" w:hAnsi="Times New Roman"/>
          <w:b w:val="0"/>
          <w:smallCaps w:val="0"/>
          <w:color w:val="000000" w:themeColor="text1"/>
          <w:sz w:val="24"/>
          <w:szCs w:val="24"/>
          <w:highlight w:val="none"/>
          <w14:textFill>
            <w14:solidFill>
              <w14:schemeClr w14:val="tx1"/>
            </w14:solidFill>
          </w14:textFill>
        </w:rPr>
        <w:t>利物质条件</w:t>
      </w:r>
    </w:p>
    <w:p w14:paraId="310986A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bookmarkStart w:id="845" w:name="_Toc297216179"/>
      <w:bookmarkStart w:id="846" w:name="_Toc297123520"/>
      <w:bookmarkStart w:id="847" w:name="_Toc312678016"/>
      <w:bookmarkStart w:id="848" w:name="_Toc303539129"/>
      <w:bookmarkStart w:id="849" w:name="_Toc304295550"/>
      <w:bookmarkStart w:id="850" w:name="_Toc318581172"/>
      <w:bookmarkStart w:id="851" w:name="_Toc300934972"/>
      <w:r>
        <w:rPr>
          <w:rFonts w:hint="eastAsia" w:ascii="Times New Roman" w:hAnsi="Times New Roman"/>
          <w:smallCaps w:val="0"/>
          <w:color w:val="000000" w:themeColor="text1"/>
          <w:highlight w:val="none"/>
          <w14:textFill>
            <w14:solidFill>
              <w14:schemeClr w14:val="tx1"/>
            </w14:solidFill>
          </w14:textFill>
        </w:rPr>
        <w:t>不利物质条件的其他情形和有关约定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845"/>
    <w:bookmarkEnd w:id="846"/>
    <w:bookmarkEnd w:id="847"/>
    <w:bookmarkEnd w:id="848"/>
    <w:bookmarkEnd w:id="849"/>
    <w:bookmarkEnd w:id="850"/>
    <w:bookmarkEnd w:id="851"/>
    <w:p w14:paraId="0C6A9D49">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7</w:t>
      </w:r>
      <w:bookmarkStart w:id="852" w:name="_Toc297123521"/>
      <w:bookmarkStart w:id="853" w:name="_Toc304295551"/>
      <w:bookmarkStart w:id="854" w:name="_Toc297216180"/>
      <w:bookmarkStart w:id="855" w:name="_Toc300934973"/>
      <w:bookmarkStart w:id="856" w:name="_Toc303539130"/>
      <w:bookmarkStart w:id="857" w:name="_Toc312678017"/>
      <w:r>
        <w:rPr>
          <w:rFonts w:hint="eastAsia" w:ascii="Times New Roman" w:hAnsi="Times New Roman"/>
          <w:b w:val="0"/>
          <w:smallCaps w:val="0"/>
          <w:color w:val="000000" w:themeColor="text1"/>
          <w:sz w:val="24"/>
          <w:szCs w:val="24"/>
          <w:highlight w:val="none"/>
          <w14:textFill>
            <w14:solidFill>
              <w14:schemeClr w14:val="tx1"/>
            </w14:solidFill>
          </w14:textFill>
        </w:rPr>
        <w:t>.7 异常恶劣的气候条件</w:t>
      </w:r>
    </w:p>
    <w:bookmarkEnd w:id="852"/>
    <w:bookmarkEnd w:id="853"/>
    <w:bookmarkEnd w:id="854"/>
    <w:bookmarkEnd w:id="855"/>
    <w:bookmarkEnd w:id="856"/>
    <w:bookmarkEnd w:id="857"/>
    <w:p w14:paraId="7821B6F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发包人和承包人同意以下情形视为异常恶劣的气候条件</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9B2C4D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F3593B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757019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5EA613C">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7.9 提前竣工</w:t>
      </w:r>
    </w:p>
    <w:p w14:paraId="35DE016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7.9.2 提前竣工的奖励</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CA4A4E7">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858" w:name="_Toc351203640"/>
      <w:r>
        <w:rPr>
          <w:rFonts w:hint="eastAsia" w:ascii="Times New Roman" w:hAnsi="Times New Roman"/>
          <w:b w:val="0"/>
          <w:smallCaps w:val="0"/>
          <w:color w:val="000000" w:themeColor="text1"/>
          <w:sz w:val="24"/>
          <w:szCs w:val="24"/>
          <w:highlight w:val="none"/>
          <w14:textFill>
            <w14:solidFill>
              <w14:schemeClr w14:val="tx1"/>
            </w14:solidFill>
          </w14:textFill>
        </w:rPr>
        <w:t>8. 材料与设备</w:t>
      </w:r>
      <w:bookmarkEnd w:id="858"/>
    </w:p>
    <w:bookmarkEnd w:id="793"/>
    <w:bookmarkEnd w:id="794"/>
    <w:bookmarkEnd w:id="795"/>
    <w:bookmarkEnd w:id="796"/>
    <w:bookmarkEnd w:id="797"/>
    <w:bookmarkEnd w:id="798"/>
    <w:bookmarkEnd w:id="799"/>
    <w:bookmarkEnd w:id="800"/>
    <w:bookmarkEnd w:id="801"/>
    <w:bookmarkEnd w:id="802"/>
    <w:p w14:paraId="09EF9182">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8</w:t>
      </w:r>
      <w:bookmarkStart w:id="859" w:name="_Toc300934979"/>
      <w:bookmarkStart w:id="860" w:name="_Toc296347166"/>
      <w:bookmarkStart w:id="861" w:name="_Toc297120467"/>
      <w:bookmarkStart w:id="862" w:name="_Toc296346668"/>
      <w:bookmarkStart w:id="863" w:name="_Toc292559877"/>
      <w:bookmarkStart w:id="864" w:name="_Toc312677493"/>
      <w:bookmarkStart w:id="865" w:name="_Toc312678019"/>
      <w:bookmarkStart w:id="866" w:name="_Toc297216186"/>
      <w:bookmarkStart w:id="867" w:name="_Toc296503167"/>
      <w:bookmarkStart w:id="868" w:name="_Toc297048353"/>
      <w:bookmarkStart w:id="869" w:name="_Toc292559372"/>
      <w:bookmarkStart w:id="870" w:name="_Toc296891207"/>
      <w:bookmarkStart w:id="871" w:name="_Toc296944506"/>
      <w:bookmarkStart w:id="872" w:name="_Toc303539136"/>
      <w:bookmarkStart w:id="873" w:name="_Toc304295556"/>
      <w:bookmarkStart w:id="874" w:name="_Toc280868654"/>
      <w:bookmarkStart w:id="875" w:name="_Toc297123527"/>
      <w:bookmarkStart w:id="876" w:name="_Toc296890995"/>
      <w:bookmarkStart w:id="877" w:name="_Toc280868655"/>
      <w:bookmarkStart w:id="878" w:name="_Toc280868656"/>
      <w:bookmarkStart w:id="879" w:name="_Toc267251424"/>
      <w:r>
        <w:rPr>
          <w:rFonts w:hint="eastAsia" w:ascii="Times New Roman" w:hAnsi="Times New Roman"/>
          <w:b w:val="0"/>
          <w:smallCaps w:val="0"/>
          <w:color w:val="000000" w:themeColor="text1"/>
          <w:sz w:val="24"/>
          <w:szCs w:val="24"/>
          <w:highlight w:val="none"/>
          <w14:textFill>
            <w14:solidFill>
              <w14:schemeClr w14:val="tx1"/>
            </w14:solidFill>
          </w14:textFill>
        </w:rPr>
        <w:t>.4 材料与工程设备的保管与使用</w:t>
      </w:r>
    </w:p>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14:paraId="3C775E7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w:t>
      </w:r>
      <w:bookmarkStart w:id="880" w:name="_Toc292559878"/>
      <w:bookmarkStart w:id="881" w:name="_Toc292559373"/>
      <w:bookmarkStart w:id="882" w:name="_Toc296503168"/>
      <w:bookmarkStart w:id="883" w:name="_Toc297120468"/>
      <w:bookmarkStart w:id="884" w:name="_Toc296944507"/>
      <w:bookmarkStart w:id="885" w:name="_Toc296346669"/>
      <w:bookmarkStart w:id="886" w:name="_Toc296347167"/>
      <w:bookmarkStart w:id="887" w:name="_Toc296890996"/>
      <w:bookmarkStart w:id="888" w:name="_Toc318581173"/>
      <w:bookmarkStart w:id="889" w:name="_Toc297123528"/>
      <w:bookmarkStart w:id="890" w:name="_Toc296891208"/>
      <w:bookmarkStart w:id="891" w:name="_Toc312678020"/>
      <w:bookmarkStart w:id="892" w:name="_Toc297216187"/>
      <w:bookmarkStart w:id="893" w:name="_Toc304295557"/>
      <w:bookmarkStart w:id="894" w:name="_Toc312677494"/>
      <w:bookmarkStart w:id="895" w:name="_Toc303539137"/>
      <w:bookmarkStart w:id="896" w:name="_Toc300934980"/>
      <w:bookmarkStart w:id="897" w:name="_Toc297048354"/>
      <w:r>
        <w:rPr>
          <w:rFonts w:hint="eastAsia" w:ascii="Times New Roman" w:hAnsi="Times New Roman"/>
          <w:smallCaps w:val="0"/>
          <w:color w:val="000000" w:themeColor="text1"/>
          <w:highlight w:val="none"/>
          <w14:textFill>
            <w14:solidFill>
              <w14:schemeClr w14:val="tx1"/>
            </w14:solidFill>
          </w14:textFill>
        </w:rPr>
        <w:t>.4.1 发包人供应的材料设备的保管费用的承担</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bookmarkEnd w:id="880"/>
      <w:bookmarkEnd w:id="881"/>
    </w:p>
    <w:p w14:paraId="736DA0D0">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8.6 样品</w:t>
      </w:r>
    </w:p>
    <w:p w14:paraId="19D5A28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8.6.1 样品的报送与封存</w:t>
      </w:r>
    </w:p>
    <w:p w14:paraId="1573D66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需要承包人报送样品的材料或工程设备，样品的种类、名称、规格、数量要求</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04A03E9">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8.8 施工设备和临时设施</w:t>
      </w:r>
    </w:p>
    <w:p w14:paraId="729FFBB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8.8.1 承包人提供的施工设备和临时设施</w:t>
      </w:r>
    </w:p>
    <w:p w14:paraId="6DDF295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关于修建临时设施费用承担的约定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14:paraId="3F9DB1F4">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898" w:name="_Toc351203641"/>
      <w:r>
        <w:rPr>
          <w:rFonts w:hint="eastAsia" w:ascii="Times New Roman" w:hAnsi="Times New Roman"/>
          <w:b w:val="0"/>
          <w:smallCaps w:val="0"/>
          <w:color w:val="000000" w:themeColor="text1"/>
          <w:sz w:val="24"/>
          <w:szCs w:val="24"/>
          <w:highlight w:val="none"/>
          <w14:textFill>
            <w14:solidFill>
              <w14:schemeClr w14:val="tx1"/>
            </w14:solidFill>
          </w14:textFill>
        </w:rPr>
        <w:t>9</w:t>
      </w:r>
      <w:bookmarkEnd w:id="877"/>
      <w:bookmarkEnd w:id="878"/>
      <w:bookmarkEnd w:id="879"/>
      <w:bookmarkStart w:id="899" w:name="_Toc312677495"/>
      <w:bookmarkStart w:id="900" w:name="_Toc304295559"/>
      <w:bookmarkStart w:id="901" w:name="_Toc312678021"/>
      <w:bookmarkStart w:id="902" w:name="_Toc297216192"/>
      <w:bookmarkStart w:id="903" w:name="_Toc300934982"/>
      <w:bookmarkStart w:id="904" w:name="_Toc297123533"/>
      <w:bookmarkStart w:id="905" w:name="_Toc303539139"/>
      <w:bookmarkStart w:id="906" w:name="_Toc296891001"/>
      <w:bookmarkStart w:id="907" w:name="_Toc296347172"/>
      <w:bookmarkStart w:id="908" w:name="_Toc297048359"/>
      <w:bookmarkStart w:id="909" w:name="_Toc267251427"/>
      <w:bookmarkStart w:id="910" w:name="_Toc296944512"/>
      <w:bookmarkStart w:id="911" w:name="_Toc292559378"/>
      <w:bookmarkStart w:id="912" w:name="_Toc296346674"/>
      <w:bookmarkStart w:id="913" w:name="_Toc267251428"/>
      <w:bookmarkStart w:id="914" w:name="_Toc296891213"/>
      <w:bookmarkStart w:id="915" w:name="_Toc292559883"/>
      <w:bookmarkStart w:id="916" w:name="_Toc297120473"/>
      <w:bookmarkStart w:id="917" w:name="_Toc296503173"/>
      <w:r>
        <w:rPr>
          <w:rFonts w:hint="eastAsia" w:ascii="Times New Roman" w:hAnsi="Times New Roman"/>
          <w:b w:val="0"/>
          <w:smallCaps w:val="0"/>
          <w:color w:val="000000" w:themeColor="text1"/>
          <w:sz w:val="24"/>
          <w:szCs w:val="24"/>
          <w:highlight w:val="none"/>
          <w14:textFill>
            <w14:solidFill>
              <w14:schemeClr w14:val="tx1"/>
            </w14:solidFill>
          </w14:textFill>
        </w:rPr>
        <w:t>. 试验与检验</w:t>
      </w:r>
      <w:bookmarkEnd w:id="898"/>
    </w:p>
    <w:bookmarkEnd w:id="899"/>
    <w:bookmarkEnd w:id="900"/>
    <w:bookmarkEnd w:id="901"/>
    <w:bookmarkEnd w:id="902"/>
    <w:bookmarkEnd w:id="903"/>
    <w:bookmarkEnd w:id="904"/>
    <w:bookmarkEnd w:id="905"/>
    <w:p w14:paraId="6940115E">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9</w:t>
      </w:r>
      <w:bookmarkStart w:id="918" w:name="_Toc312678022"/>
      <w:bookmarkStart w:id="919" w:name="_Toc300934983"/>
      <w:bookmarkStart w:id="920" w:name="_Toc297216193"/>
      <w:bookmarkStart w:id="921" w:name="_Toc312677496"/>
      <w:bookmarkStart w:id="922" w:name="_Toc303539140"/>
      <w:bookmarkStart w:id="923" w:name="_Toc297123534"/>
      <w:bookmarkStart w:id="924" w:name="_Toc304295560"/>
      <w:r>
        <w:rPr>
          <w:rFonts w:hint="eastAsia" w:ascii="Times New Roman" w:hAnsi="Times New Roman"/>
          <w:b w:val="0"/>
          <w:smallCaps w:val="0"/>
          <w:color w:val="000000" w:themeColor="text1"/>
          <w:sz w:val="24"/>
          <w:szCs w:val="24"/>
          <w:highlight w:val="none"/>
          <w14:textFill>
            <w14:solidFill>
              <w14:schemeClr w14:val="tx1"/>
            </w14:solidFill>
          </w14:textFill>
        </w:rPr>
        <w:t>.1 试验设备与试验人员</w:t>
      </w:r>
    </w:p>
    <w:bookmarkEnd w:id="918"/>
    <w:bookmarkEnd w:id="919"/>
    <w:bookmarkEnd w:id="920"/>
    <w:bookmarkEnd w:id="921"/>
    <w:bookmarkEnd w:id="922"/>
    <w:bookmarkEnd w:id="923"/>
    <w:bookmarkEnd w:id="924"/>
    <w:p w14:paraId="242E612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9</w:t>
      </w:r>
      <w:bookmarkStart w:id="925" w:name="_Toc312677497"/>
      <w:bookmarkStart w:id="926" w:name="_Toc304295561"/>
      <w:bookmarkStart w:id="927" w:name="_Toc303539141"/>
      <w:bookmarkStart w:id="928" w:name="_Toc312678023"/>
      <w:bookmarkStart w:id="929" w:name="_Toc300934984"/>
      <w:bookmarkStart w:id="930" w:name="_Toc297123535"/>
      <w:bookmarkStart w:id="931" w:name="_Toc297216194"/>
      <w:bookmarkStart w:id="932" w:name="_Toc318581174"/>
      <w:r>
        <w:rPr>
          <w:rFonts w:hint="eastAsia" w:ascii="Times New Roman" w:hAnsi="Times New Roman"/>
          <w:smallCaps w:val="0"/>
          <w:color w:val="000000" w:themeColor="text1"/>
          <w:highlight w:val="none"/>
          <w14:textFill>
            <w14:solidFill>
              <w14:schemeClr w14:val="tx1"/>
            </w14:solidFill>
          </w14:textFill>
        </w:rPr>
        <w:t>.1.2 试验设备</w:t>
      </w:r>
    </w:p>
    <w:p w14:paraId="7151D7C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施工现场需要配置的试验场所</w:t>
      </w:r>
      <w:bookmarkEnd w:id="925"/>
      <w:bookmarkEnd w:id="926"/>
      <w:bookmarkEnd w:id="927"/>
      <w:bookmarkEnd w:id="928"/>
      <w:bookmarkEnd w:id="929"/>
      <w:bookmarkEnd w:id="930"/>
      <w:bookmarkEnd w:id="931"/>
      <w:bookmarkStart w:id="933" w:name="_Toc303539142"/>
      <w:bookmarkStart w:id="934" w:name="_Toc312677498"/>
      <w:bookmarkStart w:id="935" w:name="_Toc297216195"/>
      <w:bookmarkStart w:id="936" w:name="_Toc304295562"/>
      <w:bookmarkStart w:id="937" w:name="_Toc297123536"/>
      <w:bookmarkStart w:id="938" w:name="_Toc312678024"/>
      <w:bookmarkStart w:id="939" w:name="_Toc300934985"/>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w:t>
      </w:r>
    </w:p>
    <w:p w14:paraId="4DD2E47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施工现场需要配备的试验设备</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204104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施工现场需要具备的其他试验条件</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F50ABB4">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 xml:space="preserve">9.4 现场工艺试验 </w:t>
      </w:r>
    </w:p>
    <w:p w14:paraId="19033A6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现场工艺试验的有关约定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4B2FF56">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lang w:val="en-US" w:eastAsia="zh-CN"/>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9.5</w:t>
      </w:r>
      <w:r>
        <w:rPr>
          <w:rFonts w:hint="eastAsia" w:ascii="Times New Roman" w:hAnsi="Times New Roman"/>
          <w:b w:val="0"/>
          <w:smallCaps w:val="0"/>
          <w:color w:val="000000" w:themeColor="text1"/>
          <w:sz w:val="24"/>
          <w:szCs w:val="24"/>
          <w:highlight w:val="none"/>
          <w:lang w:val="en-US" w:eastAsia="zh-CN"/>
          <w14:textFill>
            <w14:solidFill>
              <w14:schemeClr w14:val="tx1"/>
            </w14:solidFill>
          </w14:textFill>
        </w:rPr>
        <w:t xml:space="preserve"> 费用约定</w:t>
      </w:r>
    </w:p>
    <w:p w14:paraId="1378280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材料检测费用承担的约定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w:t>
      </w:r>
    </w:p>
    <w:p w14:paraId="454DFD0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防雷检测、消防检测、实体检测、沉降观测以及测绘费用承担的约定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C534A4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其他有关约定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p>
    <w:bookmarkEnd w:id="932"/>
    <w:bookmarkEnd w:id="933"/>
    <w:bookmarkEnd w:id="934"/>
    <w:bookmarkEnd w:id="935"/>
    <w:bookmarkEnd w:id="936"/>
    <w:bookmarkEnd w:id="937"/>
    <w:bookmarkEnd w:id="938"/>
    <w:bookmarkEnd w:id="939"/>
    <w:p w14:paraId="2352172D">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940" w:name="_Toc351203642"/>
      <w:r>
        <w:rPr>
          <w:rFonts w:hint="eastAsia" w:ascii="Times New Roman" w:hAnsi="Times New Roman"/>
          <w:b w:val="0"/>
          <w:smallCaps w:val="0"/>
          <w:color w:val="000000" w:themeColor="text1"/>
          <w:sz w:val="24"/>
          <w:szCs w:val="24"/>
          <w:highlight w:val="none"/>
          <w14:textFill>
            <w14:solidFill>
              <w14:schemeClr w14:val="tx1"/>
            </w14:solidFill>
          </w14:textFill>
        </w:rPr>
        <w:t>1</w:t>
      </w:r>
      <w:bookmarkEnd w:id="906"/>
      <w:bookmarkEnd w:id="907"/>
      <w:bookmarkEnd w:id="908"/>
      <w:bookmarkEnd w:id="909"/>
      <w:bookmarkEnd w:id="910"/>
      <w:bookmarkEnd w:id="911"/>
      <w:bookmarkEnd w:id="912"/>
      <w:bookmarkEnd w:id="913"/>
      <w:bookmarkEnd w:id="914"/>
      <w:bookmarkEnd w:id="915"/>
      <w:bookmarkEnd w:id="916"/>
      <w:bookmarkEnd w:id="917"/>
      <w:bookmarkStart w:id="941" w:name="_Toc292559903"/>
      <w:bookmarkStart w:id="942" w:name="_Toc304295566"/>
      <w:bookmarkStart w:id="943" w:name="_Toc297048379"/>
      <w:bookmarkStart w:id="944" w:name="_Toc296347192"/>
      <w:bookmarkStart w:id="945" w:name="_Toc296944532"/>
      <w:bookmarkStart w:id="946" w:name="_Toc296346694"/>
      <w:bookmarkStart w:id="947" w:name="_Toc300934989"/>
      <w:bookmarkStart w:id="948" w:name="_Toc297216199"/>
      <w:bookmarkStart w:id="949" w:name="_Toc296891233"/>
      <w:bookmarkStart w:id="950" w:name="_Toc303539146"/>
      <w:bookmarkStart w:id="951" w:name="_Toc296891021"/>
      <w:bookmarkStart w:id="952" w:name="_Toc297123540"/>
      <w:bookmarkStart w:id="953" w:name="_Toc296503193"/>
      <w:bookmarkStart w:id="954" w:name="_Toc297120493"/>
      <w:bookmarkStart w:id="955" w:name="_Toc292559398"/>
      <w:bookmarkStart w:id="956" w:name="_Toc312677499"/>
      <w:bookmarkStart w:id="957" w:name="_Toc312678025"/>
      <w:bookmarkStart w:id="958" w:name="_Toc267251439"/>
      <w:bookmarkStart w:id="959" w:name="_Toc267251437"/>
      <w:bookmarkStart w:id="960" w:name="_Toc267251441"/>
      <w:bookmarkStart w:id="961" w:name="_Toc267251435"/>
      <w:bookmarkStart w:id="962" w:name="_Toc267251433"/>
      <w:bookmarkStart w:id="963" w:name="_Toc267251440"/>
      <w:bookmarkStart w:id="964" w:name="_Toc267251442"/>
      <w:r>
        <w:rPr>
          <w:rFonts w:hint="eastAsia" w:ascii="Times New Roman" w:hAnsi="Times New Roman"/>
          <w:b w:val="0"/>
          <w:smallCaps w:val="0"/>
          <w:color w:val="000000" w:themeColor="text1"/>
          <w:sz w:val="24"/>
          <w:szCs w:val="24"/>
          <w:highlight w:val="none"/>
          <w14:textFill>
            <w14:solidFill>
              <w14:schemeClr w14:val="tx1"/>
            </w14:solidFill>
          </w14:textFill>
        </w:rPr>
        <w:t>0. 变更</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bookmarkEnd w:id="956"/>
    <w:bookmarkEnd w:id="957"/>
    <w:p w14:paraId="69FFA7F1">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w:t>
      </w:r>
      <w:bookmarkStart w:id="965" w:name="_Toc297120494"/>
      <w:bookmarkStart w:id="966" w:name="_Toc304295567"/>
      <w:bookmarkStart w:id="967" w:name="_Toc292559399"/>
      <w:bookmarkStart w:id="968" w:name="_Toc296503194"/>
      <w:bookmarkStart w:id="969" w:name="_Toc297123541"/>
      <w:bookmarkStart w:id="970" w:name="_Toc300934990"/>
      <w:bookmarkStart w:id="971" w:name="_Toc297216200"/>
      <w:bookmarkStart w:id="972" w:name="_Toc297048380"/>
      <w:bookmarkStart w:id="973" w:name="_Toc296891234"/>
      <w:bookmarkStart w:id="974" w:name="_Toc296944533"/>
      <w:bookmarkStart w:id="975" w:name="_Toc303539147"/>
      <w:bookmarkStart w:id="976" w:name="_Toc292559904"/>
      <w:bookmarkStart w:id="977" w:name="_Toc296346695"/>
      <w:bookmarkStart w:id="978" w:name="_Toc312677500"/>
      <w:bookmarkStart w:id="979" w:name="_Toc296347193"/>
      <w:bookmarkStart w:id="980" w:name="_Toc296891022"/>
      <w:bookmarkStart w:id="981" w:name="_Toc312678026"/>
      <w:r>
        <w:rPr>
          <w:rFonts w:hint="eastAsia" w:ascii="Times New Roman" w:hAnsi="Times New Roman"/>
          <w:b w:val="0"/>
          <w:smallCaps w:val="0"/>
          <w:color w:val="000000" w:themeColor="text1"/>
          <w:sz w:val="24"/>
          <w:szCs w:val="24"/>
          <w:highlight w:val="none"/>
          <w14:textFill>
            <w14:solidFill>
              <w14:schemeClr w14:val="tx1"/>
            </w14:solidFill>
          </w14:textFill>
        </w:rPr>
        <w:t>0.1 变更的范围</w:t>
      </w:r>
    </w:p>
    <w:p w14:paraId="43EB929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关于变更的范围的约定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2D6178A">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10.4 变更估价</w:t>
      </w:r>
    </w:p>
    <w:p w14:paraId="5AFCFA3B">
      <w:pPr>
        <w:pStyle w:val="77"/>
        <w:pageBreakBefore w:val="0"/>
        <w:widowControl w:val="0"/>
        <w:kinsoku/>
        <w:wordWrap w:val="0"/>
        <w:overflowPunct/>
        <w:topLinePunct w:val="0"/>
        <w:autoSpaceDE/>
        <w:autoSpaceDN/>
        <w:bidi w:val="0"/>
        <w:snapToGrid/>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10.4.1 变更估价原则</w:t>
      </w:r>
    </w:p>
    <w:p w14:paraId="75D27C9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关于变更估价的约定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38365D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10.4.1.1 因工程变更引起已标价工程量清单项目或其工程数量发生变化时，按下列规定调整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p>
    <w:p w14:paraId="044B316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83D590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53C7F1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40F755F2">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Start w:id="982" w:name="_Toc296891025"/>
      <w:bookmarkStart w:id="983" w:name="_Toc297120497"/>
      <w:bookmarkStart w:id="984" w:name="_Toc292559907"/>
      <w:bookmarkStart w:id="985" w:name="_Toc296891237"/>
      <w:bookmarkStart w:id="986" w:name="_Toc297048383"/>
      <w:bookmarkStart w:id="987" w:name="_Toc297216203"/>
      <w:bookmarkStart w:id="988" w:name="_Toc303539150"/>
      <w:bookmarkStart w:id="989" w:name="_Toc296347196"/>
      <w:bookmarkStart w:id="990" w:name="_Toc296944536"/>
      <w:bookmarkStart w:id="991" w:name="_Toc292559402"/>
      <w:bookmarkStart w:id="992" w:name="_Toc296503197"/>
      <w:bookmarkStart w:id="993" w:name="_Toc300934993"/>
      <w:bookmarkStart w:id="994" w:name="_Toc296346698"/>
      <w:bookmarkStart w:id="995" w:name="_Toc297123544"/>
      <w:bookmarkStart w:id="996" w:name="_Toc312678029"/>
      <w:bookmarkStart w:id="997" w:name="_Toc304295570"/>
      <w:bookmarkStart w:id="998" w:name="_Toc312677503"/>
      <w:r>
        <w:rPr>
          <w:rFonts w:hint="eastAsia" w:ascii="Times New Roman" w:hAnsi="Times New Roman"/>
          <w:b w:val="0"/>
          <w:smallCaps w:val="0"/>
          <w:color w:val="000000" w:themeColor="text1"/>
          <w:sz w:val="24"/>
          <w:szCs w:val="24"/>
          <w:highlight w:val="none"/>
          <w14:textFill>
            <w14:solidFill>
              <w14:schemeClr w14:val="tx1"/>
            </w14:solidFill>
          </w14:textFill>
        </w:rPr>
        <w:t>0.5 承</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Start w:id="999" w:name="_Toc300934994"/>
      <w:bookmarkStart w:id="1000" w:name="_Toc296347202"/>
      <w:bookmarkStart w:id="1001" w:name="_Toc296944542"/>
      <w:bookmarkStart w:id="1002" w:name="_Toc296891243"/>
      <w:bookmarkStart w:id="1003" w:name="_Toc292559408"/>
      <w:bookmarkStart w:id="1004" w:name="_Toc297048389"/>
      <w:bookmarkStart w:id="1005" w:name="_Toc296346704"/>
      <w:bookmarkStart w:id="1006" w:name="_Toc296503203"/>
      <w:bookmarkStart w:id="1007" w:name="_Toc292559913"/>
      <w:bookmarkStart w:id="1008" w:name="_Toc296891031"/>
      <w:bookmarkStart w:id="1009" w:name="_Toc297123545"/>
      <w:bookmarkStart w:id="1010" w:name="_Toc297216204"/>
      <w:bookmarkStart w:id="1011" w:name="_Toc303539151"/>
      <w:bookmarkStart w:id="1012" w:name="_Toc297120503"/>
      <w:r>
        <w:rPr>
          <w:rFonts w:hint="eastAsia" w:ascii="Times New Roman" w:hAnsi="Times New Roman"/>
          <w:b w:val="0"/>
          <w:smallCaps w:val="0"/>
          <w:color w:val="000000" w:themeColor="text1"/>
          <w:sz w:val="24"/>
          <w:szCs w:val="24"/>
          <w:highlight w:val="none"/>
          <w14:textFill>
            <w14:solidFill>
              <w14:schemeClr w14:val="tx1"/>
            </w14:solidFill>
          </w14:textFill>
        </w:rPr>
        <w:t>包人的合理化建议</w:t>
      </w:r>
    </w:p>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14:paraId="3E13102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监理人审查承包人合理化建议的期限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2A7BCB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发包人审批承包人合理化建议的期限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7E40A6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w:t>
      </w:r>
      <w:bookmarkStart w:id="1013" w:name="_Toc296503204"/>
      <w:bookmarkStart w:id="1014" w:name="_Toc318581175"/>
      <w:bookmarkStart w:id="1015" w:name="_Toc304295571"/>
      <w:bookmarkStart w:id="1016" w:name="_Toc300934995"/>
      <w:bookmarkStart w:id="1017" w:name="_Toc312678030"/>
      <w:bookmarkStart w:id="1018" w:name="_Toc296891032"/>
      <w:bookmarkStart w:id="1019" w:name="_Toc312677504"/>
      <w:bookmarkStart w:id="1020" w:name="_Toc297048390"/>
      <w:bookmarkStart w:id="1021" w:name="_Toc296347203"/>
      <w:bookmarkStart w:id="1022" w:name="_Toc292559409"/>
      <w:bookmarkStart w:id="1023" w:name="_Toc292559914"/>
      <w:bookmarkStart w:id="1024" w:name="_Toc297123546"/>
      <w:bookmarkStart w:id="1025" w:name="_Toc303539152"/>
      <w:bookmarkStart w:id="1026" w:name="_Toc296891244"/>
      <w:bookmarkStart w:id="1027" w:name="_Toc297216205"/>
      <w:bookmarkStart w:id="1028" w:name="_Toc296944543"/>
      <w:bookmarkStart w:id="1029" w:name="_Toc296346705"/>
      <w:bookmarkStart w:id="1030" w:name="_Toc297120504"/>
      <w:r>
        <w:rPr>
          <w:rFonts w:hint="eastAsia" w:ascii="Times New Roman" w:hAnsi="Times New Roman"/>
          <w:smallCaps w:val="0"/>
          <w:color w:val="000000" w:themeColor="text1"/>
          <w:highlight w:val="none"/>
          <w14:textFill>
            <w14:solidFill>
              <w14:schemeClr w14:val="tx1"/>
            </w14:solidFill>
          </w14:textFill>
        </w:rPr>
        <w:t>包人提出的合理化建议降低了合同价格或者提高了工程经济效益的奖励的方法和金额为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14:paraId="79B5792F">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w:t>
      </w:r>
      <w:bookmarkStart w:id="1031" w:name="_Toc297123548"/>
      <w:bookmarkStart w:id="1032" w:name="_Toc300934997"/>
      <w:bookmarkStart w:id="1033" w:name="_Toc296891027"/>
      <w:bookmarkStart w:id="1034" w:name="_Toc312678033"/>
      <w:bookmarkStart w:id="1035" w:name="_Toc297120499"/>
      <w:bookmarkStart w:id="1036" w:name="_Toc296891239"/>
      <w:bookmarkStart w:id="1037" w:name="_Toc296346700"/>
      <w:bookmarkStart w:id="1038" w:name="_Toc297048385"/>
      <w:bookmarkStart w:id="1039" w:name="_Toc304295574"/>
      <w:bookmarkStart w:id="1040" w:name="_Toc297216207"/>
      <w:bookmarkStart w:id="1041" w:name="_Toc292559404"/>
      <w:bookmarkStart w:id="1042" w:name="_Toc296347198"/>
      <w:bookmarkStart w:id="1043" w:name="_Toc292559909"/>
      <w:bookmarkStart w:id="1044" w:name="_Toc296944538"/>
      <w:bookmarkStart w:id="1045" w:name="_Toc296503199"/>
      <w:bookmarkStart w:id="1046" w:name="_Toc303539154"/>
      <w:bookmarkStart w:id="1047" w:name="_Toc312677507"/>
      <w:r>
        <w:rPr>
          <w:rFonts w:hint="eastAsia" w:ascii="Times New Roman" w:hAnsi="Times New Roman"/>
          <w:b w:val="0"/>
          <w:smallCaps w:val="0"/>
          <w:color w:val="000000" w:themeColor="text1"/>
          <w:sz w:val="24"/>
          <w:szCs w:val="24"/>
          <w:highlight w:val="none"/>
          <w14:textFill>
            <w14:solidFill>
              <w14:schemeClr w14:val="tx1"/>
            </w14:solidFill>
          </w14:textFill>
        </w:rPr>
        <w:t>0.7 暂估价</w:t>
      </w:r>
    </w:p>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14:paraId="321CCCCC">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暂</w:t>
      </w:r>
      <w:bookmarkStart w:id="1048" w:name="_Toc318581176"/>
      <w:bookmarkStart w:id="1049" w:name="_Toc312677508"/>
      <w:bookmarkStart w:id="1050" w:name="_Toc312678034"/>
      <w:r>
        <w:rPr>
          <w:rFonts w:hint="eastAsia" w:ascii="Times New Roman" w:hAnsi="Times New Roman"/>
          <w:smallCaps w:val="0"/>
          <w:color w:val="000000" w:themeColor="text1"/>
          <w:highlight w:val="none"/>
          <w:lang w:val="en-US" w:eastAsia="zh-CN"/>
          <w14:textFill>
            <w14:solidFill>
              <w14:schemeClr w14:val="tx1"/>
            </w14:solidFill>
          </w14:textFill>
        </w:rPr>
        <w:t>估价材料和工程设备的明细详见附件12</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《暂估价一览表》。</w:t>
      </w:r>
    </w:p>
    <w:bookmarkEnd w:id="1048"/>
    <w:bookmarkEnd w:id="1049"/>
    <w:bookmarkEnd w:id="1050"/>
    <w:p w14:paraId="466B49E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w:t>
      </w:r>
      <w:bookmarkStart w:id="1051" w:name="_Toc312678035"/>
      <w:bookmarkStart w:id="1052" w:name="_Toc318581177"/>
      <w:bookmarkStart w:id="1053" w:name="_Toc312677509"/>
      <w:r>
        <w:rPr>
          <w:rFonts w:hint="eastAsia" w:ascii="Times New Roman" w:hAnsi="Times New Roman"/>
          <w:smallCaps w:val="0"/>
          <w:color w:val="000000" w:themeColor="text1"/>
          <w:highlight w:val="none"/>
          <w:lang w:val="en-US" w:eastAsia="zh-CN"/>
          <w14:textFill>
            <w14:solidFill>
              <w14:schemeClr w14:val="tx1"/>
            </w14:solidFill>
          </w14:textFill>
        </w:rPr>
        <w:t>0.7.1 依法必须招标的暂估价项目</w:t>
      </w:r>
      <w:bookmarkEnd w:id="1051"/>
      <w:bookmarkEnd w:id="1052"/>
      <w:bookmarkEnd w:id="1053"/>
      <w:r>
        <w:rPr>
          <w:rFonts w:hint="eastAsia" w:ascii="Times New Roman" w:hAnsi="Times New Roman"/>
          <w:smallCaps w:val="0"/>
          <w:color w:val="000000" w:themeColor="text1"/>
          <w:highlight w:val="none"/>
          <w:lang w:val="en-US" w:eastAsia="zh-CN"/>
          <w14:textFill>
            <w14:solidFill>
              <w14:schemeClr w14:val="tx1"/>
            </w14:solidFill>
          </w14:textFill>
        </w:rPr>
        <w:t>对于依法必须招标的暂估价项目的确认和批准方式</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由发包人或发承包双方作为招标人依法进行招标。</w:t>
      </w:r>
    </w:p>
    <w:p w14:paraId="27981B3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10.7.2 不属于依法必须招标的暂估价项目</w:t>
      </w:r>
    </w:p>
    <w:p w14:paraId="681D9EC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对于不属于依法必须招标的暂估价项目的确认和批准方式</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材料设备暂估价项目由承包人按照合同约定采购，价格经发包人审批同意后取代暂估价调整合同价款；专业工程暂估价项目按照10.4.1.1方式确定价格，由承包人自行实施或经发包人同意后依法分包。</w:t>
      </w:r>
    </w:p>
    <w:p w14:paraId="19A9E23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第3种方式</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承包人直接实施的暂估价项目</w:t>
      </w:r>
    </w:p>
    <w:p w14:paraId="319FBC4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承包人直接实施的暂估价项目的约定</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 </w:t>
      </w:r>
      <w:r>
        <w:rPr>
          <w:rFonts w:hint="eastAsia" w:ascii="Times New Roman" w:hAnsi="Times New Roman"/>
          <w:smallCaps w:val="0"/>
          <w:color w:val="000000" w:themeColor="text1"/>
          <w:highlight w:val="none"/>
          <w:lang w:val="en-US" w:eastAsia="zh-CN"/>
          <w14:textFill>
            <w14:solidFill>
              <w14:schemeClr w14:val="tx1"/>
            </w14:solidFill>
          </w14:textFill>
        </w:rPr>
        <w:t xml:space="preserve"> 。</w:t>
      </w:r>
    </w:p>
    <w:p w14:paraId="326AB51C">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10.8 暂列金额</w:t>
      </w:r>
    </w:p>
    <w:p w14:paraId="00DAC56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合同当事人关于暂列金额使用的约定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F512420">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1054" w:name="_Toc351203643"/>
      <w:r>
        <w:rPr>
          <w:rFonts w:hint="eastAsia" w:ascii="Times New Roman" w:hAnsi="Times New Roman"/>
          <w:b w:val="0"/>
          <w:smallCaps w:val="0"/>
          <w:color w:val="000000" w:themeColor="text1"/>
          <w:sz w:val="24"/>
          <w:szCs w:val="24"/>
          <w:highlight w:val="none"/>
          <w14:textFill>
            <w14:solidFill>
              <w14:schemeClr w14:val="tx1"/>
            </w14:solidFill>
          </w14:textFill>
        </w:rPr>
        <w:t>11. 价格调整</w:t>
      </w:r>
      <w:bookmarkEnd w:id="1054"/>
    </w:p>
    <w:p w14:paraId="53035825">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bookmarkStart w:id="1055" w:name="_Toc304295577"/>
      <w:bookmarkStart w:id="1056" w:name="_Toc296503201"/>
      <w:bookmarkStart w:id="1057" w:name="_Toc303539157"/>
      <w:bookmarkStart w:id="1058" w:name="_Toc296891241"/>
      <w:bookmarkStart w:id="1059" w:name="_Toc296346702"/>
      <w:bookmarkStart w:id="1060" w:name="_Toc300935000"/>
      <w:bookmarkStart w:id="1061" w:name="_Toc297123550"/>
      <w:bookmarkStart w:id="1062" w:name="_Toc296347200"/>
      <w:bookmarkStart w:id="1063" w:name="_Toc292559406"/>
      <w:bookmarkStart w:id="1064" w:name="_Toc297048387"/>
      <w:bookmarkStart w:id="1065" w:name="_Toc297120501"/>
      <w:bookmarkStart w:id="1066" w:name="_Toc297216209"/>
      <w:bookmarkStart w:id="1067" w:name="_Toc296891029"/>
      <w:bookmarkStart w:id="1068" w:name="_Toc312678039"/>
      <w:bookmarkStart w:id="1069" w:name="_Toc296944540"/>
      <w:bookmarkStart w:id="1070" w:name="_Toc292559911"/>
      <w:r>
        <w:rPr>
          <w:rFonts w:hint="eastAsia" w:ascii="Times New Roman" w:hAnsi="Times New Roman"/>
          <w:b w:val="0"/>
          <w:smallCaps w:val="0"/>
          <w:color w:val="000000" w:themeColor="text1"/>
          <w:sz w:val="24"/>
          <w:szCs w:val="24"/>
          <w:highlight w:val="none"/>
          <w14:textFill>
            <w14:solidFill>
              <w14:schemeClr w14:val="tx1"/>
            </w14:solidFill>
          </w14:textFill>
        </w:rPr>
        <w:t>11.1 市场价格波动引起的调整</w:t>
      </w:r>
      <w:r>
        <w:rPr>
          <w:rFonts w:hint="eastAsia" w:ascii="Times New Roman" w:hAnsi="Times New Roman"/>
          <w:b w:val="0"/>
          <w:smallCaps w:val="0"/>
          <w:color w:val="000000" w:themeColor="text1"/>
          <w:sz w:val="24"/>
          <w:szCs w:val="24"/>
          <w:highlight w:val="none"/>
          <w:vertAlign w:val="superscript"/>
          <w14:textFill>
            <w14:solidFill>
              <w14:schemeClr w14:val="tx1"/>
            </w14:solidFill>
          </w14:textFill>
        </w:rPr>
        <w:footnoteReference w:id="62"/>
      </w:r>
    </w:p>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14:paraId="3FBE4A4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市场价格波动是否调整合同价格的约定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65CEB7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因市场价格波动调整合同价格，采用以下第</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种方式对合同价格进行调整</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1976745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第1种方式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采用价格指数进行价格调整。</w:t>
      </w:r>
    </w:p>
    <w:p w14:paraId="47D079E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关于各可调因子、定值和变值权重，以及基本价格指数及其来源的约定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 xml:space="preserve">； </w:t>
      </w:r>
    </w:p>
    <w:p w14:paraId="0C57161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第2种方式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采用造价信息进行价格调整。</w:t>
      </w:r>
    </w:p>
    <w:p w14:paraId="3C46478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（1）价格的调整</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0BD6BB5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①可调整价格的主要材料范围的约定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DAD3D7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②主要材料价差调整周期的约定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FDC647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③主要材料价差调整计算方法的约定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791077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④主要材料价差调整时间的约定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0A9497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（2）关于基准价格的约定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CA020C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①承包人在已标价工程量清单或预算书中载明的材料单价低于基准价格的</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专用合同条款合同履行期间材料单价涨幅以基准价格为基础超过</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时，或材料单价跌幅以已标价工程量清单或预算书中载明材料单价为基础超过</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时，其超过部分据实调整。</w:t>
      </w:r>
    </w:p>
    <w:p w14:paraId="60DBC6D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②承包人在已标价工程量清单或预算书中载明的材料单价高于基准价格的</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专用合同条款合同履行期间材料单价跌幅以基准价格为基础超过</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5%</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时，材料单价涨幅以已标价工程量清单或预算书中载明材料单价为基础超过</w:t>
      </w:r>
      <w:r>
        <w:rPr>
          <w:rFonts w:hint="eastAsia" w:ascii="Times New Roman" w:hAnsi="Times New Roman"/>
          <w:smallCaps w:val="0"/>
          <w:color w:val="000000" w:themeColor="text1"/>
          <w:highlight w:val="none"/>
          <w:u w:val="single"/>
          <w14:textFill>
            <w14:solidFill>
              <w14:schemeClr w14:val="tx1"/>
            </w14:solidFill>
          </w14:textFill>
        </w:rPr>
        <w:t xml:space="preserve">  5%  </w:t>
      </w:r>
      <w:r>
        <w:rPr>
          <w:rFonts w:hint="eastAsia" w:ascii="Times New Roman" w:hAnsi="Times New Roman"/>
          <w:smallCaps w:val="0"/>
          <w:color w:val="000000" w:themeColor="text1"/>
          <w:highlight w:val="none"/>
          <w14:textFill>
            <w14:solidFill>
              <w14:schemeClr w14:val="tx1"/>
            </w14:solidFill>
          </w14:textFill>
        </w:rPr>
        <w:t>时，其超过部分据实调整。</w:t>
      </w:r>
    </w:p>
    <w:p w14:paraId="72DE590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③承包人在已标价工程量清单或预算书中载明的材料单价等于基准单价的</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专用合同条款合同履行期间材料单价涨跌幅以基准单价为基础超过±</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5%</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时，其超过部分据实调整。</w:t>
      </w:r>
    </w:p>
    <w:p w14:paraId="075EBB0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第3种方式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其他价格调整方式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958"/>
    <w:bookmarkEnd w:id="959"/>
    <w:bookmarkEnd w:id="960"/>
    <w:bookmarkEnd w:id="961"/>
    <w:bookmarkEnd w:id="962"/>
    <w:bookmarkEnd w:id="963"/>
    <w:p w14:paraId="0D927ED5">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1071" w:name="_Toc296347204"/>
      <w:bookmarkStart w:id="1072" w:name="_Toc297120505"/>
      <w:bookmarkStart w:id="1073" w:name="_Toc296503205"/>
      <w:bookmarkStart w:id="1074" w:name="_Toc297048391"/>
      <w:bookmarkStart w:id="1075" w:name="_Toc296891245"/>
      <w:bookmarkStart w:id="1076" w:name="_Toc292559410"/>
      <w:bookmarkStart w:id="1077" w:name="_Toc296944544"/>
      <w:bookmarkStart w:id="1078" w:name="_Toc296346706"/>
      <w:bookmarkStart w:id="1079" w:name="_Toc296891033"/>
      <w:bookmarkStart w:id="1080" w:name="_Toc292559915"/>
      <w:bookmarkStart w:id="1081" w:name="_Toc351203644"/>
      <w:bookmarkStart w:id="1082" w:name="_Toc297123552"/>
      <w:bookmarkStart w:id="1083" w:name="_Toc304295579"/>
      <w:bookmarkStart w:id="1084" w:name="_Toc312678040"/>
      <w:bookmarkStart w:id="1085" w:name="_Toc297216211"/>
      <w:bookmarkStart w:id="1086" w:name="_Toc300935002"/>
      <w:bookmarkStart w:id="1087" w:name="_Toc303539159"/>
      <w:r>
        <w:rPr>
          <w:rFonts w:hint="eastAsia" w:ascii="Times New Roman" w:hAnsi="Times New Roman"/>
          <w:b w:val="0"/>
          <w:smallCaps w:val="0"/>
          <w:color w:val="000000" w:themeColor="text1"/>
          <w:sz w:val="24"/>
          <w:szCs w:val="24"/>
          <w:highlight w:val="none"/>
          <w14:textFill>
            <w14:solidFill>
              <w14:schemeClr w14:val="tx1"/>
            </w14:solidFill>
          </w14:textFill>
        </w:rPr>
        <w:t xml:space="preserve">12. </w:t>
      </w:r>
      <w:bookmarkEnd w:id="1071"/>
      <w:bookmarkEnd w:id="1072"/>
      <w:bookmarkEnd w:id="1073"/>
      <w:bookmarkEnd w:id="1074"/>
      <w:bookmarkEnd w:id="1075"/>
      <w:bookmarkEnd w:id="1076"/>
      <w:bookmarkEnd w:id="1077"/>
      <w:bookmarkEnd w:id="1078"/>
      <w:bookmarkEnd w:id="1079"/>
      <w:bookmarkEnd w:id="1080"/>
      <w:r>
        <w:rPr>
          <w:rFonts w:hint="eastAsia" w:ascii="Times New Roman" w:hAnsi="Times New Roman"/>
          <w:b w:val="0"/>
          <w:smallCaps w:val="0"/>
          <w:color w:val="000000" w:themeColor="text1"/>
          <w:sz w:val="24"/>
          <w:szCs w:val="24"/>
          <w:highlight w:val="none"/>
          <w14:textFill>
            <w14:solidFill>
              <w14:schemeClr w14:val="tx1"/>
            </w14:solidFill>
          </w14:textFill>
        </w:rPr>
        <w:t>合同价格、计量与支付</w:t>
      </w:r>
      <w:bookmarkEnd w:id="1081"/>
    </w:p>
    <w:bookmarkEnd w:id="1082"/>
    <w:bookmarkEnd w:id="1083"/>
    <w:bookmarkEnd w:id="1084"/>
    <w:bookmarkEnd w:id="1085"/>
    <w:bookmarkEnd w:id="1086"/>
    <w:bookmarkEnd w:id="1087"/>
    <w:p w14:paraId="4445710E">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bookmarkStart w:id="1088" w:name="_Toc292559411"/>
      <w:bookmarkStart w:id="1089" w:name="_Toc292559916"/>
      <w:bookmarkStart w:id="1090" w:name="_Toc267251461"/>
      <w:bookmarkStart w:id="1091" w:name="_Toc297048392"/>
      <w:bookmarkStart w:id="1092" w:name="_Toc296346707"/>
      <w:bookmarkStart w:id="1093" w:name="_Toc296503206"/>
      <w:bookmarkStart w:id="1094" w:name="_Toc296944545"/>
      <w:bookmarkStart w:id="1095" w:name="_Toc296891034"/>
      <w:bookmarkStart w:id="1096" w:name="_Toc296347205"/>
      <w:bookmarkStart w:id="1097" w:name="_Toc297120506"/>
      <w:bookmarkStart w:id="1098" w:name="_Toc296891246"/>
      <w:bookmarkStart w:id="1099" w:name="_Toc297123553"/>
      <w:bookmarkStart w:id="1100" w:name="_Toc312678041"/>
      <w:bookmarkStart w:id="1101" w:name="_Toc303539160"/>
      <w:bookmarkStart w:id="1102" w:name="_Toc300935003"/>
      <w:bookmarkStart w:id="1103" w:name="_Toc297216212"/>
      <w:bookmarkStart w:id="1104" w:name="_Toc304295580"/>
      <w:r>
        <w:rPr>
          <w:rFonts w:hint="eastAsia" w:ascii="Times New Roman" w:hAnsi="Times New Roman"/>
          <w:b w:val="0"/>
          <w:smallCaps w:val="0"/>
          <w:color w:val="000000" w:themeColor="text1"/>
          <w:sz w:val="24"/>
          <w:szCs w:val="24"/>
          <w:highlight w:val="none"/>
          <w14:textFill>
            <w14:solidFill>
              <w14:schemeClr w14:val="tx1"/>
            </w14:solidFill>
          </w14:textFill>
        </w:rPr>
        <w:t>12.1 合</w:t>
      </w:r>
      <w:bookmarkEnd w:id="1088"/>
      <w:bookmarkEnd w:id="1089"/>
      <w:bookmarkEnd w:id="1090"/>
      <w:r>
        <w:rPr>
          <w:rFonts w:hint="eastAsia" w:ascii="Times New Roman" w:hAnsi="Times New Roman"/>
          <w:b w:val="0"/>
          <w:smallCaps w:val="0"/>
          <w:color w:val="000000" w:themeColor="text1"/>
          <w:sz w:val="24"/>
          <w:szCs w:val="24"/>
          <w:highlight w:val="none"/>
          <w14:textFill>
            <w14:solidFill>
              <w14:schemeClr w14:val="tx1"/>
            </w14:solidFill>
          </w14:textFill>
        </w:rPr>
        <w:t>同价</w:t>
      </w:r>
      <w:bookmarkEnd w:id="1091"/>
      <w:bookmarkEnd w:id="1092"/>
      <w:bookmarkEnd w:id="1093"/>
      <w:bookmarkEnd w:id="1094"/>
      <w:bookmarkEnd w:id="1095"/>
      <w:bookmarkEnd w:id="1096"/>
      <w:bookmarkEnd w:id="1097"/>
      <w:bookmarkEnd w:id="1098"/>
      <w:r>
        <w:rPr>
          <w:rFonts w:hint="eastAsia" w:ascii="Times New Roman" w:hAnsi="Times New Roman"/>
          <w:b w:val="0"/>
          <w:smallCaps w:val="0"/>
          <w:color w:val="000000" w:themeColor="text1"/>
          <w:sz w:val="24"/>
          <w:szCs w:val="24"/>
          <w:highlight w:val="none"/>
          <w14:textFill>
            <w14:solidFill>
              <w14:schemeClr w14:val="tx1"/>
            </w14:solidFill>
          </w14:textFill>
        </w:rPr>
        <w:t>格形式</w:t>
      </w:r>
    </w:p>
    <w:bookmarkEnd w:id="1099"/>
    <w:bookmarkEnd w:id="1100"/>
    <w:bookmarkEnd w:id="1101"/>
    <w:bookmarkEnd w:id="1102"/>
    <w:bookmarkEnd w:id="1103"/>
    <w:bookmarkEnd w:id="1104"/>
    <w:p w14:paraId="4F10B07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(1)单价合同。</w:t>
      </w:r>
    </w:p>
    <w:p w14:paraId="02A8E49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综合单价包含的风险范围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873476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风险费用的计算方法</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230EC8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风险范围以外合同价格的调整方法</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0D5A0C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(2)总价合同。</w:t>
      </w:r>
    </w:p>
    <w:p w14:paraId="5C2731A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总价包含的风险范围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435374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风险费用的计算方法</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D01600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风险范围以外合同价格的调整方法</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576DFA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(3)其他价格方式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29F9947">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bookmarkStart w:id="1105" w:name="_Toc297123554"/>
      <w:bookmarkStart w:id="1106" w:name="_Toc303539161"/>
      <w:bookmarkStart w:id="1107" w:name="_Toc304295581"/>
      <w:bookmarkStart w:id="1108" w:name="_Toc312678042"/>
      <w:bookmarkStart w:id="1109" w:name="_Toc300935004"/>
      <w:bookmarkStart w:id="1110" w:name="_Toc297216213"/>
      <w:bookmarkStart w:id="1111" w:name="_Toc297048393"/>
      <w:bookmarkStart w:id="1112" w:name="_Toc296944546"/>
      <w:bookmarkStart w:id="1113" w:name="_Toc296346708"/>
      <w:bookmarkStart w:id="1114" w:name="_Toc292559412"/>
      <w:bookmarkStart w:id="1115" w:name="_Toc296503207"/>
      <w:bookmarkStart w:id="1116" w:name="_Toc297120507"/>
      <w:bookmarkStart w:id="1117" w:name="_Toc296891247"/>
      <w:bookmarkStart w:id="1118" w:name="_Toc292559917"/>
      <w:bookmarkStart w:id="1119" w:name="_Toc296891035"/>
      <w:bookmarkStart w:id="1120" w:name="_Toc296347206"/>
      <w:r>
        <w:rPr>
          <w:rFonts w:hint="eastAsia" w:ascii="Times New Roman" w:hAnsi="Times New Roman"/>
          <w:b w:val="0"/>
          <w:smallCaps w:val="0"/>
          <w:color w:val="000000" w:themeColor="text1"/>
          <w:sz w:val="24"/>
          <w:szCs w:val="24"/>
          <w:highlight w:val="none"/>
          <w14:textFill>
            <w14:solidFill>
              <w14:schemeClr w14:val="tx1"/>
            </w14:solidFill>
          </w14:textFill>
        </w:rPr>
        <w:t>12.2 预付款</w:t>
      </w:r>
    </w:p>
    <w:bookmarkEnd w:id="1105"/>
    <w:bookmarkEnd w:id="1106"/>
    <w:bookmarkEnd w:id="1107"/>
    <w:bookmarkEnd w:id="1108"/>
    <w:bookmarkEnd w:id="1109"/>
    <w:bookmarkEnd w:id="1110"/>
    <w:p w14:paraId="02FF02A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12.2.1 预付款的支付</w:t>
      </w:r>
      <w:r>
        <w:rPr>
          <w:rFonts w:hint="eastAsia" w:ascii="Times New Roman" w:hAnsi="Times New Roman"/>
          <w:smallCaps w:val="0"/>
          <w:color w:val="000000" w:themeColor="text1"/>
          <w:highlight w:val="none"/>
          <w:vertAlign w:val="superscript"/>
          <w14:textFill>
            <w14:solidFill>
              <w14:schemeClr w14:val="tx1"/>
            </w14:solidFill>
          </w14:textFill>
        </w:rPr>
        <w:footnoteReference w:id="63"/>
      </w:r>
    </w:p>
    <w:p w14:paraId="3CD3111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预付款支付比例或金额</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2B85D1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预付款支付期限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6A19B8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预付款扣回的方式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8F542F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12.2.2 预付款担保</w:t>
      </w:r>
    </w:p>
    <w:p w14:paraId="0071EB1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承包人提交预付款担保的期限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772349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预付款担保的形式为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1111"/>
    <w:bookmarkEnd w:id="1112"/>
    <w:bookmarkEnd w:id="1113"/>
    <w:bookmarkEnd w:id="1114"/>
    <w:bookmarkEnd w:id="1115"/>
    <w:bookmarkEnd w:id="1116"/>
    <w:bookmarkEnd w:id="1117"/>
    <w:bookmarkEnd w:id="1118"/>
    <w:bookmarkEnd w:id="1119"/>
    <w:bookmarkEnd w:id="1120"/>
    <w:p w14:paraId="764B2BA1">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12.3 计量</w:t>
      </w:r>
    </w:p>
    <w:p w14:paraId="49B4D9A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12.3.1 计量原则</w:t>
      </w:r>
    </w:p>
    <w:p w14:paraId="4F62A65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工程量计算规则</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按招标工程量清单及最高投标限价所采用的工程量清单计价规范及配套文件等。</w:t>
      </w:r>
    </w:p>
    <w:p w14:paraId="42EF3EF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12.3.2 计量周期</w:t>
      </w:r>
    </w:p>
    <w:p w14:paraId="47BB41C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关于计量周期的约定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54B504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12.3.3 单价合同的计量</w:t>
      </w:r>
    </w:p>
    <w:p w14:paraId="2E95D06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关于单价合同计量的约定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02BF85A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12.3.4 总价合同的计量</w:t>
      </w:r>
    </w:p>
    <w:p w14:paraId="111A029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关于总价合同计量的约定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BAB606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12.3.5 总价合同采用支付分解表计量支付的，是否适用第12.3.4项〔总价合同的计量〕约定进行计量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0ADB0F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12.3.6 其他价格形式合同的计量</w:t>
      </w:r>
    </w:p>
    <w:p w14:paraId="4952B20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其他价格形式的计量方式和程序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6F85632">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12.4 工程进度款支付</w:t>
      </w:r>
    </w:p>
    <w:p w14:paraId="45E8B30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bookmarkStart w:id="1121" w:name="_Toc296346712"/>
      <w:bookmarkStart w:id="1122" w:name="_Toc303539163"/>
      <w:bookmarkStart w:id="1123" w:name="_Toc297216215"/>
      <w:bookmarkStart w:id="1124" w:name="_Toc292559921"/>
      <w:bookmarkStart w:id="1125" w:name="_Toc296503211"/>
      <w:bookmarkStart w:id="1126" w:name="_Toc297123556"/>
      <w:bookmarkStart w:id="1127" w:name="_Toc296891251"/>
      <w:bookmarkStart w:id="1128" w:name="_Toc297120511"/>
      <w:bookmarkStart w:id="1129" w:name="_Toc297048397"/>
      <w:bookmarkStart w:id="1130" w:name="_Toc292559416"/>
      <w:bookmarkStart w:id="1131" w:name="_Toc296944550"/>
      <w:bookmarkStart w:id="1132" w:name="_Toc296891039"/>
      <w:bookmarkStart w:id="1133" w:name="_Toc296347210"/>
      <w:bookmarkStart w:id="1134" w:name="_Toc300935006"/>
      <w:r>
        <w:rPr>
          <w:rFonts w:hint="eastAsia" w:ascii="Times New Roman" w:hAnsi="Times New Roman"/>
          <w:smallCaps w:val="0"/>
          <w:color w:val="000000" w:themeColor="text1"/>
          <w:highlight w:val="none"/>
          <w14:textFill>
            <w14:solidFill>
              <w14:schemeClr w14:val="tx1"/>
            </w14:solidFill>
          </w14:textFill>
        </w:rPr>
        <w:t>12.4.1 付款周期</w:t>
      </w:r>
      <w:r>
        <w:rPr>
          <w:rFonts w:hint="eastAsia" w:ascii="Times New Roman" w:hAnsi="Times New Roman"/>
          <w:smallCaps w:val="0"/>
          <w:color w:val="000000" w:themeColor="text1"/>
          <w:highlight w:val="none"/>
          <w:vertAlign w:val="superscript"/>
          <w14:textFill>
            <w14:solidFill>
              <w14:schemeClr w14:val="tx1"/>
            </w14:solidFill>
          </w14:textFill>
        </w:rPr>
        <w:footnoteReference w:id="64"/>
      </w:r>
    </w:p>
    <w:p w14:paraId="20E1EE5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关于付款周期的约定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5F21C1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12.4.2 进度付款申请单的编制</w:t>
      </w:r>
    </w:p>
    <w:p w14:paraId="13E4620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关于进度付款申请单编制的约定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EAF5D0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rPr>
          <w:rFonts w:hint="eastAsia" w:ascii="Times New Roman" w:hAnsi="Times New Roman"/>
          <w:smallCaps w:val="0"/>
          <w:color w:val="000000" w:themeColor="text1"/>
          <w:highlight w:val="none"/>
          <w14:textFill>
            <w14:solidFill>
              <w14:schemeClr w14:val="tx1"/>
            </w14:solidFill>
          </w14:textFill>
        </w:rPr>
        <w:t>2.4.3 进度付款申请单的提交</w:t>
      </w:r>
    </w:p>
    <w:p w14:paraId="47371FC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（1）单价合同进度付款申请单提交的约定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450DC0A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（2）总价合同进度付款申请单提交的约定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E132D4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（3）其他价格形式合同进度付款申请单提交的约定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4A86D26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12.4.4 进度款审核和支付</w:t>
      </w:r>
    </w:p>
    <w:p w14:paraId="6F3BEA3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（1）监理人审查并报送发包人的期限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C6B385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发包人完成审批并签发进度款支付证书的期限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636D61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（2）发包人支付进度款的期限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E0EF25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发包人逾期支付进度款的违约金的计算方式</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CC0AC5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12.4.6 支付分解表的编制</w:t>
      </w:r>
    </w:p>
    <w:p w14:paraId="21B0834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(2)总价合同支付分解表的编制与审批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264E799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(3)单价合同的总价项目支付分解表的编制与审批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14:textFill>
            <w14:solidFill>
              <w14:schemeClr w14:val="tx1"/>
            </w14:solidFill>
          </w14:textFill>
        </w:rPr>
        <w:t>。</w:t>
      </w:r>
    </w:p>
    <w:p w14:paraId="281AFF5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12.4.7 农民工工资管理</w:t>
      </w:r>
    </w:p>
    <w:p w14:paraId="18A5C40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(1)本工程农民工工资实行专用账户管理，承包人设立的专用账户开户行为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，账号</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0E2370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(2)本工程工资性工程款</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元；其中工资性工程预付款</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p>
    <w:p w14:paraId="68132B7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(3)发包人在监理人签发开工报告前，将工资性工程预付款转入承包人开立的农民工工资专用账户。</w:t>
      </w:r>
    </w:p>
    <w:p w14:paraId="21AA36F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工程开工后第一个月支付工资性工程进度款起，分</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月扣回工资性工程预付款。</w:t>
      </w:r>
    </w:p>
    <w:p w14:paraId="6388369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(4)发包人于每月25日前将工资性工程进度款转入农民工工资专用账户。</w:t>
      </w:r>
    </w:p>
    <w:p w14:paraId="2EAF916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(5)承包人每月25日前上报本工程农民工工资清单，每月10日前委托开设农民工工资专用账户的银行支付农民工工资。</w:t>
      </w:r>
    </w:p>
    <w:p w14:paraId="6C1DF7D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(6)工程竣工后，经项目部农民工维权组确认无农民工工资拖欠后，发、承双方办理农民工工资专用账户撤销手续，农民工工资专用账户余额划至本合同约定的承包人账户。</w:t>
      </w:r>
    </w:p>
    <w:bookmarkEnd w:id="964"/>
    <w:p w14:paraId="759EB286">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1135" w:name="_Toc351203645"/>
      <w:bookmarkStart w:id="1136" w:name="_Toc292559424"/>
      <w:bookmarkStart w:id="1137" w:name="_Toc312678053"/>
      <w:bookmarkStart w:id="1138" w:name="_Toc297123564"/>
      <w:bookmarkStart w:id="1139" w:name="_Toc296891047"/>
      <w:bookmarkStart w:id="1140" w:name="_Toc300935015"/>
      <w:bookmarkStart w:id="1141" w:name="_Toc297120519"/>
      <w:bookmarkStart w:id="1142" w:name="_Toc296347218"/>
      <w:bookmarkStart w:id="1143" w:name="_Toc296503219"/>
      <w:bookmarkStart w:id="1144" w:name="_Toc296346720"/>
      <w:bookmarkStart w:id="1145" w:name="_Toc297216223"/>
      <w:bookmarkStart w:id="1146" w:name="_Toc296891259"/>
      <w:bookmarkStart w:id="1147" w:name="_Toc297048405"/>
      <w:bookmarkStart w:id="1148" w:name="_Toc292559929"/>
      <w:bookmarkStart w:id="1149" w:name="_Toc296944558"/>
      <w:bookmarkStart w:id="1150" w:name="_Toc304295593"/>
      <w:bookmarkStart w:id="1151" w:name="_Toc303539172"/>
      <w:r>
        <w:rPr>
          <w:rFonts w:hint="eastAsia" w:ascii="Times New Roman" w:hAnsi="Times New Roman"/>
          <w:b w:val="0"/>
          <w:smallCaps w:val="0"/>
          <w:color w:val="000000" w:themeColor="text1"/>
          <w:sz w:val="24"/>
          <w:szCs w:val="24"/>
          <w:highlight w:val="none"/>
          <w14:textFill>
            <w14:solidFill>
              <w14:schemeClr w14:val="tx1"/>
            </w14:solidFill>
          </w14:textFill>
        </w:rPr>
        <w:t>13. 验收和工程试车</w:t>
      </w:r>
      <w:bookmarkEnd w:id="1135"/>
    </w:p>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14:paraId="0336BCF6">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13.1 分部分项工程验收</w:t>
      </w:r>
    </w:p>
    <w:p w14:paraId="38357C3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13.1.2 监理人不能按时进行验收时，应提前24小时提交书面延期要求。</w:t>
      </w:r>
    </w:p>
    <w:p w14:paraId="454F3A6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关于延期最长不得超过</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48小时。</w:t>
      </w:r>
    </w:p>
    <w:p w14:paraId="5FDFF5B8">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bookmarkStart w:id="1152" w:name="_Toc296944562"/>
      <w:bookmarkStart w:id="1153" w:name="_Toc296891051"/>
      <w:bookmarkStart w:id="1154" w:name="_Toc292559933"/>
      <w:bookmarkStart w:id="1155" w:name="_Toc296347222"/>
      <w:bookmarkStart w:id="1156" w:name="_Toc297120523"/>
      <w:bookmarkStart w:id="1157" w:name="_Toc304295596"/>
      <w:bookmarkStart w:id="1158" w:name="_Toc312678056"/>
      <w:bookmarkStart w:id="1159" w:name="_Toc303539173"/>
      <w:bookmarkStart w:id="1160" w:name="_Toc296891263"/>
      <w:bookmarkStart w:id="1161" w:name="_Toc297123565"/>
      <w:bookmarkStart w:id="1162" w:name="_Toc297048409"/>
      <w:bookmarkStart w:id="1163" w:name="_Toc292559428"/>
      <w:bookmarkStart w:id="1164" w:name="_Toc296503223"/>
      <w:bookmarkStart w:id="1165" w:name="_Toc296346724"/>
      <w:bookmarkStart w:id="1166" w:name="_Toc297216224"/>
      <w:bookmarkStart w:id="1167" w:name="_Toc300935016"/>
      <w:bookmarkStart w:id="1168" w:name="_Toc267251472"/>
      <w:bookmarkStart w:id="1169" w:name="_Toc267251474"/>
      <w:bookmarkStart w:id="1170" w:name="_Toc267251470"/>
      <w:bookmarkStart w:id="1171" w:name="_Toc267251475"/>
      <w:bookmarkStart w:id="1172" w:name="_Toc267251471"/>
      <w:bookmarkStart w:id="1173" w:name="_Toc267251473"/>
      <w:bookmarkStart w:id="1174" w:name="_Toc267251476"/>
      <w:r>
        <w:rPr>
          <w:rFonts w:hint="eastAsia" w:ascii="Times New Roman" w:hAnsi="Times New Roman"/>
          <w:b w:val="0"/>
          <w:smallCaps w:val="0"/>
          <w:color w:val="000000" w:themeColor="text1"/>
          <w:sz w:val="24"/>
          <w:szCs w:val="24"/>
          <w:highlight w:val="none"/>
          <w14:textFill>
            <w14:solidFill>
              <w14:schemeClr w14:val="tx1"/>
            </w14:solidFill>
          </w14:textFill>
        </w:rPr>
        <w:t>13.2 竣工验收</w:t>
      </w:r>
    </w:p>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14:paraId="672EB82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bookmarkStart w:id="1175" w:name="_Toc280868704"/>
      <w:bookmarkStart w:id="1176" w:name="_Toc280868705"/>
      <w:bookmarkStart w:id="1177" w:name="_Toc280868706"/>
      <w:bookmarkStart w:id="1178" w:name="_Toc280868707"/>
      <w:bookmarkStart w:id="1179" w:name="_Toc280868708"/>
      <w:bookmarkStart w:id="1180" w:name="_Toc280868709"/>
      <w:r>
        <w:rPr>
          <w:rFonts w:hint="eastAsia" w:ascii="Times New Roman" w:hAnsi="Times New Roman"/>
          <w:smallCaps w:val="0"/>
          <w:color w:val="000000" w:themeColor="text1"/>
          <w:highlight w:val="none"/>
          <w14:textFill>
            <w14:solidFill>
              <w14:schemeClr w14:val="tx1"/>
            </w14:solidFill>
          </w14:textFill>
        </w:rPr>
        <w:t>13.2.2 竣工验收程序</w:t>
      </w:r>
    </w:p>
    <w:bookmarkEnd w:id="1175"/>
    <w:p w14:paraId="367D540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关于竣工验收程序的约定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执行通用条款。</w:t>
      </w:r>
    </w:p>
    <w:p w14:paraId="26EB8C0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发包人不按照本项约定组织竣工验收、颁发工程接收证书的违约金的计算方法</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执行通用条款。</w:t>
      </w:r>
    </w:p>
    <w:bookmarkEnd w:id="1176"/>
    <w:p w14:paraId="1020D22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13.2.5 移交、接收全部与部分工程</w:t>
      </w:r>
    </w:p>
    <w:bookmarkEnd w:id="1177"/>
    <w:p w14:paraId="1DF510D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承包人向发包人移交工程的期限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颁发工程接收证书后7天内完成工程的移交。</w:t>
      </w:r>
    </w:p>
    <w:p w14:paraId="162086A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发包人未按本合同约定接收全部或部分工程的，违约金的计算方法为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发包人自应当接收工程之日起，承担工程照管、成品保护、保管等与工程有关的各项费用。</w:t>
      </w:r>
    </w:p>
    <w:bookmarkEnd w:id="1178"/>
    <w:p w14:paraId="2F5ACBF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承包人未按时移交工程的，违约金的计算方法为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承包人应承担工程照管、成品保护、保管等与工程有关的各项费用。</w:t>
      </w:r>
    </w:p>
    <w:p w14:paraId="6F3F7D03">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13.3 工程试车</w:t>
      </w:r>
    </w:p>
    <w:bookmarkEnd w:id="1179"/>
    <w:p w14:paraId="57F470C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13.3.1 试车程序</w:t>
      </w:r>
    </w:p>
    <w:p w14:paraId="756369F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工程试车内容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7DE430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（1）单机无负荷试车费用由试车消耗的生产性原材料由发包人承担；试车其他费用（包括试车所需水电油等费用）由承包人在措施费中考虑承担；</w:t>
      </w:r>
    </w:p>
    <w:p w14:paraId="3501AD3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（2）无负荷联动试车费用由试车消耗的生产性原材料由发包人承担；试车其他费用（包括试车所需水电油等费用）由承包人在措施费中考虑承担。</w:t>
      </w:r>
    </w:p>
    <w:p w14:paraId="08B1AE0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13.3.3 投料试车</w:t>
      </w:r>
    </w:p>
    <w:p w14:paraId="6EDE68C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关于投料试车相关事项的约定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执行通用条款。</w:t>
      </w:r>
    </w:p>
    <w:p w14:paraId="5748CFF1">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13.6 竣工退场</w:t>
      </w:r>
    </w:p>
    <w:p w14:paraId="264DEEF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13.6.1 竣工退场</w:t>
      </w:r>
    </w:p>
    <w:p w14:paraId="2ABDB53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承包人完成竣工退场的期限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1116873">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1181" w:name="_Toc351203646"/>
      <w:r>
        <w:rPr>
          <w:rFonts w:hint="eastAsia" w:ascii="Times New Roman" w:hAnsi="Times New Roman"/>
          <w:b w:val="0"/>
          <w:smallCaps w:val="0"/>
          <w:color w:val="000000" w:themeColor="text1"/>
          <w:sz w:val="24"/>
          <w:szCs w:val="24"/>
          <w:highlight w:val="none"/>
          <w14:textFill>
            <w14:solidFill>
              <w14:schemeClr w14:val="tx1"/>
            </w14:solidFill>
          </w14:textFill>
        </w:rPr>
        <w:t>14. 竣工结算</w:t>
      </w:r>
      <w:bookmarkEnd w:id="1181"/>
    </w:p>
    <w:p w14:paraId="33112807">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14.1 竣工结算申请</w:t>
      </w:r>
    </w:p>
    <w:p w14:paraId="1DDED6E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承包人提交竣工结算申请单的期限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承包人应在工程竣工验收合格后28天内。</w:t>
      </w:r>
    </w:p>
    <w:p w14:paraId="18D59F2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竣工结算申请单应包括的内容</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执行通用条款。</w:t>
      </w:r>
    </w:p>
    <w:p w14:paraId="6A706201">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14.2 竣工结算审核</w:t>
      </w:r>
    </w:p>
    <w:p w14:paraId="2DB8A86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发包人审批竣工付款申请单的期限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发包人应在收到监理人提交的经审核的竣工结算申请单后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天内完成审批。</w:t>
      </w:r>
    </w:p>
    <w:p w14:paraId="2BE26BC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机关、事业单位从中小企业采购工程，应当自工程交付之日起30日内支付款项；合同另有约定的，付款期限最长不得超过60日。超过60日的，自超期之日起15日内，机关、事业单位先行按照合同价与结算价孰低的97%支付工程价款。）</w:t>
      </w:r>
    </w:p>
    <w:p w14:paraId="047904B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发包人完成竣工付款的期限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发包人应在签发竣工付款证书后的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天内，完成对承包人的竣工付款。</w:t>
      </w:r>
    </w:p>
    <w:p w14:paraId="4E9F89A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关于竣工付款证书异议部分复核的方式和程序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执行通用条款。</w:t>
      </w:r>
    </w:p>
    <w:p w14:paraId="516BE7A4">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14.4 最终结清</w:t>
      </w:r>
    </w:p>
    <w:p w14:paraId="506776D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14.4.1 最终结清申请单</w:t>
      </w:r>
    </w:p>
    <w:p w14:paraId="46A0CB5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承包人提交最终结清申请单的份数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1F8739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承包人提交最终结算申请单的期限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缺陷责任期终止证书颁发后7天内</w:t>
      </w:r>
      <w:r>
        <w:rPr>
          <w:rFonts w:hint="eastAsia" w:ascii="Times New Roman" w:hAnsi="Times New Roman"/>
          <w:smallCaps w:val="0"/>
          <w:color w:val="000000" w:themeColor="text1"/>
          <w:highlight w:val="none"/>
          <w:lang w:eastAsia="zh-CN"/>
          <w14:textFill>
            <w14:solidFill>
              <w14:schemeClr w14:val="tx1"/>
            </w14:solidFill>
          </w14:textFill>
        </w:rPr>
        <w:t>。</w:t>
      </w:r>
    </w:p>
    <w:p w14:paraId="474F1AD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14.4.2 最终结清证书和支付</w:t>
      </w:r>
    </w:p>
    <w:p w14:paraId="6AE68C9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（1）发包人完成最终结清申请单的审批并颁发最终结清证书的期限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收到承包人提交的最终结清申请单后14天内。</w:t>
      </w:r>
    </w:p>
    <w:p w14:paraId="44401A1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（2）发包人完成支付的期限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颁发最终结清证书后7天内完成支付。</w:t>
      </w:r>
    </w:p>
    <w:bookmarkEnd w:id="1168"/>
    <w:bookmarkEnd w:id="1169"/>
    <w:bookmarkEnd w:id="1170"/>
    <w:bookmarkEnd w:id="1171"/>
    <w:bookmarkEnd w:id="1172"/>
    <w:bookmarkEnd w:id="1173"/>
    <w:bookmarkEnd w:id="1174"/>
    <w:bookmarkEnd w:id="1180"/>
    <w:p w14:paraId="6ED06556">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1182" w:name="_Toc351203647"/>
      <w:bookmarkStart w:id="1183" w:name="_Toc267251483"/>
      <w:bookmarkStart w:id="1184" w:name="_Toc267251482"/>
      <w:bookmarkStart w:id="1185" w:name="_Toc267251484"/>
      <w:bookmarkStart w:id="1186" w:name="_Toc267251485"/>
      <w:bookmarkStart w:id="1187" w:name="_Toc267251488"/>
      <w:bookmarkStart w:id="1188" w:name="_Toc267251489"/>
      <w:bookmarkStart w:id="1189" w:name="_Toc267251490"/>
      <w:bookmarkStart w:id="1190" w:name="_Toc267251486"/>
      <w:bookmarkStart w:id="1191" w:name="_Toc267251495"/>
      <w:bookmarkStart w:id="1192" w:name="_Toc267251499"/>
      <w:bookmarkStart w:id="1193" w:name="_Toc267251496"/>
      <w:bookmarkStart w:id="1194" w:name="_Toc267251501"/>
      <w:bookmarkStart w:id="1195" w:name="_Toc267251493"/>
      <w:bookmarkStart w:id="1196" w:name="_Toc267251502"/>
      <w:bookmarkStart w:id="1197" w:name="_Toc267251497"/>
      <w:bookmarkStart w:id="1198" w:name="_Toc267251498"/>
      <w:bookmarkStart w:id="1199" w:name="_Toc267251491"/>
      <w:bookmarkStart w:id="1200" w:name="_Toc267251492"/>
      <w:bookmarkStart w:id="1201" w:name="_Toc267251503"/>
      <w:bookmarkStart w:id="1202" w:name="_Toc267251494"/>
      <w:bookmarkStart w:id="1203" w:name="_Toc267251504"/>
      <w:bookmarkStart w:id="1204" w:name="_Toc267251506"/>
      <w:bookmarkStart w:id="1205" w:name="_Toc267251507"/>
      <w:bookmarkStart w:id="1206" w:name="_Toc267251508"/>
      <w:bookmarkStart w:id="1207" w:name="_Toc267251515"/>
      <w:bookmarkStart w:id="1208" w:name="_Toc267251511"/>
      <w:bookmarkStart w:id="1209" w:name="_Toc267251510"/>
      <w:bookmarkStart w:id="1210" w:name="_Toc267251513"/>
      <w:bookmarkStart w:id="1211" w:name="_Toc267251509"/>
      <w:bookmarkStart w:id="1212" w:name="_Toc267251514"/>
      <w:r>
        <w:rPr>
          <w:rFonts w:hint="eastAsia" w:ascii="Times New Roman" w:hAnsi="Times New Roman"/>
          <w:b w:val="0"/>
          <w:smallCaps w:val="0"/>
          <w:color w:val="000000" w:themeColor="text1"/>
          <w:sz w:val="24"/>
          <w:szCs w:val="24"/>
          <w:highlight w:val="none"/>
          <w14:textFill>
            <w14:solidFill>
              <w14:schemeClr w14:val="tx1"/>
            </w14:solidFill>
          </w14:textFill>
        </w:rPr>
        <w:t>15. 缺陷责任期与保修</w:t>
      </w:r>
      <w:bookmarkEnd w:id="1182"/>
    </w:p>
    <w:p w14:paraId="769F01FE">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15.2 缺陷责任期</w:t>
      </w:r>
      <w:bookmarkEnd w:id="1183"/>
    </w:p>
    <w:p w14:paraId="6A5603C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缺陷责任期的具体期限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A307E5A">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15.3 质量保证金</w:t>
      </w:r>
      <w:r>
        <w:rPr>
          <w:rFonts w:hint="eastAsia" w:ascii="Times New Roman" w:hAnsi="Times New Roman"/>
          <w:b w:val="0"/>
          <w:smallCaps w:val="0"/>
          <w:color w:val="000000" w:themeColor="text1"/>
          <w:sz w:val="24"/>
          <w:szCs w:val="24"/>
          <w:highlight w:val="none"/>
          <w:vertAlign w:val="superscript"/>
          <w14:textFill>
            <w14:solidFill>
              <w14:schemeClr w14:val="tx1"/>
            </w14:solidFill>
          </w14:textFill>
        </w:rPr>
        <w:footnoteReference w:id="65"/>
      </w:r>
    </w:p>
    <w:p w14:paraId="7E921D6A">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关于是否扣留质量保证金的约定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。在工程项目竣工前，承包人按专用合同条款第3.7款提供履约保证金的，发包人不得同时预留工程质量保证金。</w:t>
      </w:r>
    </w:p>
    <w:p w14:paraId="63494A6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15.3.1 承包人提供质量保证金的方式</w:t>
      </w:r>
    </w:p>
    <w:p w14:paraId="253B616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质量保证金接受现金（电汇、转账）和银行保函方式缴纳，此外，还接受以下第</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种方式</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p>
    <w:p w14:paraId="1975EB9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（1）保险机构保单，保证金额为</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p>
    <w:p w14:paraId="43EEE5F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（2）担保机构保函，保证金额为</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p>
    <w:p w14:paraId="0EAF6D0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%的工程款；</w:t>
      </w:r>
    </w:p>
    <w:p w14:paraId="46FF143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（4）其他方式</w:t>
      </w:r>
      <w:r>
        <w:rPr>
          <w:rFonts w:hint="eastAsia" w:ascii="Times New Roman" w:hAnsi="Times New Roman"/>
          <w:smallCaps w:val="0"/>
          <w:color w:val="000000" w:themeColor="text1"/>
          <w:highlight w:val="none"/>
          <w:u w:val="none"/>
          <w:lang w:val="en-US" w:eastAsia="zh-CN"/>
          <w14:textFill>
            <w14:solidFill>
              <w14:schemeClr w14:val="tx1"/>
            </w14:solidFill>
          </w14:textFill>
        </w:rPr>
        <w:t>：</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p>
    <w:p w14:paraId="0118C00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15.3.2 质量保证金的扣留 </w:t>
      </w:r>
    </w:p>
    <w:p w14:paraId="466FD18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质量保证金的扣留采取以下第</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种方式</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BA00224">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（1）在支付工程进度款时逐次扣留，在此情形下，质量保证金的计算基数不包括预付款的支付、扣回以及价格调整的金额；</w:t>
      </w:r>
    </w:p>
    <w:p w14:paraId="2D4FC23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（2）工程竣工结算时一次性扣留质量保证金；</w:t>
      </w:r>
    </w:p>
    <w:p w14:paraId="23B430B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（3）其他扣留方式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75CE1C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关于质量保证金的补充约定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1184"/>
    <w:bookmarkEnd w:id="1185"/>
    <w:p w14:paraId="728392E9">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15.4 保修</w:t>
      </w:r>
    </w:p>
    <w:bookmarkEnd w:id="1186"/>
    <w:p w14:paraId="569B3D3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15.4.1 保修责任</w:t>
      </w:r>
    </w:p>
    <w:p w14:paraId="6697E3E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工程保修期为</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执行《工程质量保修书》规定。</w:t>
      </w:r>
    </w:p>
    <w:p w14:paraId="4E55072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15.4.3 修复通知</w:t>
      </w:r>
    </w:p>
    <w:p w14:paraId="6A7229F7">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承包人收到保修通知并到达工程现场的合理时间</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bookmarkEnd w:id="1187"/>
    <w:bookmarkEnd w:id="1188"/>
    <w:bookmarkEnd w:id="1189"/>
    <w:bookmarkEnd w:id="1190"/>
    <w:p w14:paraId="32CD2703">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1213" w:name="_Toc351203648"/>
      <w:bookmarkStart w:id="1214" w:name="_Toc280868717"/>
      <w:bookmarkStart w:id="1215" w:name="_Toc280868718"/>
      <w:r>
        <w:rPr>
          <w:rFonts w:hint="eastAsia" w:ascii="Times New Roman" w:hAnsi="Times New Roman"/>
          <w:b w:val="0"/>
          <w:smallCaps w:val="0"/>
          <w:color w:val="000000" w:themeColor="text1"/>
          <w:sz w:val="24"/>
          <w:szCs w:val="24"/>
          <w:highlight w:val="none"/>
          <w14:textFill>
            <w14:solidFill>
              <w14:schemeClr w14:val="tx1"/>
            </w14:solidFill>
          </w14:textFill>
        </w:rPr>
        <w:t>16. 违约</w:t>
      </w:r>
      <w:bookmarkEnd w:id="1213"/>
    </w:p>
    <w:p w14:paraId="1CE21233">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16.1 发包人违约</w:t>
      </w:r>
    </w:p>
    <w:p w14:paraId="5708AC2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16.1.1 发包人违约的情形</w:t>
      </w:r>
    </w:p>
    <w:p w14:paraId="00BABAC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发包人违约的其他情形</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63B7E2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16.1.2 发包人违约的责任</w:t>
      </w:r>
    </w:p>
    <w:p w14:paraId="79C1FC7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发包人违约责任的承担方式和计算方法</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4F690A3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（1）因发包人原因未能在计划开工日期前7天内下达开工通知的违约责任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48C2A1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（2）因发包人原因未能按合同约定支付合同价款的违约责任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D0940B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（3）发包人违反第10.1款〔变更的范围〕第（2）项约定，自行实施被取消的工作或转由他人实施的违约责任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062CFD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（4）发包人提供的材料、工程设备的规格、数量或质量不符合合同约定，或因发包人原因导致交货日期延误或交货地点变更等情况的违约责任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27C3A70">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（5）因发包人违反合同约定造成暂停施工的违约责任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22CB0A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（6）发包人无正当理由没有在约定期限内发出复工指示，导致承包人无法复工的违约责任</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51F43D0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（7）其他</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F18CD7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16.1.3 因发包人违约解除合同</w:t>
      </w:r>
    </w:p>
    <w:p w14:paraId="663B3AD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承包人按16.1.1项〔发包人违约的情形〕约定暂停施工满28天后发包人仍不纠正其违约行为并致使合同目的不能实现的，承包人有权解除合同。</w:t>
      </w:r>
    </w:p>
    <w:p w14:paraId="78606401">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16.2 承包人违约</w:t>
      </w:r>
    </w:p>
    <w:p w14:paraId="261AB36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16.2.1 承包人违约的情形</w:t>
      </w:r>
    </w:p>
    <w:p w14:paraId="47F54B1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承包人违约的其他情形：因承包人原因导致BIM实施应用不符合合同要求的</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________。</w:t>
      </w:r>
    </w:p>
    <w:p w14:paraId="469AA66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16.2.2 承包人违约的责任</w:t>
      </w:r>
    </w:p>
    <w:p w14:paraId="1E57778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承包人违约责任的承担方式和计算方法</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AB3B63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16.2.3 因承包人违约解除合同</w:t>
      </w:r>
    </w:p>
    <w:p w14:paraId="7673DC7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关于承包人违约解除合同的特别约定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251C143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发包人继续使用承包人在施工现场的材料、设备、临时工程、承包人文件和由承包人或以其名义编制的其他文件的费用承担方式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3842B69">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bookmarkStart w:id="1216" w:name="_Toc351203649"/>
      <w:r>
        <w:rPr>
          <w:rFonts w:hint="eastAsia" w:ascii="Times New Roman" w:hAnsi="Times New Roman"/>
          <w:b w:val="0"/>
          <w:smallCaps w:val="0"/>
          <w:color w:val="000000" w:themeColor="text1"/>
          <w:sz w:val="24"/>
          <w:szCs w:val="24"/>
          <w:highlight w:val="none"/>
          <w14:textFill>
            <w14:solidFill>
              <w14:schemeClr w14:val="tx1"/>
            </w14:solidFill>
          </w14:textFill>
        </w:rPr>
        <w:t>17. 不可抗力</w:t>
      </w:r>
      <w:bookmarkEnd w:id="1216"/>
      <w:r>
        <w:rPr>
          <w:rFonts w:hint="eastAsia" w:ascii="Times New Roman" w:hAnsi="Times New Roman"/>
          <w:b w:val="0"/>
          <w:smallCaps w:val="0"/>
          <w:color w:val="000000" w:themeColor="text1"/>
          <w:sz w:val="24"/>
          <w:szCs w:val="24"/>
          <w:highlight w:val="none"/>
          <w14:textFill>
            <w14:solidFill>
              <w14:schemeClr w14:val="tx1"/>
            </w14:solidFill>
          </w14:textFill>
        </w:rPr>
        <w:t xml:space="preserve"> </w:t>
      </w:r>
      <w:bookmarkEnd w:id="1214"/>
    </w:p>
    <w:p w14:paraId="6FA14A00">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17.1 不可抗力的确认</w:t>
      </w:r>
    </w:p>
    <w:p w14:paraId="34A2CE8D">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除通用合同条款约定的不可抗力事件之外，视为不可抗力的其他情形</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执行通用条款。</w:t>
      </w:r>
    </w:p>
    <w:p w14:paraId="721C89BD">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17.4 因不可抗力解除合同</w:t>
      </w:r>
    </w:p>
    <w:p w14:paraId="3A6301F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合同解除后，发包人应在商定或确定发包人应支付款项后28天内完成款项的支付。</w:t>
      </w:r>
    </w:p>
    <w:p w14:paraId="0479250C">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1217" w:name="_Toc351203650"/>
      <w:r>
        <w:rPr>
          <w:rFonts w:hint="eastAsia" w:ascii="Times New Roman" w:hAnsi="Times New Roman"/>
          <w:b w:val="0"/>
          <w:smallCaps w:val="0"/>
          <w:color w:val="000000" w:themeColor="text1"/>
          <w:sz w:val="24"/>
          <w:szCs w:val="24"/>
          <w:highlight w:val="none"/>
          <w14:textFill>
            <w14:solidFill>
              <w14:schemeClr w14:val="tx1"/>
            </w14:solidFill>
          </w14:textFill>
        </w:rPr>
        <w:t>18. 保险</w:t>
      </w:r>
      <w:bookmarkEnd w:id="1217"/>
    </w:p>
    <w:bookmarkEnd w:id="1215"/>
    <w:p w14:paraId="2C12C2C8">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18.1 工程保险</w:t>
      </w:r>
    </w:p>
    <w:p w14:paraId="7B0C905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关于工程保险的特别约定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5B5641A">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18.3 其他保险</w:t>
      </w:r>
    </w:p>
    <w:p w14:paraId="5CDD9C86">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关于其他保险的约定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承包人须为其施工现场的全部人员办理意外伤害保险并支付保险费，包括其员工及为履行合同聘请的第三方的人员。</w:t>
      </w:r>
    </w:p>
    <w:p w14:paraId="0B46A0B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承包人是否应为其施工设备等办理财产保险</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执行通用条款。</w:t>
      </w:r>
    </w:p>
    <w:p w14:paraId="3B5B81BC">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18.7 通知义务</w:t>
      </w:r>
    </w:p>
    <w:p w14:paraId="0FC9304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关于变更保险合同时的通知义务的约定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执行通用条款。</w:t>
      </w:r>
    </w:p>
    <w:bookmarkEnd w:id="1191"/>
    <w:bookmarkEnd w:id="1192"/>
    <w:bookmarkEnd w:id="1193"/>
    <w:bookmarkEnd w:id="1194"/>
    <w:bookmarkEnd w:id="1195"/>
    <w:bookmarkEnd w:id="1196"/>
    <w:bookmarkEnd w:id="1197"/>
    <w:bookmarkEnd w:id="1198"/>
    <w:bookmarkEnd w:id="1199"/>
    <w:bookmarkEnd w:id="1200"/>
    <w:bookmarkEnd w:id="1201"/>
    <w:bookmarkEnd w:id="1202"/>
    <w:p w14:paraId="2F5E0817">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bookmarkStart w:id="1218" w:name="_Toc351203651"/>
      <w:r>
        <w:rPr>
          <w:rFonts w:hint="eastAsia" w:ascii="Times New Roman" w:hAnsi="Times New Roman"/>
          <w:b w:val="0"/>
          <w:smallCaps w:val="0"/>
          <w:color w:val="000000" w:themeColor="text1"/>
          <w:sz w:val="24"/>
          <w:szCs w:val="24"/>
          <w:highlight w:val="none"/>
          <w14:textFill>
            <w14:solidFill>
              <w14:schemeClr w14:val="tx1"/>
            </w14:solidFill>
          </w14:textFill>
        </w:rPr>
        <w:t>20. 争议解决</w:t>
      </w:r>
      <w:bookmarkEnd w:id="1218"/>
    </w:p>
    <w:bookmarkEnd w:id="1203"/>
    <w:bookmarkEnd w:id="1204"/>
    <w:p w14:paraId="230BE23D">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20.3 争</w:t>
      </w:r>
      <w:bookmarkEnd w:id="1205"/>
      <w:r>
        <w:rPr>
          <w:rFonts w:hint="eastAsia" w:ascii="Times New Roman" w:hAnsi="Times New Roman"/>
          <w:b w:val="0"/>
          <w:smallCaps w:val="0"/>
          <w:color w:val="000000" w:themeColor="text1"/>
          <w:sz w:val="24"/>
          <w:szCs w:val="24"/>
          <w:highlight w:val="none"/>
          <w14:textFill>
            <w14:solidFill>
              <w14:schemeClr w14:val="tx1"/>
            </w14:solidFill>
          </w14:textFill>
        </w:rPr>
        <w:t>议评审</w:t>
      </w:r>
    </w:p>
    <w:p w14:paraId="6CB4C8D3">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合同当事人是否同意将工程争议提交争议评审小组决定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p>
    <w:p w14:paraId="728555A8">
      <w:pPr>
        <w:pStyle w:val="77"/>
        <w:pageBreakBefore w:val="0"/>
        <w:widowControl w:val="0"/>
        <w:kinsoku/>
        <w:wordWrap w:val="0"/>
        <w:overflowPunct/>
        <w:topLinePunct w:val="0"/>
        <w:autoSpaceDE/>
        <w:autoSpaceDN/>
        <w:bidi w:val="0"/>
        <w:snapToGrid/>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20.3.1 争议评审小组的确定</w:t>
      </w:r>
    </w:p>
    <w:p w14:paraId="2815CAA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争议评审小组</w:t>
      </w:r>
      <w:r>
        <w:rPr>
          <w:rFonts w:hint="eastAsia" w:ascii="Times New Roman" w:hAnsi="Times New Roman"/>
          <w:smallCaps w:val="0"/>
          <w:color w:val="000000" w:themeColor="text1"/>
          <w:highlight w:val="none"/>
          <w:lang w:eastAsia="zh-CN"/>
          <w14:textFill>
            <w14:solidFill>
              <w14:schemeClr w14:val="tx1"/>
            </w14:solidFill>
          </w14:textFill>
        </w:rPr>
        <w:t>成员的人数</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4805628">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争议评审小组成员的确定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545ACE5">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选定争议评审员的期限</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41A8C3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评审机构</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6B18137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争议评审小组成员的报酬承担方式</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E000CBE">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其他事项的约定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A67096B">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20.3.2 争议评审小组的决定</w:t>
      </w:r>
    </w:p>
    <w:p w14:paraId="688E5A1C">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合同当事人关于本项的约定</w:t>
      </w:r>
      <w:r>
        <w:rPr>
          <w:rFonts w:hint="eastAsia" w:ascii="Times New Roman" w:hAnsi="Times New Roman"/>
          <w:smallCaps w:val="0"/>
          <w:color w:val="000000" w:themeColor="text1"/>
          <w:highlight w:val="none"/>
          <w:u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7785E6C2">
      <w:pPr>
        <w:pStyle w:val="77"/>
        <w:pageBreakBefore w:val="0"/>
        <w:widowControl w:val="0"/>
        <w:kinsoku/>
        <w:wordWrap w:val="0"/>
        <w:overflowPunct/>
        <w:topLinePunct w:val="0"/>
        <w:autoSpaceDE/>
        <w:autoSpaceDN/>
        <w:bidi w:val="0"/>
        <w:snapToGrid/>
        <w:textAlignment w:val="auto"/>
        <w:outlineLvl w:val="3"/>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20.4 仲裁或诉讼</w:t>
      </w:r>
      <w:bookmarkEnd w:id="1206"/>
    </w:p>
    <w:p w14:paraId="561BB942">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因合同及合同有关事项发生的争议，按下列第</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种方式解决</w:t>
      </w:r>
      <w:r>
        <w:rPr>
          <w:rFonts w:hint="eastAsia" w:ascii="Times New Roman" w:hAnsi="Times New Roman"/>
          <w:smallCaps w:val="0"/>
          <w:color w:val="000000" w:themeColor="text1"/>
          <w:highlight w:val="none"/>
          <w:u w:val="none"/>
          <w:lang w:eastAsia="zh-CN"/>
          <w14:textFill>
            <w14:solidFill>
              <w14:schemeClr w14:val="tx1"/>
            </w14:solidFill>
          </w14:textFill>
        </w:rPr>
        <w:t>：</w:t>
      </w:r>
    </w:p>
    <w:p w14:paraId="731BBACF">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（1）向</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仲裁委员会申请仲裁；</w:t>
      </w:r>
    </w:p>
    <w:p w14:paraId="43D13761">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（2）向工程所在地人民法院起诉。</w:t>
      </w:r>
      <w:bookmarkEnd w:id="1207"/>
      <w:bookmarkEnd w:id="1208"/>
      <w:bookmarkEnd w:id="1209"/>
      <w:bookmarkEnd w:id="1210"/>
      <w:bookmarkEnd w:id="1211"/>
      <w:bookmarkEnd w:id="1212"/>
    </w:p>
    <w:p w14:paraId="1CB35051">
      <w:pPr>
        <w:pStyle w:val="77"/>
        <w:pageBreakBefore w:val="0"/>
        <w:widowControl w:val="0"/>
        <w:kinsoku/>
        <w:wordWrap w:val="0"/>
        <w:overflowPunct/>
        <w:topLinePunct w:val="0"/>
        <w:autoSpaceDE/>
        <w:autoSpaceDN/>
        <w:bidi w:val="0"/>
        <w:snapToGrid/>
        <w:textAlignment w:val="auto"/>
        <w:outlineLvl w:val="2"/>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 xml:space="preserve">21. 补充条款 </w:t>
      </w:r>
    </w:p>
    <w:p w14:paraId="5E2833E9">
      <w:pPr>
        <w:pStyle w:val="7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p>
    <w:p w14:paraId="61AE62D7">
      <w:pPr>
        <w:pageBreakBefore w:val="0"/>
        <w:kinsoku/>
        <w:wordWrap w:val="0"/>
        <w:overflowPunct/>
        <w:bidi w:val="0"/>
        <w:rPr>
          <w:rFonts w:hint="eastAsia" w:ascii="Times New Roman" w:hAnsi="Times New Roman" w:cs="宋体"/>
          <w:b/>
          <w:smallCaps w:val="0"/>
          <w:color w:val="000000" w:themeColor="text1"/>
          <w:highlight w:val="none"/>
          <w14:textFill>
            <w14:solidFill>
              <w14:schemeClr w14:val="tx1"/>
            </w14:solidFill>
          </w14:textFill>
        </w:rPr>
      </w:pPr>
      <w:r>
        <w:rPr>
          <w:rFonts w:hint="eastAsia" w:ascii="Times New Roman" w:hAnsi="Times New Roman" w:cs="宋体"/>
          <w:b/>
          <w:smallCaps w:val="0"/>
          <w:color w:val="000000" w:themeColor="text1"/>
          <w:highlight w:val="none"/>
          <w14:textFill>
            <w14:solidFill>
              <w14:schemeClr w14:val="tx1"/>
            </w14:solidFill>
          </w14:textFill>
        </w:rPr>
        <w:br w:type="page"/>
      </w:r>
    </w:p>
    <w:p w14:paraId="670DBB2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(公章)</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承包人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(公章)</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BAAC7EC">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法定代表人或其委托代理人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法定代表人或其委托代理人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19B60D1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0F3125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组织机构代码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组织机构代码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87AFDA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  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地  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B084D2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F39F26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11D8708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委托代理人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委托代理人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B296A3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  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电  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969E0D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传  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传  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3147C5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电子信箱</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电子信箱</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5D61C2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开户银行</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开户银行</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FEC144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账  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账  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3A777252">
      <w:pPr>
        <w:pageBreakBefore w:val="0"/>
        <w:kinsoku/>
        <w:wordWrap w:val="0"/>
        <w:overflowPunct/>
        <w:bidi w:val="0"/>
        <w:rPr>
          <w:rFonts w:hint="eastAsia" w:ascii="Times New Roman" w:hAnsi="Times New Roman" w:cs="宋体"/>
          <w:b/>
          <w:smallCaps w:val="0"/>
          <w:color w:val="000000" w:themeColor="text1"/>
          <w:highlight w:val="none"/>
          <w14:textFill>
            <w14:solidFill>
              <w14:schemeClr w14:val="tx1"/>
            </w14:solidFill>
          </w14:textFill>
        </w:rPr>
      </w:pPr>
      <w:r>
        <w:rPr>
          <w:rFonts w:hint="eastAsia" w:ascii="Times New Roman" w:hAnsi="Times New Roman" w:cs="宋体"/>
          <w:b/>
          <w:smallCaps w:val="0"/>
          <w:color w:val="000000" w:themeColor="text1"/>
          <w:highlight w:val="none"/>
          <w14:textFill>
            <w14:solidFill>
              <w14:schemeClr w14:val="tx1"/>
            </w14:solidFill>
          </w14:textFill>
        </w:rPr>
        <w:br w:type="page"/>
      </w:r>
    </w:p>
    <w:p w14:paraId="29625A03">
      <w:pPr>
        <w:pStyle w:val="77"/>
        <w:pageBreakBefore w:val="0"/>
        <w:kinsoku/>
        <w:wordWrap w:val="0"/>
        <w:overflowPunct/>
        <w:bidi w:val="0"/>
        <w:outlineLvl w:val="2"/>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附件</w:t>
      </w:r>
    </w:p>
    <w:p w14:paraId="2C927EB2">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lang w:eastAsia="zh-CN"/>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协议书附件</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p>
    <w:p w14:paraId="782CA522">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附件1</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承包人承揽工程项目一览表</w:t>
      </w:r>
    </w:p>
    <w:p w14:paraId="11B2E6DD">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lang w:eastAsia="zh-CN"/>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专用合同条款附件</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p>
    <w:p w14:paraId="4E28A471">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附件2</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发包人供应材料设备一览表</w:t>
      </w:r>
    </w:p>
    <w:p w14:paraId="0CC2B755">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附件3</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工程质量保修书</w:t>
      </w:r>
    </w:p>
    <w:p w14:paraId="4B65FF6D">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附件4</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主要建设工程文件目录</w:t>
      </w:r>
    </w:p>
    <w:p w14:paraId="1D92B49E">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附件5</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承包人用于本工程施工的机械设备表</w:t>
      </w:r>
    </w:p>
    <w:p w14:paraId="0EE62EE3">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附件6</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承包人主要施工管理人员表</w:t>
      </w:r>
    </w:p>
    <w:p w14:paraId="18B3089A">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附件7</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分包人主要施工管理人员表</w:t>
      </w:r>
    </w:p>
    <w:p w14:paraId="26771807">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lang w:eastAsia="zh-CN"/>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附件8</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廉政</w:t>
      </w:r>
      <w:r>
        <w:rPr>
          <w:rFonts w:hint="eastAsia" w:ascii="Times New Roman" w:hAnsi="Times New Roman"/>
          <w:smallCaps w:val="0"/>
          <w:color w:val="000000" w:themeColor="text1"/>
          <w:sz w:val="24"/>
          <w:szCs w:val="24"/>
          <w:highlight w:val="none"/>
          <w:lang w:eastAsia="zh-CN"/>
          <w14:textFill>
            <w14:solidFill>
              <w14:schemeClr w14:val="tx1"/>
            </w14:solidFill>
          </w14:textFill>
        </w:rPr>
        <w:t>责任书格式</w:t>
      </w:r>
    </w:p>
    <w:p w14:paraId="2319513D">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附件9</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履约保证金格式</w:t>
      </w:r>
    </w:p>
    <w:p w14:paraId="6E12F60D">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附件10</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预付款担保格式</w:t>
      </w:r>
    </w:p>
    <w:p w14:paraId="1AB43222">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附件11</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支付担保格式</w:t>
      </w:r>
    </w:p>
    <w:p w14:paraId="1CED3E4B">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附件12</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暂估价一览表</w:t>
      </w:r>
    </w:p>
    <w:p w14:paraId="10C6B92E">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附件13</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安全生产合同</w:t>
      </w:r>
    </w:p>
    <w:p w14:paraId="1D675D31">
      <w:pPr>
        <w:pStyle w:val="68"/>
        <w:pageBreakBefore w:val="0"/>
        <w:kinsoku/>
        <w:wordWrap w:val="0"/>
        <w:overflowPunct/>
        <w:bidi w:val="0"/>
        <w:ind w:left="0" w:leftChars="0" w:firstLine="0" w:firstLineChars="0"/>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附件14</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14:textFill>
            <w14:solidFill>
              <w14:schemeClr w14:val="tx1"/>
            </w14:solidFill>
          </w14:textFill>
        </w:rPr>
        <w:t>项目经理质量终身责任制承诺</w:t>
      </w:r>
    </w:p>
    <w:p w14:paraId="099E958D">
      <w:pPr>
        <w:pageBreakBefore w:val="0"/>
        <w:kinsoku/>
        <w:wordWrap w:val="0"/>
        <w:overflowPunct/>
        <w:bidi w:val="0"/>
        <w:outlineLvl w:val="9"/>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49431EB9">
      <w:pPr>
        <w:keepNext/>
        <w:keepLines/>
        <w:pageBreakBefore w:val="0"/>
        <w:kinsoku/>
        <w:wordWrap w:val="0"/>
        <w:overflowPunct/>
        <w:bidi w:val="0"/>
        <w:spacing w:before="120" w:after="120" w:line="360" w:lineRule="auto"/>
        <w:jc w:val="left"/>
        <w:outlineLvl w:val="3"/>
        <w:rPr>
          <w:rStyle w:val="78"/>
          <w:rFonts w:hint="eastAsia" w:ascii="Times New Roman" w:hAnsi="Times New Roman"/>
          <w:smallCaps w:val="0"/>
          <w:color w:val="000000" w:themeColor="text1"/>
          <w:highlight w:val="none"/>
          <w14:textFill>
            <w14:solidFill>
              <w14:schemeClr w14:val="tx1"/>
            </w14:solidFill>
          </w14:textFill>
        </w:rPr>
      </w:pPr>
      <w:bookmarkStart w:id="1219" w:name="_Toc13437"/>
      <w:r>
        <w:rPr>
          <w:rStyle w:val="78"/>
          <w:rFonts w:hint="eastAsia" w:ascii="Times New Roman" w:hAnsi="Times New Roman"/>
          <w:smallCaps w:val="0"/>
          <w:color w:val="000000" w:themeColor="text1"/>
          <w:highlight w:val="none"/>
          <w14:textFill>
            <w14:solidFill>
              <w14:schemeClr w14:val="tx1"/>
            </w14:solidFill>
          </w14:textFill>
        </w:rPr>
        <w:t>附件1</w:t>
      </w:r>
      <w:r>
        <w:rPr>
          <w:rStyle w:val="78"/>
          <w:rFonts w:hint="eastAsia" w:ascii="Times New Roman" w:hAnsi="Times New Roman"/>
          <w:smallCaps w:val="0"/>
          <w:color w:val="000000" w:themeColor="text1"/>
          <w:highlight w:val="none"/>
          <w:lang w:eastAsia="zh-CN"/>
          <w14:textFill>
            <w14:solidFill>
              <w14:schemeClr w14:val="tx1"/>
            </w14:solidFill>
          </w14:textFill>
        </w:rPr>
        <w:t>：</w:t>
      </w:r>
      <w:r>
        <w:rPr>
          <w:rStyle w:val="78"/>
          <w:rFonts w:hint="eastAsia" w:ascii="Times New Roman" w:hAnsi="Times New Roman"/>
          <w:smallCaps w:val="0"/>
          <w:color w:val="000000" w:themeColor="text1"/>
          <w:highlight w:val="none"/>
          <w14:textFill>
            <w14:solidFill>
              <w14:schemeClr w14:val="tx1"/>
            </w14:solidFill>
          </w14:textFill>
        </w:rPr>
        <w:t>承包人承揽工程项目一览表</w:t>
      </w:r>
    </w:p>
    <w:bookmarkEnd w:id="1219"/>
    <w:p w14:paraId="76FBD815">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承包人承揽工程项目一览表</w:t>
      </w:r>
    </w:p>
    <w:tbl>
      <w:tblPr>
        <w:tblStyle w:val="22"/>
        <w:tblW w:w="94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134"/>
        <w:gridCol w:w="1134"/>
        <w:gridCol w:w="993"/>
        <w:gridCol w:w="708"/>
        <w:gridCol w:w="1134"/>
        <w:gridCol w:w="1134"/>
        <w:gridCol w:w="993"/>
        <w:gridCol w:w="708"/>
        <w:gridCol w:w="567"/>
      </w:tblGrid>
      <w:tr w14:paraId="45F60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center"/>
          </w:tcPr>
          <w:p w14:paraId="55FD55A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单位工程名称</w:t>
            </w:r>
          </w:p>
        </w:tc>
        <w:tc>
          <w:tcPr>
            <w:tcW w:w="1134" w:type="dxa"/>
            <w:tcBorders>
              <w:top w:val="single" w:color="auto" w:sz="12" w:space="0"/>
              <w:bottom w:val="double" w:color="auto" w:sz="6" w:space="0"/>
            </w:tcBorders>
            <w:noWrap w:val="0"/>
            <w:vAlign w:val="center"/>
          </w:tcPr>
          <w:p w14:paraId="2D5D4A1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建设规模</w:t>
            </w:r>
          </w:p>
        </w:tc>
        <w:tc>
          <w:tcPr>
            <w:tcW w:w="1134" w:type="dxa"/>
            <w:tcBorders>
              <w:top w:val="single" w:color="auto" w:sz="12" w:space="0"/>
              <w:bottom w:val="double" w:color="auto" w:sz="6" w:space="0"/>
            </w:tcBorders>
            <w:noWrap w:val="0"/>
            <w:vAlign w:val="center"/>
          </w:tcPr>
          <w:p w14:paraId="5BA21C4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建筑面积(平方米)</w:t>
            </w:r>
          </w:p>
        </w:tc>
        <w:tc>
          <w:tcPr>
            <w:tcW w:w="993" w:type="dxa"/>
            <w:tcBorders>
              <w:top w:val="single" w:color="auto" w:sz="12" w:space="0"/>
              <w:bottom w:val="double" w:color="auto" w:sz="6" w:space="0"/>
            </w:tcBorders>
            <w:noWrap w:val="0"/>
            <w:vAlign w:val="center"/>
          </w:tcPr>
          <w:p w14:paraId="1A77E1E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结构形式</w:t>
            </w:r>
          </w:p>
        </w:tc>
        <w:tc>
          <w:tcPr>
            <w:tcW w:w="708" w:type="dxa"/>
            <w:tcBorders>
              <w:top w:val="single" w:color="auto" w:sz="12" w:space="0"/>
              <w:bottom w:val="double" w:color="auto" w:sz="6" w:space="0"/>
            </w:tcBorders>
            <w:noWrap w:val="0"/>
            <w:vAlign w:val="center"/>
          </w:tcPr>
          <w:p w14:paraId="72D51C8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层数</w:t>
            </w:r>
          </w:p>
        </w:tc>
        <w:tc>
          <w:tcPr>
            <w:tcW w:w="1134" w:type="dxa"/>
            <w:tcBorders>
              <w:top w:val="single" w:color="auto" w:sz="12" w:space="0"/>
              <w:bottom w:val="double" w:color="auto" w:sz="6" w:space="0"/>
            </w:tcBorders>
            <w:noWrap w:val="0"/>
            <w:vAlign w:val="center"/>
          </w:tcPr>
          <w:p w14:paraId="6BACB18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生产能力</w:t>
            </w:r>
          </w:p>
        </w:tc>
        <w:tc>
          <w:tcPr>
            <w:tcW w:w="1134" w:type="dxa"/>
            <w:tcBorders>
              <w:top w:val="single" w:color="auto" w:sz="12" w:space="0"/>
              <w:bottom w:val="double" w:color="auto" w:sz="6" w:space="0"/>
            </w:tcBorders>
            <w:noWrap w:val="0"/>
            <w:vAlign w:val="center"/>
          </w:tcPr>
          <w:p w14:paraId="34019E1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设备安装内容</w:t>
            </w:r>
          </w:p>
        </w:tc>
        <w:tc>
          <w:tcPr>
            <w:tcW w:w="993" w:type="dxa"/>
            <w:tcBorders>
              <w:top w:val="single" w:color="auto" w:sz="12" w:space="0"/>
              <w:bottom w:val="double" w:color="auto" w:sz="6" w:space="0"/>
            </w:tcBorders>
            <w:noWrap w:val="0"/>
            <w:vAlign w:val="center"/>
          </w:tcPr>
          <w:p w14:paraId="15CF25B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合同价格（元）</w:t>
            </w:r>
          </w:p>
        </w:tc>
        <w:tc>
          <w:tcPr>
            <w:tcW w:w="708" w:type="dxa"/>
            <w:tcBorders>
              <w:top w:val="single" w:color="auto" w:sz="12" w:space="0"/>
              <w:bottom w:val="double" w:color="auto" w:sz="6" w:space="0"/>
            </w:tcBorders>
            <w:noWrap w:val="0"/>
            <w:vAlign w:val="center"/>
          </w:tcPr>
          <w:p w14:paraId="4085890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开工日期</w:t>
            </w:r>
          </w:p>
        </w:tc>
        <w:tc>
          <w:tcPr>
            <w:tcW w:w="567" w:type="dxa"/>
            <w:tcBorders>
              <w:top w:val="single" w:color="auto" w:sz="12" w:space="0"/>
              <w:bottom w:val="double" w:color="auto" w:sz="6" w:space="0"/>
            </w:tcBorders>
            <w:noWrap w:val="0"/>
            <w:vAlign w:val="center"/>
          </w:tcPr>
          <w:p w14:paraId="5E86C33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竣工日期</w:t>
            </w:r>
          </w:p>
        </w:tc>
      </w:tr>
      <w:tr w14:paraId="6A00F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double" w:color="auto" w:sz="6" w:space="0"/>
            </w:tcBorders>
            <w:noWrap w:val="0"/>
            <w:vAlign w:val="center"/>
          </w:tcPr>
          <w:p w14:paraId="550D3F10">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double" w:color="auto" w:sz="6" w:space="0"/>
            </w:tcBorders>
            <w:noWrap w:val="0"/>
            <w:vAlign w:val="center"/>
          </w:tcPr>
          <w:p w14:paraId="25DA7735">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double" w:color="auto" w:sz="6" w:space="0"/>
            </w:tcBorders>
            <w:noWrap w:val="0"/>
            <w:vAlign w:val="center"/>
          </w:tcPr>
          <w:p w14:paraId="043281EB">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3" w:type="dxa"/>
            <w:tcBorders>
              <w:top w:val="double" w:color="auto" w:sz="6" w:space="0"/>
            </w:tcBorders>
            <w:noWrap w:val="0"/>
            <w:vAlign w:val="center"/>
          </w:tcPr>
          <w:p w14:paraId="1F8AFFB4">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708" w:type="dxa"/>
            <w:tcBorders>
              <w:top w:val="double" w:color="auto" w:sz="6" w:space="0"/>
            </w:tcBorders>
            <w:noWrap w:val="0"/>
            <w:vAlign w:val="center"/>
          </w:tcPr>
          <w:p w14:paraId="359F6382">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double" w:color="auto" w:sz="6" w:space="0"/>
            </w:tcBorders>
            <w:noWrap w:val="0"/>
            <w:vAlign w:val="center"/>
          </w:tcPr>
          <w:p w14:paraId="54BE2582">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double" w:color="auto" w:sz="6" w:space="0"/>
            </w:tcBorders>
            <w:noWrap w:val="0"/>
            <w:vAlign w:val="center"/>
          </w:tcPr>
          <w:p w14:paraId="32FBA970">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3" w:type="dxa"/>
            <w:tcBorders>
              <w:top w:val="double" w:color="auto" w:sz="6" w:space="0"/>
            </w:tcBorders>
            <w:noWrap w:val="0"/>
            <w:vAlign w:val="center"/>
          </w:tcPr>
          <w:p w14:paraId="5F1193B0">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708" w:type="dxa"/>
            <w:tcBorders>
              <w:top w:val="double" w:color="auto" w:sz="6" w:space="0"/>
            </w:tcBorders>
            <w:noWrap w:val="0"/>
            <w:vAlign w:val="center"/>
          </w:tcPr>
          <w:p w14:paraId="11213E7A">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567" w:type="dxa"/>
            <w:tcBorders>
              <w:top w:val="double" w:color="auto" w:sz="6" w:space="0"/>
            </w:tcBorders>
            <w:noWrap w:val="0"/>
            <w:vAlign w:val="center"/>
          </w:tcPr>
          <w:p w14:paraId="713FB409">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r>
      <w:tr w14:paraId="32E9E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nil"/>
            </w:tcBorders>
            <w:noWrap w:val="0"/>
            <w:vAlign w:val="center"/>
          </w:tcPr>
          <w:p w14:paraId="5AB08476">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nil"/>
            </w:tcBorders>
            <w:noWrap w:val="0"/>
            <w:vAlign w:val="center"/>
          </w:tcPr>
          <w:p w14:paraId="14A5F6B6">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nil"/>
            </w:tcBorders>
            <w:noWrap w:val="0"/>
            <w:vAlign w:val="center"/>
          </w:tcPr>
          <w:p w14:paraId="17719305">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3" w:type="dxa"/>
            <w:tcBorders>
              <w:top w:val="nil"/>
            </w:tcBorders>
            <w:noWrap w:val="0"/>
            <w:vAlign w:val="center"/>
          </w:tcPr>
          <w:p w14:paraId="198281C6">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708" w:type="dxa"/>
            <w:tcBorders>
              <w:top w:val="nil"/>
            </w:tcBorders>
            <w:noWrap w:val="0"/>
            <w:vAlign w:val="center"/>
          </w:tcPr>
          <w:p w14:paraId="14C93EF3">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nil"/>
            </w:tcBorders>
            <w:noWrap w:val="0"/>
            <w:vAlign w:val="center"/>
          </w:tcPr>
          <w:p w14:paraId="79076FE1">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nil"/>
            </w:tcBorders>
            <w:noWrap w:val="0"/>
            <w:vAlign w:val="center"/>
          </w:tcPr>
          <w:p w14:paraId="67FC8803">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3" w:type="dxa"/>
            <w:tcBorders>
              <w:top w:val="nil"/>
            </w:tcBorders>
            <w:noWrap w:val="0"/>
            <w:vAlign w:val="center"/>
          </w:tcPr>
          <w:p w14:paraId="079CF5F3">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708" w:type="dxa"/>
            <w:tcBorders>
              <w:top w:val="nil"/>
            </w:tcBorders>
            <w:noWrap w:val="0"/>
            <w:vAlign w:val="center"/>
          </w:tcPr>
          <w:p w14:paraId="47DE7AC7">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567" w:type="dxa"/>
            <w:tcBorders>
              <w:top w:val="nil"/>
            </w:tcBorders>
            <w:noWrap w:val="0"/>
            <w:vAlign w:val="center"/>
          </w:tcPr>
          <w:p w14:paraId="04A9F082">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r>
      <w:tr w14:paraId="76449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nil"/>
            </w:tcBorders>
            <w:noWrap w:val="0"/>
            <w:vAlign w:val="center"/>
          </w:tcPr>
          <w:p w14:paraId="7929E77F">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nil"/>
            </w:tcBorders>
            <w:noWrap w:val="0"/>
            <w:vAlign w:val="center"/>
          </w:tcPr>
          <w:p w14:paraId="39A5EF28">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nil"/>
            </w:tcBorders>
            <w:noWrap w:val="0"/>
            <w:vAlign w:val="center"/>
          </w:tcPr>
          <w:p w14:paraId="6D83B65D">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3" w:type="dxa"/>
            <w:tcBorders>
              <w:top w:val="nil"/>
            </w:tcBorders>
            <w:noWrap w:val="0"/>
            <w:vAlign w:val="center"/>
          </w:tcPr>
          <w:p w14:paraId="33574930">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708" w:type="dxa"/>
            <w:tcBorders>
              <w:top w:val="nil"/>
            </w:tcBorders>
            <w:noWrap w:val="0"/>
            <w:vAlign w:val="center"/>
          </w:tcPr>
          <w:p w14:paraId="08949507">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nil"/>
            </w:tcBorders>
            <w:noWrap w:val="0"/>
            <w:vAlign w:val="center"/>
          </w:tcPr>
          <w:p w14:paraId="56F49121">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top w:val="nil"/>
            </w:tcBorders>
            <w:noWrap w:val="0"/>
            <w:vAlign w:val="center"/>
          </w:tcPr>
          <w:p w14:paraId="4A4E781E">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3" w:type="dxa"/>
            <w:tcBorders>
              <w:top w:val="nil"/>
            </w:tcBorders>
            <w:noWrap w:val="0"/>
            <w:vAlign w:val="center"/>
          </w:tcPr>
          <w:p w14:paraId="52325479">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708" w:type="dxa"/>
            <w:tcBorders>
              <w:top w:val="nil"/>
            </w:tcBorders>
            <w:noWrap w:val="0"/>
            <w:vAlign w:val="center"/>
          </w:tcPr>
          <w:p w14:paraId="4A5AD75C">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567" w:type="dxa"/>
            <w:tcBorders>
              <w:top w:val="nil"/>
            </w:tcBorders>
            <w:noWrap w:val="0"/>
            <w:vAlign w:val="center"/>
          </w:tcPr>
          <w:p w14:paraId="2377C338">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r>
      <w:tr w14:paraId="523D3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bottom w:val="single" w:color="auto" w:sz="12" w:space="0"/>
            </w:tcBorders>
            <w:noWrap w:val="0"/>
            <w:vAlign w:val="center"/>
          </w:tcPr>
          <w:p w14:paraId="62A3ECB6">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bottom w:val="single" w:color="auto" w:sz="12" w:space="0"/>
            </w:tcBorders>
            <w:noWrap w:val="0"/>
            <w:vAlign w:val="center"/>
          </w:tcPr>
          <w:p w14:paraId="027DF85E">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bottom w:val="single" w:color="auto" w:sz="12" w:space="0"/>
            </w:tcBorders>
            <w:noWrap w:val="0"/>
            <w:vAlign w:val="center"/>
          </w:tcPr>
          <w:p w14:paraId="641F638F">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3" w:type="dxa"/>
            <w:tcBorders>
              <w:bottom w:val="single" w:color="auto" w:sz="12" w:space="0"/>
            </w:tcBorders>
            <w:noWrap w:val="0"/>
            <w:vAlign w:val="center"/>
          </w:tcPr>
          <w:p w14:paraId="101A9A95">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708" w:type="dxa"/>
            <w:tcBorders>
              <w:bottom w:val="single" w:color="auto" w:sz="12" w:space="0"/>
            </w:tcBorders>
            <w:noWrap w:val="0"/>
            <w:vAlign w:val="center"/>
          </w:tcPr>
          <w:p w14:paraId="0446BA47">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bottom w:val="single" w:color="auto" w:sz="12" w:space="0"/>
            </w:tcBorders>
            <w:noWrap w:val="0"/>
            <w:vAlign w:val="center"/>
          </w:tcPr>
          <w:p w14:paraId="6F27564C">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134" w:type="dxa"/>
            <w:tcBorders>
              <w:bottom w:val="single" w:color="auto" w:sz="12" w:space="0"/>
            </w:tcBorders>
            <w:noWrap w:val="0"/>
            <w:vAlign w:val="center"/>
          </w:tcPr>
          <w:p w14:paraId="03FB3E1B">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3" w:type="dxa"/>
            <w:tcBorders>
              <w:bottom w:val="single" w:color="auto" w:sz="12" w:space="0"/>
            </w:tcBorders>
            <w:noWrap w:val="0"/>
            <w:vAlign w:val="center"/>
          </w:tcPr>
          <w:p w14:paraId="32CB3B63">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708" w:type="dxa"/>
            <w:tcBorders>
              <w:bottom w:val="single" w:color="auto" w:sz="12" w:space="0"/>
            </w:tcBorders>
            <w:noWrap w:val="0"/>
            <w:vAlign w:val="center"/>
          </w:tcPr>
          <w:p w14:paraId="4F85ACE5">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567" w:type="dxa"/>
            <w:tcBorders>
              <w:bottom w:val="single" w:color="auto" w:sz="12" w:space="0"/>
            </w:tcBorders>
            <w:noWrap w:val="0"/>
            <w:vAlign w:val="center"/>
          </w:tcPr>
          <w:p w14:paraId="486069A3">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r>
    </w:tbl>
    <w:p w14:paraId="720D7159">
      <w:pPr>
        <w:pageBreakBefore w:val="0"/>
        <w:kinsoku/>
        <w:wordWrap w:val="0"/>
        <w:overflowPunct/>
        <w:bidi w:val="0"/>
        <w:spacing w:line="360" w:lineRule="auto"/>
        <w:rPr>
          <w:rFonts w:hint="eastAsia" w:ascii="Times New Roman" w:hAnsi="Times New Roman" w:cs="宋体"/>
          <w:smallCaps w:val="0"/>
          <w:color w:val="000000" w:themeColor="text1"/>
          <w:sz w:val="22"/>
          <w:szCs w:val="21"/>
          <w:highlight w:val="none"/>
          <w14:textFill>
            <w14:solidFill>
              <w14:schemeClr w14:val="tx1"/>
            </w14:solidFill>
          </w14:textFill>
        </w:rPr>
      </w:pPr>
    </w:p>
    <w:p w14:paraId="1BC40971">
      <w:pPr>
        <w:pageBreakBefore w:val="0"/>
        <w:kinsoku/>
        <w:wordWrap w:val="0"/>
        <w:overflowPunct/>
        <w:bidi w:val="0"/>
        <w:spacing w:line="360" w:lineRule="auto"/>
        <w:rPr>
          <w:rFonts w:hint="eastAsia" w:ascii="Times New Roman" w:hAnsi="Times New Roman" w:cs="宋体"/>
          <w:smallCaps w:val="0"/>
          <w:color w:val="000000" w:themeColor="text1"/>
          <w:sz w:val="22"/>
          <w:szCs w:val="21"/>
          <w:highlight w:val="none"/>
          <w14:textFill>
            <w14:solidFill>
              <w14:schemeClr w14:val="tx1"/>
            </w14:solidFill>
          </w14:textFill>
        </w:rPr>
      </w:pPr>
    </w:p>
    <w:p w14:paraId="6C9DF887">
      <w:pPr>
        <w:pageBreakBefore w:val="0"/>
        <w:kinsoku/>
        <w:wordWrap w:val="0"/>
        <w:overflowPunct/>
        <w:bidi w:val="0"/>
        <w:rPr>
          <w:rFonts w:hint="eastAsia" w:ascii="Times New Roman" w:hAnsi="Times New Roman"/>
          <w:b w:val="0"/>
          <w:smallCaps w:val="0"/>
          <w:color w:val="000000" w:themeColor="text1"/>
          <w:highlight w:val="none"/>
          <w14:textFill>
            <w14:solidFill>
              <w14:schemeClr w14:val="tx1"/>
            </w14:solidFill>
          </w14:textFill>
        </w:rPr>
      </w:pPr>
      <w:r>
        <w:rPr>
          <w:rFonts w:hint="eastAsia" w:ascii="Times New Roman" w:hAnsi="Times New Roman"/>
          <w:b w:val="0"/>
          <w:smallCaps w:val="0"/>
          <w:color w:val="000000" w:themeColor="text1"/>
          <w:highlight w:val="none"/>
          <w14:textFill>
            <w14:solidFill>
              <w14:schemeClr w14:val="tx1"/>
            </w14:solidFill>
          </w14:textFill>
        </w:rPr>
        <w:br w:type="page"/>
      </w:r>
    </w:p>
    <w:p w14:paraId="2C030856">
      <w:pPr>
        <w:keepNext/>
        <w:keepLines/>
        <w:pageBreakBefore w:val="0"/>
        <w:kinsoku/>
        <w:wordWrap w:val="0"/>
        <w:overflowPunct/>
        <w:bidi w:val="0"/>
        <w:spacing w:before="120" w:after="120" w:line="360" w:lineRule="auto"/>
        <w:jc w:val="left"/>
        <w:outlineLvl w:val="3"/>
        <w:rPr>
          <w:rStyle w:val="78"/>
          <w:rFonts w:hint="eastAsia" w:ascii="Times New Roman" w:hAnsi="Times New Roman"/>
          <w:smallCaps w:val="0"/>
          <w:color w:val="000000" w:themeColor="text1"/>
          <w:highlight w:val="none"/>
          <w14:textFill>
            <w14:solidFill>
              <w14:schemeClr w14:val="tx1"/>
            </w14:solidFill>
          </w14:textFill>
        </w:rPr>
      </w:pPr>
      <w:bookmarkStart w:id="1220" w:name="_Toc11585"/>
      <w:r>
        <w:rPr>
          <w:rStyle w:val="78"/>
          <w:rFonts w:hint="eastAsia" w:ascii="Times New Roman" w:hAnsi="Times New Roman"/>
          <w:smallCaps w:val="0"/>
          <w:color w:val="000000" w:themeColor="text1"/>
          <w:highlight w:val="none"/>
          <w14:textFill>
            <w14:solidFill>
              <w14:schemeClr w14:val="tx1"/>
            </w14:solidFill>
          </w14:textFill>
        </w:rPr>
        <w:t>附</w:t>
      </w:r>
      <w:bookmarkStart w:id="1221" w:name="_Toc296891053"/>
      <w:bookmarkStart w:id="1222" w:name="_Toc267261692"/>
      <w:bookmarkStart w:id="1223" w:name="_Toc296891265"/>
      <w:bookmarkStart w:id="1224" w:name="_Toc296944564"/>
      <w:bookmarkStart w:id="1225" w:name="_Toc296503225"/>
      <w:bookmarkStart w:id="1226" w:name="_Toc296346726"/>
      <w:bookmarkStart w:id="1227" w:name="_Toc296347224"/>
      <w:r>
        <w:rPr>
          <w:rStyle w:val="78"/>
          <w:rFonts w:hint="eastAsia" w:ascii="Times New Roman" w:hAnsi="Times New Roman"/>
          <w:smallCaps w:val="0"/>
          <w:color w:val="000000" w:themeColor="text1"/>
          <w:highlight w:val="none"/>
          <w14:textFill>
            <w14:solidFill>
              <w14:schemeClr w14:val="tx1"/>
            </w14:solidFill>
          </w14:textFill>
        </w:rPr>
        <w:t>件2</w:t>
      </w:r>
      <w:r>
        <w:rPr>
          <w:rStyle w:val="78"/>
          <w:rFonts w:hint="eastAsia" w:ascii="Times New Roman" w:hAnsi="Times New Roman"/>
          <w:smallCaps w:val="0"/>
          <w:color w:val="000000" w:themeColor="text1"/>
          <w:highlight w:val="none"/>
          <w:lang w:eastAsia="zh-CN"/>
          <w14:textFill>
            <w14:solidFill>
              <w14:schemeClr w14:val="tx1"/>
            </w14:solidFill>
          </w14:textFill>
        </w:rPr>
        <w:t>：</w:t>
      </w:r>
      <w:r>
        <w:rPr>
          <w:rStyle w:val="78"/>
          <w:rFonts w:hint="eastAsia" w:ascii="Times New Roman" w:hAnsi="Times New Roman"/>
          <w:smallCaps w:val="0"/>
          <w:color w:val="000000" w:themeColor="text1"/>
          <w:highlight w:val="none"/>
          <w14:textFill>
            <w14:solidFill>
              <w14:schemeClr w14:val="tx1"/>
            </w14:solidFill>
          </w14:textFill>
        </w:rPr>
        <w:t>发包人供应材料设备一览表</w:t>
      </w:r>
    </w:p>
    <w:bookmarkEnd w:id="1220"/>
    <w:bookmarkEnd w:id="1221"/>
    <w:bookmarkEnd w:id="1222"/>
    <w:bookmarkEnd w:id="1223"/>
    <w:bookmarkEnd w:id="1224"/>
    <w:bookmarkEnd w:id="1225"/>
    <w:bookmarkEnd w:id="1226"/>
    <w:bookmarkEnd w:id="1227"/>
    <w:p w14:paraId="2C4A5F0D">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发包人供应材料设备一览表</w:t>
      </w:r>
    </w:p>
    <w:tbl>
      <w:tblPr>
        <w:tblStyle w:val="22"/>
        <w:tblW w:w="9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082"/>
        <w:gridCol w:w="940"/>
        <w:gridCol w:w="851"/>
        <w:gridCol w:w="1044"/>
        <w:gridCol w:w="992"/>
        <w:gridCol w:w="851"/>
        <w:gridCol w:w="966"/>
        <w:gridCol w:w="803"/>
      </w:tblGrid>
      <w:tr w14:paraId="0F88C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51" w:type="dxa"/>
            <w:tcBorders>
              <w:top w:val="single" w:color="auto" w:sz="12" w:space="0"/>
              <w:bottom w:val="double" w:color="auto" w:sz="6" w:space="0"/>
            </w:tcBorders>
            <w:noWrap w:val="0"/>
            <w:vAlign w:val="center"/>
          </w:tcPr>
          <w:p w14:paraId="75D4FFD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276" w:type="dxa"/>
            <w:tcBorders>
              <w:top w:val="single" w:color="auto" w:sz="12" w:space="0"/>
              <w:bottom w:val="double" w:color="auto" w:sz="6" w:space="0"/>
            </w:tcBorders>
            <w:noWrap w:val="0"/>
            <w:vAlign w:val="center"/>
          </w:tcPr>
          <w:p w14:paraId="33AAD4D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材料、设备品种</w:t>
            </w:r>
          </w:p>
        </w:tc>
        <w:tc>
          <w:tcPr>
            <w:tcW w:w="1082" w:type="dxa"/>
            <w:tcBorders>
              <w:top w:val="single" w:color="auto" w:sz="12" w:space="0"/>
              <w:bottom w:val="double" w:color="auto" w:sz="6" w:space="0"/>
            </w:tcBorders>
            <w:noWrap w:val="0"/>
            <w:vAlign w:val="center"/>
          </w:tcPr>
          <w:p w14:paraId="67BAC39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规格型号</w:t>
            </w:r>
          </w:p>
        </w:tc>
        <w:tc>
          <w:tcPr>
            <w:tcW w:w="940" w:type="dxa"/>
            <w:tcBorders>
              <w:top w:val="single" w:color="auto" w:sz="12" w:space="0"/>
              <w:bottom w:val="double" w:color="auto" w:sz="6" w:space="0"/>
            </w:tcBorders>
            <w:noWrap w:val="0"/>
            <w:vAlign w:val="center"/>
          </w:tcPr>
          <w:p w14:paraId="6BA54CB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w:t>
            </w:r>
          </w:p>
        </w:tc>
        <w:tc>
          <w:tcPr>
            <w:tcW w:w="851" w:type="dxa"/>
            <w:tcBorders>
              <w:top w:val="single" w:color="auto" w:sz="12" w:space="0"/>
              <w:bottom w:val="double" w:color="auto" w:sz="6" w:space="0"/>
            </w:tcBorders>
            <w:noWrap w:val="0"/>
            <w:vAlign w:val="center"/>
          </w:tcPr>
          <w:p w14:paraId="089E14A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1044" w:type="dxa"/>
            <w:tcBorders>
              <w:top w:val="single" w:color="auto" w:sz="12" w:space="0"/>
              <w:bottom w:val="double" w:color="auto" w:sz="6" w:space="0"/>
            </w:tcBorders>
            <w:noWrap w:val="0"/>
            <w:vAlign w:val="center"/>
          </w:tcPr>
          <w:p w14:paraId="152BEA6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单价（元）</w:t>
            </w:r>
          </w:p>
        </w:tc>
        <w:tc>
          <w:tcPr>
            <w:tcW w:w="992" w:type="dxa"/>
            <w:tcBorders>
              <w:top w:val="single" w:color="auto" w:sz="12" w:space="0"/>
              <w:bottom w:val="double" w:color="auto" w:sz="6" w:space="0"/>
            </w:tcBorders>
            <w:noWrap w:val="0"/>
            <w:vAlign w:val="center"/>
          </w:tcPr>
          <w:p w14:paraId="7E06CC4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质量等级</w:t>
            </w:r>
          </w:p>
        </w:tc>
        <w:tc>
          <w:tcPr>
            <w:tcW w:w="851" w:type="dxa"/>
            <w:tcBorders>
              <w:top w:val="single" w:color="auto" w:sz="12" w:space="0"/>
              <w:bottom w:val="double" w:color="auto" w:sz="6" w:space="0"/>
            </w:tcBorders>
            <w:noWrap w:val="0"/>
            <w:vAlign w:val="center"/>
          </w:tcPr>
          <w:p w14:paraId="03BAD7A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供应时间</w:t>
            </w:r>
          </w:p>
        </w:tc>
        <w:tc>
          <w:tcPr>
            <w:tcW w:w="966" w:type="dxa"/>
            <w:tcBorders>
              <w:top w:val="single" w:color="auto" w:sz="12" w:space="0"/>
              <w:bottom w:val="double" w:color="auto" w:sz="6" w:space="0"/>
            </w:tcBorders>
            <w:noWrap w:val="0"/>
            <w:vAlign w:val="center"/>
          </w:tcPr>
          <w:p w14:paraId="0906A4E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送达地点</w:t>
            </w:r>
          </w:p>
        </w:tc>
        <w:tc>
          <w:tcPr>
            <w:tcW w:w="803" w:type="dxa"/>
            <w:tcBorders>
              <w:top w:val="single" w:color="auto" w:sz="12" w:space="0"/>
              <w:bottom w:val="double" w:color="auto" w:sz="6" w:space="0"/>
            </w:tcBorders>
            <w:noWrap w:val="0"/>
            <w:vAlign w:val="center"/>
          </w:tcPr>
          <w:p w14:paraId="2054A32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59018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double" w:color="auto" w:sz="6" w:space="0"/>
            </w:tcBorders>
            <w:noWrap w:val="0"/>
            <w:vAlign w:val="center"/>
          </w:tcPr>
          <w:p w14:paraId="5AADF6AB">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276" w:type="dxa"/>
            <w:tcBorders>
              <w:top w:val="double" w:color="auto" w:sz="6" w:space="0"/>
            </w:tcBorders>
            <w:noWrap w:val="0"/>
            <w:vAlign w:val="center"/>
          </w:tcPr>
          <w:p w14:paraId="129F0031">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082" w:type="dxa"/>
            <w:tcBorders>
              <w:top w:val="double" w:color="auto" w:sz="6" w:space="0"/>
            </w:tcBorders>
            <w:noWrap w:val="0"/>
            <w:vAlign w:val="center"/>
          </w:tcPr>
          <w:p w14:paraId="5B4DEAAE">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40" w:type="dxa"/>
            <w:tcBorders>
              <w:top w:val="double" w:color="auto" w:sz="6" w:space="0"/>
            </w:tcBorders>
            <w:noWrap w:val="0"/>
            <w:vAlign w:val="center"/>
          </w:tcPr>
          <w:p w14:paraId="412F24E5">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851" w:type="dxa"/>
            <w:tcBorders>
              <w:top w:val="double" w:color="auto" w:sz="6" w:space="0"/>
            </w:tcBorders>
            <w:noWrap w:val="0"/>
            <w:vAlign w:val="center"/>
          </w:tcPr>
          <w:p w14:paraId="3DBC70C8">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044" w:type="dxa"/>
            <w:tcBorders>
              <w:top w:val="double" w:color="auto" w:sz="6" w:space="0"/>
            </w:tcBorders>
            <w:noWrap w:val="0"/>
            <w:vAlign w:val="center"/>
          </w:tcPr>
          <w:p w14:paraId="0518A4F1">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2" w:type="dxa"/>
            <w:tcBorders>
              <w:top w:val="double" w:color="auto" w:sz="6" w:space="0"/>
            </w:tcBorders>
            <w:noWrap w:val="0"/>
            <w:vAlign w:val="center"/>
          </w:tcPr>
          <w:p w14:paraId="7B1B8A30">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851" w:type="dxa"/>
            <w:tcBorders>
              <w:top w:val="double" w:color="auto" w:sz="6" w:space="0"/>
            </w:tcBorders>
            <w:noWrap w:val="0"/>
            <w:vAlign w:val="center"/>
          </w:tcPr>
          <w:p w14:paraId="52833F6E">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66" w:type="dxa"/>
            <w:tcBorders>
              <w:top w:val="double" w:color="auto" w:sz="6" w:space="0"/>
            </w:tcBorders>
            <w:noWrap w:val="0"/>
            <w:vAlign w:val="center"/>
          </w:tcPr>
          <w:p w14:paraId="5949064F">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803" w:type="dxa"/>
            <w:tcBorders>
              <w:top w:val="double" w:color="auto" w:sz="6" w:space="0"/>
            </w:tcBorders>
            <w:noWrap w:val="0"/>
            <w:vAlign w:val="center"/>
          </w:tcPr>
          <w:p w14:paraId="68BC92E7">
            <w:pPr>
              <w:keepNext/>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r>
      <w:tr w14:paraId="675CEA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14:paraId="575E8511">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276" w:type="dxa"/>
            <w:noWrap w:val="0"/>
            <w:vAlign w:val="center"/>
          </w:tcPr>
          <w:p w14:paraId="69DC36BC">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082" w:type="dxa"/>
            <w:noWrap w:val="0"/>
            <w:vAlign w:val="center"/>
          </w:tcPr>
          <w:p w14:paraId="17D880CB">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40" w:type="dxa"/>
            <w:noWrap w:val="0"/>
            <w:vAlign w:val="center"/>
          </w:tcPr>
          <w:p w14:paraId="283DDBD7">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851" w:type="dxa"/>
            <w:noWrap w:val="0"/>
            <w:vAlign w:val="center"/>
          </w:tcPr>
          <w:p w14:paraId="48943A96">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044" w:type="dxa"/>
            <w:noWrap w:val="0"/>
            <w:vAlign w:val="center"/>
          </w:tcPr>
          <w:p w14:paraId="6EC85163">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2" w:type="dxa"/>
            <w:noWrap w:val="0"/>
            <w:vAlign w:val="center"/>
          </w:tcPr>
          <w:p w14:paraId="695E18D4">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851" w:type="dxa"/>
            <w:noWrap w:val="0"/>
            <w:vAlign w:val="center"/>
          </w:tcPr>
          <w:p w14:paraId="0FE587EC">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66" w:type="dxa"/>
            <w:noWrap w:val="0"/>
            <w:vAlign w:val="center"/>
          </w:tcPr>
          <w:p w14:paraId="0277FC21">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803" w:type="dxa"/>
            <w:noWrap w:val="0"/>
            <w:vAlign w:val="center"/>
          </w:tcPr>
          <w:p w14:paraId="6321375D">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r>
      <w:tr w14:paraId="5918B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bottom w:val="single" w:color="auto" w:sz="12" w:space="0"/>
            </w:tcBorders>
            <w:noWrap w:val="0"/>
            <w:vAlign w:val="center"/>
          </w:tcPr>
          <w:p w14:paraId="590CE0A3">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276" w:type="dxa"/>
            <w:tcBorders>
              <w:bottom w:val="single" w:color="auto" w:sz="12" w:space="0"/>
            </w:tcBorders>
            <w:noWrap w:val="0"/>
            <w:vAlign w:val="center"/>
          </w:tcPr>
          <w:p w14:paraId="23CB4D35">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082" w:type="dxa"/>
            <w:tcBorders>
              <w:bottom w:val="single" w:color="auto" w:sz="12" w:space="0"/>
            </w:tcBorders>
            <w:noWrap w:val="0"/>
            <w:vAlign w:val="center"/>
          </w:tcPr>
          <w:p w14:paraId="21339993">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40" w:type="dxa"/>
            <w:tcBorders>
              <w:bottom w:val="single" w:color="auto" w:sz="12" w:space="0"/>
            </w:tcBorders>
            <w:noWrap w:val="0"/>
            <w:vAlign w:val="center"/>
          </w:tcPr>
          <w:p w14:paraId="3D104EB2">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851" w:type="dxa"/>
            <w:tcBorders>
              <w:bottom w:val="single" w:color="auto" w:sz="12" w:space="0"/>
            </w:tcBorders>
            <w:noWrap w:val="0"/>
            <w:vAlign w:val="center"/>
          </w:tcPr>
          <w:p w14:paraId="32902D4D">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1044" w:type="dxa"/>
            <w:tcBorders>
              <w:bottom w:val="single" w:color="auto" w:sz="12" w:space="0"/>
            </w:tcBorders>
            <w:noWrap w:val="0"/>
            <w:vAlign w:val="center"/>
          </w:tcPr>
          <w:p w14:paraId="47196442">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92" w:type="dxa"/>
            <w:tcBorders>
              <w:bottom w:val="single" w:color="auto" w:sz="12" w:space="0"/>
            </w:tcBorders>
            <w:noWrap w:val="0"/>
            <w:vAlign w:val="center"/>
          </w:tcPr>
          <w:p w14:paraId="1CB5349E">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851" w:type="dxa"/>
            <w:tcBorders>
              <w:bottom w:val="single" w:color="auto" w:sz="12" w:space="0"/>
            </w:tcBorders>
            <w:noWrap w:val="0"/>
            <w:vAlign w:val="center"/>
          </w:tcPr>
          <w:p w14:paraId="02C51BC5">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966" w:type="dxa"/>
            <w:tcBorders>
              <w:bottom w:val="single" w:color="auto" w:sz="12" w:space="0"/>
            </w:tcBorders>
            <w:noWrap w:val="0"/>
            <w:vAlign w:val="center"/>
          </w:tcPr>
          <w:p w14:paraId="7D1F5D7D">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c>
          <w:tcPr>
            <w:tcW w:w="803" w:type="dxa"/>
            <w:tcBorders>
              <w:bottom w:val="single" w:color="auto" w:sz="12" w:space="0"/>
            </w:tcBorders>
            <w:noWrap w:val="0"/>
            <w:vAlign w:val="center"/>
          </w:tcPr>
          <w:p w14:paraId="2FAAB005">
            <w:pPr>
              <w:keepNext w:val="0"/>
              <w:keepLines w:val="0"/>
              <w:pageBreakBefore w:val="0"/>
              <w:suppressLineNumbers w:val="0"/>
              <w:kinsoku/>
              <w:wordWrap w:val="0"/>
              <w:overflowPunct/>
              <w:bidi w:val="0"/>
              <w:snapToGrid w:val="0"/>
              <w:spacing w:before="0" w:beforeAutospacing="0" w:after="0" w:afterAutospacing="0" w:line="360" w:lineRule="auto"/>
              <w:ind w:left="0" w:right="0"/>
              <w:rPr>
                <w:rFonts w:hint="eastAsia" w:ascii="Times New Roman" w:hAnsi="Times New Roman" w:cs="宋体"/>
                <w:smallCaps w:val="0"/>
                <w:color w:val="000000" w:themeColor="text1"/>
                <w:sz w:val="22"/>
                <w:szCs w:val="21"/>
                <w:highlight w:val="none"/>
                <w14:textFill>
                  <w14:solidFill>
                    <w14:schemeClr w14:val="tx1"/>
                  </w14:solidFill>
                </w14:textFill>
              </w:rPr>
            </w:pPr>
          </w:p>
        </w:tc>
      </w:tr>
    </w:tbl>
    <w:p w14:paraId="2D63FDC1">
      <w:pPr>
        <w:pageBreakBefore w:val="0"/>
        <w:kinsoku/>
        <w:wordWrap w:val="0"/>
        <w:overflowPunct/>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478F40E3">
      <w:pPr>
        <w:keepNext/>
        <w:keepLines/>
        <w:pageBreakBefore w:val="0"/>
        <w:kinsoku/>
        <w:wordWrap w:val="0"/>
        <w:overflowPunct/>
        <w:bidi w:val="0"/>
        <w:spacing w:before="120" w:after="120" w:line="360" w:lineRule="auto"/>
        <w:jc w:val="left"/>
        <w:outlineLvl w:val="3"/>
        <w:rPr>
          <w:rStyle w:val="78"/>
          <w:rFonts w:hint="eastAsia" w:ascii="Times New Roman" w:hAnsi="Times New Roman"/>
          <w:smallCaps w:val="0"/>
          <w:color w:val="000000" w:themeColor="text1"/>
          <w:highlight w:val="none"/>
          <w14:textFill>
            <w14:solidFill>
              <w14:schemeClr w14:val="tx1"/>
            </w14:solidFill>
          </w14:textFill>
        </w:rPr>
      </w:pPr>
      <w:bookmarkStart w:id="1228" w:name="_Toc22527"/>
      <w:r>
        <w:rPr>
          <w:rStyle w:val="78"/>
          <w:rFonts w:hint="eastAsia" w:ascii="Times New Roman" w:hAnsi="Times New Roman"/>
          <w:smallCaps w:val="0"/>
          <w:color w:val="000000" w:themeColor="text1"/>
          <w:highlight w:val="none"/>
          <w14:textFill>
            <w14:solidFill>
              <w14:schemeClr w14:val="tx1"/>
            </w14:solidFill>
          </w14:textFill>
        </w:rPr>
        <w:t>附件3</w:t>
      </w:r>
      <w:r>
        <w:rPr>
          <w:rStyle w:val="78"/>
          <w:rFonts w:hint="eastAsia" w:ascii="Times New Roman" w:hAnsi="Times New Roman"/>
          <w:smallCaps w:val="0"/>
          <w:color w:val="000000" w:themeColor="text1"/>
          <w:highlight w:val="none"/>
          <w:lang w:eastAsia="zh-CN"/>
          <w14:textFill>
            <w14:solidFill>
              <w14:schemeClr w14:val="tx1"/>
            </w14:solidFill>
          </w14:textFill>
        </w:rPr>
        <w:t>：</w:t>
      </w:r>
      <w:r>
        <w:rPr>
          <w:rStyle w:val="78"/>
          <w:rFonts w:hint="eastAsia" w:ascii="Times New Roman" w:hAnsi="Times New Roman"/>
          <w:smallCaps w:val="0"/>
          <w:color w:val="000000" w:themeColor="text1"/>
          <w:highlight w:val="none"/>
          <w14:textFill>
            <w14:solidFill>
              <w14:schemeClr w14:val="tx1"/>
            </w14:solidFill>
          </w14:textFill>
        </w:rPr>
        <w:t>工程质量保修书(房屋建筑工程)</w:t>
      </w:r>
    </w:p>
    <w:bookmarkEnd w:id="1228"/>
    <w:p w14:paraId="39AF1130">
      <w:pPr>
        <w:pageBreakBefore w:val="0"/>
        <w:kinsoku/>
        <w:wordWrap w:val="0"/>
        <w:overflowPunct/>
        <w:bidi w:val="0"/>
        <w:outlineLvl w:val="9"/>
        <w:rPr>
          <w:rFonts w:hint="eastAsia"/>
          <w:color w:val="000000" w:themeColor="text1"/>
          <w:highlight w:val="none"/>
          <w14:textFill>
            <w14:solidFill>
              <w14:schemeClr w14:val="tx1"/>
            </w14:solidFill>
          </w14:textFill>
        </w:rPr>
      </w:pPr>
    </w:p>
    <w:p w14:paraId="202D73FD">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工程质量保修书</w:t>
      </w:r>
    </w:p>
    <w:p w14:paraId="682D233B">
      <w:pPr>
        <w:pageBreakBefore w:val="0"/>
        <w:kinsoku/>
        <w:wordWrap w:val="0"/>
        <w:overflowPunct/>
        <w:bidi w:val="0"/>
        <w:rPr>
          <w:rFonts w:hint="eastAsia"/>
          <w:color w:val="000000" w:themeColor="text1"/>
          <w:highlight w:val="none"/>
          <w14:textFill>
            <w14:solidFill>
              <w14:schemeClr w14:val="tx1"/>
            </w14:solidFill>
          </w14:textFill>
        </w:rPr>
      </w:pPr>
    </w:p>
    <w:p w14:paraId="5463E858">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发包人（全称）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19161395">
      <w:pPr>
        <w:pStyle w:val="79"/>
        <w:pageBreakBefore w:val="0"/>
        <w:widowControl w:val="0"/>
        <w:kinsoku/>
        <w:wordWrap w:val="0"/>
        <w:overflowPunct/>
        <w:topLinePunct w:val="0"/>
        <w:autoSpaceDE/>
        <w:autoSpaceDN/>
        <w:bidi w:val="0"/>
        <w:snapToGrid/>
        <w:ind w:left="0" w:leftChars="0" w:firstLine="0" w:firstLineChars="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承包人（全称）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CD76232">
      <w:pPr>
        <w:pageBreakBefore w:val="0"/>
        <w:kinsoku/>
        <w:wordWrap w:val="0"/>
        <w:overflowPunct/>
        <w:bidi w:val="0"/>
        <w:rPr>
          <w:rFonts w:hint="eastAsia"/>
          <w:color w:val="000000" w:themeColor="text1"/>
          <w:highlight w:val="none"/>
          <w14:textFill>
            <w14:solidFill>
              <w14:schemeClr w14:val="tx1"/>
            </w14:solidFill>
          </w14:textFill>
        </w:rPr>
      </w:pPr>
    </w:p>
    <w:p w14:paraId="7C1410D9">
      <w:pPr>
        <w:pStyle w:val="79"/>
        <w:pageBreakBefore w:val="0"/>
        <w:widowControl w:val="0"/>
        <w:kinsoku/>
        <w:wordWrap w:val="0"/>
        <w:overflowPunct/>
        <w:topLinePunct w:val="0"/>
        <w:autoSpaceDE/>
        <w:autoSpaceDN/>
        <w:bidi w:val="0"/>
        <w:snapToGrid/>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发包人和承包人根据《中华人民共和国建筑法》和《建设工程质量管理条例》，经协商一致就_______________（工程全称）签订工程质量保修书。</w:t>
      </w:r>
    </w:p>
    <w:p w14:paraId="74E15B5A">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一、工程质量保修范围和内容</w:t>
      </w:r>
    </w:p>
    <w:p w14:paraId="5DD12D3A">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承包人在质量保修期内，按照有关法律规定和合同约定，承担工程质量保修责任。</w:t>
      </w:r>
    </w:p>
    <w:p w14:paraId="78A53A4F">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105F1B4">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二、质量保修期</w:t>
      </w:r>
    </w:p>
    <w:p w14:paraId="2C391585">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根据《建设工程质量管理条例》及有关规定，工程的质量保修期如下</w:t>
      </w:r>
      <w:r>
        <w:rPr>
          <w:rFonts w:hint="eastAsia" w:ascii="Times New Roman" w:hAnsi="Times New Roman"/>
          <w:smallCaps w:val="0"/>
          <w:color w:val="000000" w:themeColor="text1"/>
          <w:highlight w:val="none"/>
          <w:lang w:eastAsia="zh-CN"/>
          <w14:textFill>
            <w14:solidFill>
              <w14:schemeClr w14:val="tx1"/>
            </w14:solidFill>
          </w14:textFill>
        </w:rPr>
        <w:t>：</w:t>
      </w:r>
    </w:p>
    <w:p w14:paraId="7D1FCC6C">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地基基础工程和主体结构工程为设计文件规定的工程合理使用年限；</w:t>
      </w:r>
    </w:p>
    <w:p w14:paraId="49A809C7">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屋面防水工程、有防水要求的卫生间、房间和外墙面的防渗为5年；</w:t>
      </w:r>
    </w:p>
    <w:p w14:paraId="646FB496">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 装修工程为2年；</w:t>
      </w:r>
    </w:p>
    <w:p w14:paraId="68A37E2A">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 电气管线、给排水管道、设备安装工程为2年；</w:t>
      </w:r>
    </w:p>
    <w:p w14:paraId="344C7DCB">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 供热与供冷系统为2个采暖期、供冷期；</w:t>
      </w:r>
    </w:p>
    <w:p w14:paraId="4B71C6F0">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 住宅小区内的给排水设施、道路等配套工程为2年；</w:t>
      </w:r>
    </w:p>
    <w:p w14:paraId="649387EE">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 其他项目保修期限约定如下</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保温工程5年。</w:t>
      </w:r>
    </w:p>
    <w:p w14:paraId="2B506CEA">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质量保修期自工程竣工验收合格之日起计算。</w:t>
      </w:r>
    </w:p>
    <w:p w14:paraId="4FA6964E">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三、缺陷责任期</w:t>
      </w:r>
    </w:p>
    <w:p w14:paraId="7DB15CDD">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工程缺陷责任期为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，缺陷责任期自工程竣工验收合格之日起计算。单位工程先于全部工程进行验收，单位工程缺陷责任期自单位工程验收合格之日起算。</w:t>
      </w:r>
    </w:p>
    <w:p w14:paraId="5A926DE2">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缺陷责任期终止后，发包人应退还剩余的质量保证金。</w:t>
      </w:r>
    </w:p>
    <w:p w14:paraId="790000EF">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四、质量保修责任</w:t>
      </w:r>
    </w:p>
    <w:p w14:paraId="4BDFD2C2">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属于保修范围、内容的项目，承包人应当在接到保修通知之日起7天内派人保修。承包人不在约定期限内派人保修的，发包人可以委托他人修理。</w:t>
      </w:r>
    </w:p>
    <w:p w14:paraId="516889FA">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发生紧急事故需抢修的，承包人在接到事故通知后，应当立即到达事故现场抢修。</w:t>
      </w:r>
    </w:p>
    <w:p w14:paraId="4CC20A89">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 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69B8174">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 质量保修完成后，由发包人组织验收。</w:t>
      </w:r>
    </w:p>
    <w:p w14:paraId="15F8A569">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五、保修费用</w:t>
      </w:r>
    </w:p>
    <w:p w14:paraId="31FCB672">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保修费用由造成质量缺陷的责任方承担。</w:t>
      </w:r>
    </w:p>
    <w:p w14:paraId="4E1CDF08">
      <w:pPr>
        <w:pStyle w:val="77"/>
        <w:pageBreakBefore w:val="0"/>
        <w:widowControl w:val="0"/>
        <w:kinsoku/>
        <w:wordWrap w:val="0"/>
        <w:overflowPunct/>
        <w:topLinePunct w:val="0"/>
        <w:autoSpaceDE/>
        <w:autoSpaceDN/>
        <w:bidi w:val="0"/>
        <w:snapToGrid/>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六、双方约定的其他工程质量保修事项</w:t>
      </w:r>
      <w:r>
        <w:rPr>
          <w:rFonts w:hint="eastAsia" w:ascii="Times New Roman" w:hAnsi="Times New Roman"/>
          <w:b w:val="0"/>
          <w:smallCaps w:val="0"/>
          <w:color w:val="000000" w:themeColor="text1"/>
          <w:sz w:val="24"/>
          <w:szCs w:val="24"/>
          <w:highlight w:val="none"/>
          <w:lang w:eastAsia="zh-CN"/>
          <w14:textFill>
            <w14:solidFill>
              <w14:schemeClr w14:val="tx1"/>
            </w14:solidFill>
          </w14:textFill>
        </w:rPr>
        <w:t>：</w:t>
      </w:r>
      <w:r>
        <w:rPr>
          <w:rFonts w:hint="eastAsia" w:ascii="Times New Roman" w:hAnsi="Times New Roman"/>
          <w:b w:val="0"/>
          <w:smallCaps w:val="0"/>
          <w:color w:val="000000" w:themeColor="text1"/>
          <w:sz w:val="24"/>
          <w:szCs w:val="24"/>
          <w:highlight w:val="none"/>
          <w:u w:val="single"/>
          <w14:textFill>
            <w14:solidFill>
              <w14:schemeClr w14:val="tx1"/>
            </w14:solidFill>
          </w14:textFill>
        </w:rPr>
        <w:t xml:space="preserve">             </w:t>
      </w:r>
      <w:r>
        <w:rPr>
          <w:rFonts w:hint="eastAsia" w:ascii="Times New Roman" w:hAnsi="Times New Roman"/>
          <w:b w:val="0"/>
          <w:smallCaps w:val="0"/>
          <w:color w:val="000000" w:themeColor="text1"/>
          <w:sz w:val="24"/>
          <w:szCs w:val="24"/>
          <w:highlight w:val="none"/>
          <w14:textFill>
            <w14:solidFill>
              <w14:schemeClr w14:val="tx1"/>
            </w14:solidFill>
          </w14:textFill>
        </w:rPr>
        <w:t>。</w:t>
      </w:r>
    </w:p>
    <w:p w14:paraId="290ECFF4">
      <w:pPr>
        <w:pStyle w:val="79"/>
        <w:pageBreakBefore w:val="0"/>
        <w:widowControl w:val="0"/>
        <w:kinsoku/>
        <w:wordWrap w:val="0"/>
        <w:overflowPunct/>
        <w:topLinePunct w:val="0"/>
        <w:autoSpaceDE/>
        <w:autoSpaceDN/>
        <w:bidi w:val="0"/>
        <w:snapToGrid/>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工程质量保修书由发包人、承包人在工程竣工验收前共同签署，作为施工合同附件，其有效期限至保修期满。</w:t>
      </w:r>
    </w:p>
    <w:p w14:paraId="79CBB307">
      <w:pPr>
        <w:pageBreakBefore w:val="0"/>
        <w:kinsoku/>
        <w:wordWrap w:val="0"/>
        <w:overflowPunct/>
        <w:bidi w:val="0"/>
        <w:adjustRightInd w:val="0"/>
        <w:snapToGrid w:val="0"/>
        <w:spacing w:line="360" w:lineRule="auto"/>
        <w:ind w:firstLine="420"/>
        <w:rPr>
          <w:rFonts w:hint="eastAsia" w:ascii="Times New Roman" w:hAnsi="Times New Roman" w:cs="宋体"/>
          <w:smallCaps w:val="0"/>
          <w:color w:val="000000" w:themeColor="text1"/>
          <w:szCs w:val="21"/>
          <w:highlight w:val="none"/>
          <w14:textFill>
            <w14:solidFill>
              <w14:schemeClr w14:val="tx1"/>
            </w14:solidFill>
          </w14:textFill>
        </w:rPr>
      </w:pPr>
    </w:p>
    <w:p w14:paraId="10C56E53">
      <w:pPr>
        <w:pageBreakBefore w:val="0"/>
        <w:kinsoku/>
        <w:wordWrap w:val="0"/>
        <w:overflowPunct/>
        <w:bidi w:val="0"/>
        <w:adjustRightInd w:val="0"/>
        <w:snapToGrid w:val="0"/>
        <w:spacing w:line="360" w:lineRule="auto"/>
        <w:ind w:firstLine="420"/>
        <w:rPr>
          <w:rFonts w:hint="eastAsia" w:ascii="Times New Roman" w:hAnsi="Times New Roman" w:cs="宋体"/>
          <w:smallCaps w:val="0"/>
          <w:color w:val="000000" w:themeColor="text1"/>
          <w:szCs w:val="21"/>
          <w:highlight w:val="none"/>
          <w14:textFill>
            <w14:solidFill>
              <w14:schemeClr w14:val="tx1"/>
            </w14:solidFill>
          </w14:textFill>
        </w:rPr>
      </w:pPr>
    </w:p>
    <w:p w14:paraId="742139A0">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u w:val="singl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发包人(公章)</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承包人(公章)</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p>
    <w:p w14:paraId="4979F383">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u w:val="singl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地  址</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地  址</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1ED0D649">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u w:val="singl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法定代表人(签字)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法定代表人(签字)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143F2FD5">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u w:val="singl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委托代理人(签字)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委托代理人(签字)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3D71545F">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电  话</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电  话</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2F62CCBC">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传  真</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传  真</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21219656">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开户银行</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开户银行</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102193E3">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账  号</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账  号</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25A6674F">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邮政编码</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邮政编码</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2FAFFD49">
      <w:pPr>
        <w:pageBreakBefore w:val="0"/>
        <w:widowControl/>
        <w:kinsoku/>
        <w:wordWrap w:val="0"/>
        <w:overflowPunct/>
        <w:bidi w:val="0"/>
        <w:jc w:val="left"/>
        <w:rPr>
          <w:rFonts w:hint="eastAsia" w:ascii="Times New Roman" w:hAnsi="Times New Roman" w:cs="宋体"/>
          <w:smallCaps w:val="0"/>
          <w:color w:val="000000" w:themeColor="text1"/>
          <w:szCs w:val="21"/>
          <w:highlight w:val="none"/>
          <w14:textFill>
            <w14:solidFill>
              <w14:schemeClr w14:val="tx1"/>
            </w14:solidFill>
          </w14:textFill>
        </w:rPr>
      </w:pPr>
      <w:r>
        <w:rPr>
          <w:rFonts w:hint="eastAsia" w:ascii="Times New Roman" w:hAnsi="Times New Roman" w:cs="宋体"/>
          <w:b/>
          <w:smallCaps w:val="0"/>
          <w:color w:val="000000" w:themeColor="text1"/>
          <w:sz w:val="24"/>
          <w:highlight w:val="none"/>
          <w14:textFill>
            <w14:solidFill>
              <w14:schemeClr w14:val="tx1"/>
            </w14:solidFill>
          </w14:textFill>
        </w:rPr>
        <w:br w:type="page"/>
      </w:r>
    </w:p>
    <w:p w14:paraId="65656FDF">
      <w:pPr>
        <w:keepNext/>
        <w:keepLines/>
        <w:pageBreakBefore w:val="0"/>
        <w:kinsoku/>
        <w:wordWrap w:val="0"/>
        <w:overflowPunct/>
        <w:bidi w:val="0"/>
        <w:spacing w:before="120" w:after="120" w:line="360" w:lineRule="auto"/>
        <w:jc w:val="left"/>
        <w:outlineLvl w:val="3"/>
        <w:rPr>
          <w:rStyle w:val="78"/>
          <w:rFonts w:hint="eastAsia" w:ascii="Times New Roman" w:hAnsi="Times New Roman"/>
          <w:smallCaps w:val="0"/>
          <w:color w:val="000000" w:themeColor="text1"/>
          <w:highlight w:val="none"/>
          <w14:textFill>
            <w14:solidFill>
              <w14:schemeClr w14:val="tx1"/>
            </w14:solidFill>
          </w14:textFill>
        </w:rPr>
      </w:pPr>
      <w:bookmarkStart w:id="1229" w:name="_Toc32599"/>
      <w:r>
        <w:rPr>
          <w:rStyle w:val="78"/>
          <w:rFonts w:hint="eastAsia" w:ascii="Times New Roman" w:hAnsi="Times New Roman"/>
          <w:smallCaps w:val="0"/>
          <w:color w:val="000000" w:themeColor="text1"/>
          <w:highlight w:val="none"/>
          <w14:textFill>
            <w14:solidFill>
              <w14:schemeClr w14:val="tx1"/>
            </w14:solidFill>
          </w14:textFill>
        </w:rPr>
        <w:t>附</w:t>
      </w:r>
      <w:bookmarkStart w:id="1230" w:name="_Toc296891266"/>
      <w:bookmarkStart w:id="1231" w:name="_Toc296944565"/>
      <w:bookmarkStart w:id="1232" w:name="_Toc296503226"/>
      <w:bookmarkStart w:id="1233" w:name="_Toc296891054"/>
      <w:bookmarkStart w:id="1234" w:name="_Toc296346727"/>
      <w:bookmarkStart w:id="1235" w:name="_Toc296347225"/>
      <w:bookmarkStart w:id="1236" w:name="_Toc267261693"/>
      <w:r>
        <w:rPr>
          <w:rStyle w:val="78"/>
          <w:rFonts w:hint="eastAsia" w:ascii="Times New Roman" w:hAnsi="Times New Roman"/>
          <w:smallCaps w:val="0"/>
          <w:color w:val="000000" w:themeColor="text1"/>
          <w:highlight w:val="none"/>
          <w14:textFill>
            <w14:solidFill>
              <w14:schemeClr w14:val="tx1"/>
            </w14:solidFill>
          </w14:textFill>
        </w:rPr>
        <w:t>件3</w:t>
      </w:r>
      <w:bookmarkEnd w:id="1230"/>
      <w:bookmarkEnd w:id="1231"/>
      <w:bookmarkEnd w:id="1232"/>
      <w:bookmarkEnd w:id="1233"/>
      <w:bookmarkEnd w:id="1234"/>
      <w:bookmarkEnd w:id="1235"/>
      <w:bookmarkEnd w:id="1236"/>
      <w:r>
        <w:rPr>
          <w:rStyle w:val="78"/>
          <w:rFonts w:hint="eastAsia" w:ascii="Times New Roman" w:hAnsi="Times New Roman"/>
          <w:smallCaps w:val="0"/>
          <w:color w:val="000000" w:themeColor="text1"/>
          <w:highlight w:val="none"/>
          <w:lang w:eastAsia="zh-CN"/>
          <w14:textFill>
            <w14:solidFill>
              <w14:schemeClr w14:val="tx1"/>
            </w14:solidFill>
          </w14:textFill>
        </w:rPr>
        <w:t>：</w:t>
      </w:r>
      <w:r>
        <w:rPr>
          <w:rStyle w:val="78"/>
          <w:rFonts w:hint="eastAsia" w:ascii="Times New Roman" w:hAnsi="Times New Roman"/>
          <w:smallCaps w:val="0"/>
          <w:color w:val="000000" w:themeColor="text1"/>
          <w:highlight w:val="none"/>
          <w14:textFill>
            <w14:solidFill>
              <w14:schemeClr w14:val="tx1"/>
            </w14:solidFill>
          </w14:textFill>
        </w:rPr>
        <w:t>工程质量保修书(市政公用工程)</w:t>
      </w:r>
    </w:p>
    <w:bookmarkEnd w:id="1229"/>
    <w:p w14:paraId="02AAA9C0">
      <w:pPr>
        <w:pageBreakBefore w:val="0"/>
        <w:kinsoku/>
        <w:wordWrap w:val="0"/>
        <w:overflowPunct/>
        <w:bidi w:val="0"/>
        <w:outlineLvl w:val="9"/>
        <w:rPr>
          <w:rFonts w:hint="eastAsia"/>
          <w:color w:val="000000" w:themeColor="text1"/>
          <w:highlight w:val="none"/>
          <w14:textFill>
            <w14:solidFill>
              <w14:schemeClr w14:val="tx1"/>
            </w14:solidFill>
          </w14:textFill>
        </w:rPr>
      </w:pPr>
    </w:p>
    <w:p w14:paraId="43C8B2A1">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工程质量保修书</w:t>
      </w:r>
    </w:p>
    <w:p w14:paraId="2E665A10">
      <w:pPr>
        <w:pageBreakBefore w:val="0"/>
        <w:kinsoku/>
        <w:wordWrap w:val="0"/>
        <w:overflowPunct/>
        <w:bidi w:val="0"/>
        <w:rPr>
          <w:rFonts w:hint="eastAsia"/>
          <w:color w:val="000000" w:themeColor="text1"/>
          <w:highlight w:val="none"/>
          <w14:textFill>
            <w14:solidFill>
              <w14:schemeClr w14:val="tx1"/>
            </w14:solidFill>
          </w14:textFill>
        </w:rPr>
      </w:pPr>
    </w:p>
    <w:p w14:paraId="3A159745">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_______________________________</w:t>
      </w:r>
    </w:p>
    <w:p w14:paraId="10BFB6A1">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_______________________________</w:t>
      </w:r>
    </w:p>
    <w:p w14:paraId="03640C67">
      <w:pPr>
        <w:pageBreakBefore w:val="0"/>
        <w:kinsoku/>
        <w:wordWrap w:val="0"/>
        <w:overflowPunct/>
        <w:bidi w:val="0"/>
        <w:rPr>
          <w:rFonts w:hint="eastAsia"/>
          <w:color w:val="000000" w:themeColor="text1"/>
          <w:highlight w:val="none"/>
          <w14:textFill>
            <w14:solidFill>
              <w14:schemeClr w14:val="tx1"/>
            </w14:solidFill>
          </w14:textFill>
        </w:rPr>
      </w:pPr>
    </w:p>
    <w:p w14:paraId="0D6BCA3D">
      <w:pPr>
        <w:pStyle w:val="79"/>
        <w:pageBreakBefore w:val="0"/>
        <w:widowControl w:val="0"/>
        <w:kinsoku/>
        <w:wordWrap w:val="0"/>
        <w:overflowPunct/>
        <w:topLinePunct w:val="0"/>
        <w:autoSpaceDE/>
        <w:autoSpaceDN/>
        <w:bidi w:val="0"/>
        <w:snapToGrid w:val="0"/>
        <w:textAlignment w:val="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发包人、承包人根据《中华人民共和国建筑法》《建设工程质量管理条例》,参照《房屋建筑工程质量保修办法》，经协商一致，对______________________工程签订工程质量保修书。</w:t>
      </w:r>
    </w:p>
    <w:p w14:paraId="1044B93D">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一、工程质量保修范围和内容</w:t>
      </w:r>
    </w:p>
    <w:p w14:paraId="504C104E">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按照《建设工程质量管理条例》及有关法律、法规、规章的管理规定，双方约定由施工单位在质量保修期内，承担本工程的质量保修责任。</w:t>
      </w:r>
    </w:p>
    <w:p w14:paraId="7DAFAEAF">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质量保修范围和内容</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______________________。因不可抗力或使用不当造成的质量缺陷，不属保修范围。</w:t>
      </w:r>
    </w:p>
    <w:p w14:paraId="57D2625A">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二、质量保修期</w:t>
      </w:r>
    </w:p>
    <w:p w14:paraId="011C5841">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双方根据《建设工程质量管理条例》及有关规定，约定本工程的质量保修期如下</w:t>
      </w:r>
      <w:r>
        <w:rPr>
          <w:rFonts w:hint="eastAsia" w:ascii="Times New Roman" w:hAnsi="Times New Roman"/>
          <w:smallCaps w:val="0"/>
          <w:color w:val="000000" w:themeColor="text1"/>
          <w:highlight w:val="none"/>
          <w:lang w:eastAsia="zh-CN"/>
          <w14:textFill>
            <w14:solidFill>
              <w14:schemeClr w14:val="tx1"/>
            </w14:solidFill>
          </w14:textFill>
        </w:rPr>
        <w:t>：</w:t>
      </w:r>
    </w:p>
    <w:p w14:paraId="73804FED">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主体结构和基础工程，为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p>
    <w:p w14:paraId="59E85BCB">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_____________工程，为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p>
    <w:p w14:paraId="3A2FAEF2">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 _____________工程，为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p>
    <w:p w14:paraId="196ED454">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 _____________工程，为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p>
    <w:p w14:paraId="36E37BEA">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质量保修期自工程竣工验收合格之日起计算。</w:t>
      </w:r>
    </w:p>
    <w:p w14:paraId="2E3FAB6A">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三、缺陷责任期</w:t>
      </w:r>
    </w:p>
    <w:p w14:paraId="3DD37599">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工程缺陷责任期为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，缺陷责任期自工程竣工验收合格之日起计算。单位工程先于全部工程进行验收，单位工程缺陷责任期自单位工程验收合格之日起算。</w:t>
      </w:r>
    </w:p>
    <w:p w14:paraId="02CD3BA7">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缺陷责任期终止后，发包人应退还剩余的质量保证金。</w:t>
      </w:r>
    </w:p>
    <w:p w14:paraId="289AC409">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四、质量保修责任</w:t>
      </w:r>
    </w:p>
    <w:p w14:paraId="4519D226">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属于保修范围、内容的项目，承包人应当在接到保修通知之日起7天内派人保修。承包人不在约定期限内派人保修的，发包人可以委托他人修理。</w:t>
      </w:r>
    </w:p>
    <w:p w14:paraId="05A8285D">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发生紧急抢修事故的，承包人在接到事故通知后，应当立即到达事故现场抢修。</w:t>
      </w:r>
    </w:p>
    <w:p w14:paraId="4065424B">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 对于涉及结构安全的质量问题，应当立即向当地建设行政主管部门报告，采取安全防范措施；由原设计单位或者具有相应资质等级的设计单位提出保修方案，承包人实施保修。</w:t>
      </w:r>
    </w:p>
    <w:p w14:paraId="601DA95D">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 质量保修完成后，由发包人组织验收。</w:t>
      </w:r>
    </w:p>
    <w:p w14:paraId="206C5BA5">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五、保修费用</w:t>
      </w:r>
    </w:p>
    <w:p w14:paraId="74D7ECDE">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保修费用由造成质量缺陷的责任方承担。</w:t>
      </w:r>
    </w:p>
    <w:p w14:paraId="0EB0DC46">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六、双方约定的其他工程质量保修事项</w:t>
      </w:r>
      <w:r>
        <w:rPr>
          <w:rFonts w:hint="eastAsia" w:ascii="Times New Roman" w:hAnsi="Times New Roman"/>
          <w:smallCaps w:val="0"/>
          <w:color w:val="000000" w:themeColor="text1"/>
          <w:sz w:val="24"/>
          <w:szCs w:val="24"/>
          <w:highlight w:val="none"/>
          <w:lang w:eastAsia="zh-CN"/>
          <w14:textFill>
            <w14:solidFill>
              <w14:schemeClr w14:val="tx1"/>
            </w14:solidFill>
          </w14:textFill>
        </w:rPr>
        <w:t>：</w:t>
      </w:r>
      <w:r>
        <w:rPr>
          <w:rFonts w:hint="eastAsia" w:ascii="Times New Roman" w:hAnsi="Times New Roman"/>
          <w:smallCaps w:val="0"/>
          <w:color w:val="000000" w:themeColor="text1"/>
          <w:sz w:val="24"/>
          <w:szCs w:val="24"/>
          <w:highlight w:val="none"/>
          <w:u w:val="single"/>
          <w14:textFill>
            <w14:solidFill>
              <w14:schemeClr w14:val="tx1"/>
            </w14:solidFill>
          </w14:textFill>
        </w:rPr>
        <w:t xml:space="preserve">             </w:t>
      </w:r>
      <w:r>
        <w:rPr>
          <w:rFonts w:hint="eastAsia" w:ascii="Times New Roman" w:hAnsi="Times New Roman"/>
          <w:smallCaps w:val="0"/>
          <w:color w:val="000000" w:themeColor="text1"/>
          <w:sz w:val="24"/>
          <w:szCs w:val="24"/>
          <w:highlight w:val="none"/>
          <w14:textFill>
            <w14:solidFill>
              <w14:schemeClr w14:val="tx1"/>
            </w14:solidFill>
          </w14:textFill>
        </w:rPr>
        <w:t>。</w:t>
      </w:r>
    </w:p>
    <w:p w14:paraId="49A29465">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本工程质量保修书，由施工合同发包人、承包人双方在竣工验收前共同签署，作为施工合同附件，其有效期限至保修期满。</w:t>
      </w:r>
    </w:p>
    <w:p w14:paraId="44F1515A">
      <w:pPr>
        <w:pageBreakBefore w:val="0"/>
        <w:widowControl w:val="0"/>
        <w:kinsoku/>
        <w:wordWrap w:val="0"/>
        <w:overflowPunct/>
        <w:topLinePunct w:val="0"/>
        <w:autoSpaceDE/>
        <w:autoSpaceDN/>
        <w:bidi w:val="0"/>
        <w:adjustRightInd w:val="0"/>
        <w:snapToGrid w:val="0"/>
        <w:spacing w:line="360" w:lineRule="auto"/>
        <w:ind w:firstLine="420"/>
        <w:textAlignment w:val="auto"/>
        <w:rPr>
          <w:rFonts w:hint="eastAsia" w:ascii="Times New Roman" w:hAnsi="Times New Roman" w:cs="宋体"/>
          <w:smallCaps w:val="0"/>
          <w:color w:val="000000" w:themeColor="text1"/>
          <w:szCs w:val="21"/>
          <w:highlight w:val="none"/>
          <w14:textFill>
            <w14:solidFill>
              <w14:schemeClr w14:val="tx1"/>
            </w14:solidFill>
          </w14:textFill>
        </w:rPr>
      </w:pPr>
    </w:p>
    <w:p w14:paraId="1E45BD25">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u w:val="singl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发包人(公章)</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承包人(公章)</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p>
    <w:p w14:paraId="11DB0BBF">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u w:val="singl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地  址</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地  址</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p>
    <w:p w14:paraId="519F77D5">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u w:val="singl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法定代表人(签字)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法定代表人(签字)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1ED16700">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u w:val="singl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委托代理人(签字)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委托代理人(签字)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43468CF0">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电  话</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电  话</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23F3CF20">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传  真</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传  真</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p>
    <w:p w14:paraId="4A65865A">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开户银行</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开户银行</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2B1A1580">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账  号</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账  号</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52275C86">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邮政编码</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邮政编码</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p>
    <w:p w14:paraId="03CC7AEE">
      <w:pPr>
        <w:keepNext/>
        <w:keepLines/>
        <w:pageBreakBefore w:val="0"/>
        <w:kinsoku/>
        <w:wordWrap w:val="0"/>
        <w:overflowPunct/>
        <w:bidi w:val="0"/>
        <w:spacing w:before="120" w:after="120" w:line="360" w:lineRule="auto"/>
        <w:jc w:val="left"/>
        <w:outlineLvl w:val="3"/>
        <w:rPr>
          <w:rStyle w:val="78"/>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
          <w:bCs/>
          <w:smallCaps w:val="0"/>
          <w:color w:val="000000" w:themeColor="text1"/>
          <w:sz w:val="24"/>
          <w:highlight w:val="none"/>
          <w14:textFill>
            <w14:solidFill>
              <w14:schemeClr w14:val="tx1"/>
            </w14:solidFill>
          </w14:textFill>
        </w:rPr>
        <w:br w:type="page"/>
      </w:r>
      <w:bookmarkStart w:id="1237" w:name="_Toc7815"/>
      <w:r>
        <w:rPr>
          <w:rStyle w:val="78"/>
          <w:rFonts w:hint="eastAsia" w:ascii="Times New Roman" w:hAnsi="Times New Roman"/>
          <w:smallCaps w:val="0"/>
          <w:color w:val="000000" w:themeColor="text1"/>
          <w:highlight w:val="none"/>
          <w14:textFill>
            <w14:solidFill>
              <w14:schemeClr w14:val="tx1"/>
            </w14:solidFill>
          </w14:textFill>
        </w:rPr>
        <w:t>附件4</w:t>
      </w:r>
      <w:r>
        <w:rPr>
          <w:rStyle w:val="78"/>
          <w:rFonts w:hint="eastAsia" w:ascii="Times New Roman" w:hAnsi="Times New Roman"/>
          <w:smallCaps w:val="0"/>
          <w:color w:val="000000" w:themeColor="text1"/>
          <w:highlight w:val="none"/>
          <w:lang w:eastAsia="zh-CN"/>
          <w14:textFill>
            <w14:solidFill>
              <w14:schemeClr w14:val="tx1"/>
            </w14:solidFill>
          </w14:textFill>
        </w:rPr>
        <w:t>：</w:t>
      </w:r>
      <w:r>
        <w:rPr>
          <w:rStyle w:val="78"/>
          <w:rFonts w:hint="eastAsia" w:ascii="Times New Roman" w:hAnsi="Times New Roman"/>
          <w:smallCaps w:val="0"/>
          <w:color w:val="000000" w:themeColor="text1"/>
          <w:highlight w:val="none"/>
          <w14:textFill>
            <w14:solidFill>
              <w14:schemeClr w14:val="tx1"/>
            </w14:solidFill>
          </w14:textFill>
        </w:rPr>
        <w:t>主要建设工程文件目录</w:t>
      </w:r>
    </w:p>
    <w:bookmarkEnd w:id="1237"/>
    <w:p w14:paraId="49F4FA8C">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主要建设工程文件目录</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214C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53D18FE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文件名称</w:t>
            </w:r>
          </w:p>
        </w:tc>
        <w:tc>
          <w:tcPr>
            <w:tcW w:w="1276" w:type="dxa"/>
            <w:tcBorders>
              <w:top w:val="single" w:color="auto" w:sz="12" w:space="0"/>
              <w:bottom w:val="double" w:color="auto" w:sz="6" w:space="0"/>
            </w:tcBorders>
            <w:noWrap w:val="0"/>
            <w:vAlign w:val="center"/>
          </w:tcPr>
          <w:p w14:paraId="7A15199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套数</w:t>
            </w:r>
          </w:p>
        </w:tc>
        <w:tc>
          <w:tcPr>
            <w:tcW w:w="1450" w:type="dxa"/>
            <w:tcBorders>
              <w:top w:val="single" w:color="auto" w:sz="12" w:space="0"/>
              <w:bottom w:val="double" w:color="auto" w:sz="6" w:space="0"/>
            </w:tcBorders>
            <w:noWrap w:val="0"/>
            <w:vAlign w:val="center"/>
          </w:tcPr>
          <w:p w14:paraId="3824B21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费用（元）</w:t>
            </w:r>
          </w:p>
        </w:tc>
        <w:tc>
          <w:tcPr>
            <w:tcW w:w="1243" w:type="dxa"/>
            <w:tcBorders>
              <w:top w:val="single" w:color="auto" w:sz="12" w:space="0"/>
              <w:bottom w:val="double" w:color="auto" w:sz="6" w:space="0"/>
            </w:tcBorders>
            <w:noWrap w:val="0"/>
            <w:vAlign w:val="center"/>
          </w:tcPr>
          <w:p w14:paraId="6245BD3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质量</w:t>
            </w:r>
          </w:p>
        </w:tc>
        <w:tc>
          <w:tcPr>
            <w:tcW w:w="1450" w:type="dxa"/>
            <w:tcBorders>
              <w:top w:val="single" w:color="auto" w:sz="12" w:space="0"/>
              <w:bottom w:val="double" w:color="auto" w:sz="6" w:space="0"/>
            </w:tcBorders>
            <w:noWrap w:val="0"/>
            <w:vAlign w:val="top"/>
          </w:tcPr>
          <w:p w14:paraId="6E2EA87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移交时间</w:t>
            </w:r>
          </w:p>
        </w:tc>
        <w:tc>
          <w:tcPr>
            <w:tcW w:w="1667" w:type="dxa"/>
            <w:tcBorders>
              <w:top w:val="single" w:color="auto" w:sz="12" w:space="0"/>
              <w:bottom w:val="double" w:color="auto" w:sz="6" w:space="0"/>
            </w:tcBorders>
            <w:noWrap w:val="0"/>
            <w:vAlign w:val="top"/>
          </w:tcPr>
          <w:p w14:paraId="1C907DD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责任人</w:t>
            </w:r>
          </w:p>
        </w:tc>
      </w:tr>
      <w:tr w14:paraId="3C01D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tcBorders>
            <w:noWrap w:val="0"/>
            <w:vAlign w:val="center"/>
          </w:tcPr>
          <w:p w14:paraId="3D038517">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76" w:type="dxa"/>
            <w:tcBorders>
              <w:top w:val="double" w:color="auto" w:sz="6" w:space="0"/>
            </w:tcBorders>
            <w:noWrap w:val="0"/>
            <w:vAlign w:val="center"/>
          </w:tcPr>
          <w:p w14:paraId="32FA9A90">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tcBorders>
              <w:top w:val="double" w:color="auto" w:sz="6" w:space="0"/>
            </w:tcBorders>
            <w:noWrap w:val="0"/>
            <w:vAlign w:val="center"/>
          </w:tcPr>
          <w:p w14:paraId="761D8176">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43" w:type="dxa"/>
            <w:tcBorders>
              <w:top w:val="double" w:color="auto" w:sz="6" w:space="0"/>
            </w:tcBorders>
            <w:noWrap w:val="0"/>
            <w:vAlign w:val="center"/>
          </w:tcPr>
          <w:p w14:paraId="0E58C64A">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tcBorders>
              <w:top w:val="double" w:color="auto" w:sz="6" w:space="0"/>
            </w:tcBorders>
            <w:noWrap w:val="0"/>
            <w:vAlign w:val="center"/>
          </w:tcPr>
          <w:p w14:paraId="4313B2B6">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667" w:type="dxa"/>
            <w:tcBorders>
              <w:top w:val="double" w:color="auto" w:sz="6" w:space="0"/>
            </w:tcBorders>
            <w:noWrap w:val="0"/>
            <w:vAlign w:val="center"/>
          </w:tcPr>
          <w:p w14:paraId="591AB283">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0739F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0"/>
            <w:vAlign w:val="center"/>
          </w:tcPr>
          <w:p w14:paraId="6EE64EAD">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76" w:type="dxa"/>
            <w:tcBorders>
              <w:top w:val="nil"/>
            </w:tcBorders>
            <w:noWrap w:val="0"/>
            <w:vAlign w:val="center"/>
          </w:tcPr>
          <w:p w14:paraId="2BF2900F">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tcBorders>
              <w:top w:val="nil"/>
            </w:tcBorders>
            <w:noWrap w:val="0"/>
            <w:vAlign w:val="center"/>
          </w:tcPr>
          <w:p w14:paraId="4C143740">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43" w:type="dxa"/>
            <w:tcBorders>
              <w:top w:val="nil"/>
            </w:tcBorders>
            <w:noWrap w:val="0"/>
            <w:vAlign w:val="center"/>
          </w:tcPr>
          <w:p w14:paraId="612D9C69">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tcBorders>
              <w:top w:val="nil"/>
            </w:tcBorders>
            <w:noWrap w:val="0"/>
            <w:vAlign w:val="center"/>
          </w:tcPr>
          <w:p w14:paraId="198B57C8">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667" w:type="dxa"/>
            <w:tcBorders>
              <w:top w:val="nil"/>
            </w:tcBorders>
            <w:noWrap w:val="0"/>
            <w:vAlign w:val="center"/>
          </w:tcPr>
          <w:p w14:paraId="10437980">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1F96EA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00F4D4E">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76" w:type="dxa"/>
            <w:noWrap w:val="0"/>
            <w:vAlign w:val="top"/>
          </w:tcPr>
          <w:p w14:paraId="3F6F4E32">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noWrap w:val="0"/>
            <w:vAlign w:val="top"/>
          </w:tcPr>
          <w:p w14:paraId="4B08058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43" w:type="dxa"/>
            <w:noWrap w:val="0"/>
            <w:vAlign w:val="top"/>
          </w:tcPr>
          <w:p w14:paraId="61EB3D23">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noWrap w:val="0"/>
            <w:vAlign w:val="top"/>
          </w:tcPr>
          <w:p w14:paraId="3F64DDE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667" w:type="dxa"/>
            <w:noWrap w:val="0"/>
            <w:vAlign w:val="top"/>
          </w:tcPr>
          <w:p w14:paraId="25BC7312">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0BBEB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04CF452B">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76" w:type="dxa"/>
            <w:noWrap w:val="0"/>
            <w:vAlign w:val="top"/>
          </w:tcPr>
          <w:p w14:paraId="7B64A5CD">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noWrap w:val="0"/>
            <w:vAlign w:val="top"/>
          </w:tcPr>
          <w:p w14:paraId="461C77B7">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43" w:type="dxa"/>
            <w:noWrap w:val="0"/>
            <w:vAlign w:val="top"/>
          </w:tcPr>
          <w:p w14:paraId="10E4EA1D">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noWrap w:val="0"/>
            <w:vAlign w:val="top"/>
          </w:tcPr>
          <w:p w14:paraId="4973694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667" w:type="dxa"/>
            <w:noWrap w:val="0"/>
            <w:vAlign w:val="top"/>
          </w:tcPr>
          <w:p w14:paraId="6308A16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0363A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bottom w:val="single" w:color="auto" w:sz="12" w:space="0"/>
            </w:tcBorders>
            <w:noWrap w:val="0"/>
            <w:vAlign w:val="top"/>
          </w:tcPr>
          <w:p w14:paraId="3CD7A870">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76" w:type="dxa"/>
            <w:tcBorders>
              <w:bottom w:val="single" w:color="auto" w:sz="12" w:space="0"/>
            </w:tcBorders>
            <w:noWrap w:val="0"/>
            <w:vAlign w:val="top"/>
          </w:tcPr>
          <w:p w14:paraId="4189BD0F">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tcBorders>
              <w:bottom w:val="single" w:color="auto" w:sz="12" w:space="0"/>
            </w:tcBorders>
            <w:noWrap w:val="0"/>
            <w:vAlign w:val="top"/>
          </w:tcPr>
          <w:p w14:paraId="76B9A235">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243" w:type="dxa"/>
            <w:tcBorders>
              <w:bottom w:val="single" w:color="auto" w:sz="12" w:space="0"/>
            </w:tcBorders>
            <w:noWrap w:val="0"/>
            <w:vAlign w:val="top"/>
          </w:tcPr>
          <w:p w14:paraId="5F46C050">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50" w:type="dxa"/>
            <w:tcBorders>
              <w:bottom w:val="single" w:color="auto" w:sz="12" w:space="0"/>
            </w:tcBorders>
            <w:noWrap w:val="0"/>
            <w:vAlign w:val="top"/>
          </w:tcPr>
          <w:p w14:paraId="346D8786">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667" w:type="dxa"/>
            <w:tcBorders>
              <w:bottom w:val="single" w:color="auto" w:sz="12" w:space="0"/>
            </w:tcBorders>
            <w:noWrap w:val="0"/>
            <w:vAlign w:val="top"/>
          </w:tcPr>
          <w:p w14:paraId="4C33AED8">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bl>
    <w:p w14:paraId="2AB5F733">
      <w:pPr>
        <w:pageBreakBefore w:val="0"/>
        <w:kinsoku/>
        <w:wordWrap w:val="0"/>
        <w:overflowPunct/>
        <w:bidi w:val="0"/>
        <w:rPr>
          <w:rFonts w:hint="eastAsia" w:ascii="Times New Roman" w:hAnsi="Times New Roman" w:cs="宋体"/>
          <w:smallCaps w:val="0"/>
          <w:color w:val="000000" w:themeColor="text1"/>
          <w:szCs w:val="21"/>
          <w:highlight w:val="none"/>
          <w14:textFill>
            <w14:solidFill>
              <w14:schemeClr w14:val="tx1"/>
            </w14:solidFill>
          </w14:textFill>
        </w:rPr>
      </w:pPr>
    </w:p>
    <w:p w14:paraId="38473678">
      <w:pPr>
        <w:pageBreakBefore w:val="0"/>
        <w:kinsoku/>
        <w:wordWrap w:val="0"/>
        <w:overflowPunct/>
        <w:bidi w:val="0"/>
        <w:rPr>
          <w:rStyle w:val="78"/>
          <w:rFonts w:hint="eastAsia" w:ascii="Times New Roman" w:hAnsi="Times New Roman"/>
          <w:b w:val="0"/>
          <w:smallCaps w:val="0"/>
          <w:color w:val="000000" w:themeColor="text1"/>
          <w:highlight w:val="none"/>
          <w14:textFill>
            <w14:solidFill>
              <w14:schemeClr w14:val="tx1"/>
            </w14:solidFill>
          </w14:textFill>
        </w:rPr>
      </w:pPr>
      <w:r>
        <w:rPr>
          <w:rStyle w:val="78"/>
          <w:rFonts w:hint="eastAsia" w:ascii="Times New Roman" w:hAnsi="Times New Roman"/>
          <w:b w:val="0"/>
          <w:smallCaps w:val="0"/>
          <w:color w:val="000000" w:themeColor="text1"/>
          <w:highlight w:val="none"/>
          <w14:textFill>
            <w14:solidFill>
              <w14:schemeClr w14:val="tx1"/>
            </w14:solidFill>
          </w14:textFill>
        </w:rPr>
        <w:br w:type="page"/>
      </w:r>
    </w:p>
    <w:p w14:paraId="0FA0122C">
      <w:pPr>
        <w:keepNext/>
        <w:keepLines/>
        <w:pageBreakBefore w:val="0"/>
        <w:kinsoku/>
        <w:wordWrap w:val="0"/>
        <w:overflowPunct/>
        <w:bidi w:val="0"/>
        <w:spacing w:before="120" w:after="120" w:line="360" w:lineRule="auto"/>
        <w:jc w:val="left"/>
        <w:outlineLvl w:val="3"/>
        <w:rPr>
          <w:rStyle w:val="78"/>
          <w:rFonts w:hint="eastAsia" w:ascii="Times New Roman" w:hAnsi="Times New Roman"/>
          <w:b w:val="0"/>
          <w:smallCaps w:val="0"/>
          <w:color w:val="000000" w:themeColor="text1"/>
          <w:highlight w:val="none"/>
          <w14:textFill>
            <w14:solidFill>
              <w14:schemeClr w14:val="tx1"/>
            </w14:solidFill>
          </w14:textFill>
        </w:rPr>
      </w:pPr>
      <w:bookmarkStart w:id="1238" w:name="_Toc7548"/>
      <w:r>
        <w:rPr>
          <w:rStyle w:val="78"/>
          <w:rFonts w:hint="eastAsia" w:ascii="Times New Roman" w:hAnsi="Times New Roman"/>
          <w:b w:val="0"/>
          <w:smallCaps w:val="0"/>
          <w:color w:val="000000" w:themeColor="text1"/>
          <w:highlight w:val="none"/>
          <w14:textFill>
            <w14:solidFill>
              <w14:schemeClr w14:val="tx1"/>
            </w14:solidFill>
          </w14:textFill>
        </w:rPr>
        <w:t>附</w:t>
      </w:r>
      <w:bookmarkStart w:id="1239" w:name="_Toc296503227"/>
      <w:bookmarkStart w:id="1240" w:name="_Toc296347226"/>
      <w:bookmarkStart w:id="1241" w:name="_Toc296944566"/>
      <w:bookmarkStart w:id="1242" w:name="_Toc296891267"/>
      <w:bookmarkStart w:id="1243" w:name="_Toc267261698"/>
      <w:bookmarkStart w:id="1244" w:name="_Toc296346728"/>
      <w:bookmarkStart w:id="1245" w:name="_Toc296891055"/>
      <w:r>
        <w:rPr>
          <w:rStyle w:val="78"/>
          <w:rFonts w:hint="eastAsia" w:ascii="Times New Roman" w:hAnsi="Times New Roman"/>
          <w:b w:val="0"/>
          <w:smallCaps w:val="0"/>
          <w:color w:val="000000" w:themeColor="text1"/>
          <w:highlight w:val="none"/>
          <w14:textFill>
            <w14:solidFill>
              <w14:schemeClr w14:val="tx1"/>
            </w14:solidFill>
          </w14:textFill>
        </w:rPr>
        <w:t>件5</w:t>
      </w:r>
      <w:r>
        <w:rPr>
          <w:rStyle w:val="78"/>
          <w:rFonts w:hint="eastAsia" w:ascii="Times New Roman" w:hAnsi="Times New Roman"/>
          <w:b w:val="0"/>
          <w:smallCaps w:val="0"/>
          <w:color w:val="000000" w:themeColor="text1"/>
          <w:highlight w:val="none"/>
          <w:lang w:eastAsia="zh-CN"/>
          <w14:textFill>
            <w14:solidFill>
              <w14:schemeClr w14:val="tx1"/>
            </w14:solidFill>
          </w14:textFill>
        </w:rPr>
        <w:t>：</w:t>
      </w:r>
      <w:r>
        <w:rPr>
          <w:rStyle w:val="78"/>
          <w:rFonts w:hint="eastAsia" w:ascii="Times New Roman" w:hAnsi="Times New Roman"/>
          <w:b w:val="0"/>
          <w:smallCaps w:val="0"/>
          <w:color w:val="000000" w:themeColor="text1"/>
          <w:highlight w:val="none"/>
          <w14:textFill>
            <w14:solidFill>
              <w14:schemeClr w14:val="tx1"/>
            </w14:solidFill>
          </w14:textFill>
        </w:rPr>
        <w:t>承包人用于本工程施工的机械设备表</w:t>
      </w:r>
    </w:p>
    <w:bookmarkEnd w:id="1238"/>
    <w:bookmarkEnd w:id="1239"/>
    <w:bookmarkEnd w:id="1240"/>
    <w:bookmarkEnd w:id="1241"/>
    <w:bookmarkEnd w:id="1242"/>
    <w:bookmarkEnd w:id="1243"/>
    <w:bookmarkEnd w:id="1244"/>
    <w:bookmarkEnd w:id="1245"/>
    <w:p w14:paraId="15C5EB97">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承包人用于本工程施工的机械设备表</w:t>
      </w:r>
    </w:p>
    <w:tbl>
      <w:tblPr>
        <w:tblStyle w:val="22"/>
        <w:tblW w:w="895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7"/>
        <w:gridCol w:w="1418"/>
        <w:gridCol w:w="850"/>
        <w:gridCol w:w="709"/>
        <w:gridCol w:w="850"/>
        <w:gridCol w:w="963"/>
        <w:gridCol w:w="1480"/>
        <w:gridCol w:w="1020"/>
        <w:gridCol w:w="932"/>
      </w:tblGrid>
      <w:tr w14:paraId="644E2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737" w:type="dxa"/>
            <w:tcBorders>
              <w:top w:val="single" w:color="auto" w:sz="12" w:space="0"/>
              <w:bottom w:val="double" w:color="auto" w:sz="6" w:space="0"/>
            </w:tcBorders>
            <w:noWrap w:val="0"/>
            <w:vAlign w:val="center"/>
          </w:tcPr>
          <w:p w14:paraId="73AE5D7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418" w:type="dxa"/>
            <w:tcBorders>
              <w:top w:val="single" w:color="auto" w:sz="12" w:space="0"/>
              <w:bottom w:val="double" w:color="auto" w:sz="6" w:space="0"/>
            </w:tcBorders>
            <w:noWrap w:val="0"/>
            <w:vAlign w:val="center"/>
          </w:tcPr>
          <w:p w14:paraId="6601092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机械或设备</w:t>
            </w:r>
          </w:p>
          <w:p w14:paraId="0B9FAF5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名称</w:t>
            </w:r>
          </w:p>
        </w:tc>
        <w:tc>
          <w:tcPr>
            <w:tcW w:w="850" w:type="dxa"/>
            <w:tcBorders>
              <w:top w:val="single" w:color="auto" w:sz="12" w:space="0"/>
              <w:bottom w:val="double" w:color="auto" w:sz="6" w:space="0"/>
            </w:tcBorders>
            <w:noWrap w:val="0"/>
            <w:vAlign w:val="center"/>
          </w:tcPr>
          <w:p w14:paraId="5198A3C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规格型号</w:t>
            </w:r>
          </w:p>
        </w:tc>
        <w:tc>
          <w:tcPr>
            <w:tcW w:w="709" w:type="dxa"/>
            <w:tcBorders>
              <w:top w:val="single" w:color="auto" w:sz="12" w:space="0"/>
              <w:bottom w:val="double" w:color="auto" w:sz="6" w:space="0"/>
            </w:tcBorders>
            <w:noWrap w:val="0"/>
            <w:vAlign w:val="center"/>
          </w:tcPr>
          <w:p w14:paraId="5801723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850" w:type="dxa"/>
            <w:tcBorders>
              <w:top w:val="single" w:color="auto" w:sz="12" w:space="0"/>
              <w:bottom w:val="double" w:color="auto" w:sz="6" w:space="0"/>
            </w:tcBorders>
            <w:noWrap w:val="0"/>
            <w:vAlign w:val="center"/>
          </w:tcPr>
          <w:p w14:paraId="0C49941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产地</w:t>
            </w:r>
          </w:p>
        </w:tc>
        <w:tc>
          <w:tcPr>
            <w:tcW w:w="963" w:type="dxa"/>
            <w:tcBorders>
              <w:top w:val="single" w:color="auto" w:sz="12" w:space="0"/>
              <w:bottom w:val="double" w:color="auto" w:sz="6" w:space="0"/>
            </w:tcBorders>
            <w:noWrap w:val="0"/>
            <w:vAlign w:val="center"/>
          </w:tcPr>
          <w:p w14:paraId="5BC4253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制造年份</w:t>
            </w:r>
          </w:p>
        </w:tc>
        <w:tc>
          <w:tcPr>
            <w:tcW w:w="1480" w:type="dxa"/>
            <w:tcBorders>
              <w:top w:val="single" w:color="auto" w:sz="12" w:space="0"/>
              <w:bottom w:val="double" w:color="auto" w:sz="6" w:space="0"/>
            </w:tcBorders>
            <w:noWrap w:val="0"/>
            <w:vAlign w:val="center"/>
          </w:tcPr>
          <w:p w14:paraId="53A954B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额定功率(kW)</w:t>
            </w:r>
          </w:p>
        </w:tc>
        <w:tc>
          <w:tcPr>
            <w:tcW w:w="1020" w:type="dxa"/>
            <w:tcBorders>
              <w:top w:val="single" w:color="auto" w:sz="12" w:space="0"/>
              <w:bottom w:val="double" w:color="auto" w:sz="6" w:space="0"/>
            </w:tcBorders>
            <w:noWrap w:val="0"/>
            <w:vAlign w:val="center"/>
          </w:tcPr>
          <w:p w14:paraId="4A198BC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生产能力</w:t>
            </w:r>
          </w:p>
        </w:tc>
        <w:tc>
          <w:tcPr>
            <w:tcW w:w="932" w:type="dxa"/>
            <w:tcBorders>
              <w:top w:val="single" w:color="auto" w:sz="12" w:space="0"/>
              <w:bottom w:val="double" w:color="auto" w:sz="6" w:space="0"/>
            </w:tcBorders>
            <w:noWrap w:val="0"/>
            <w:vAlign w:val="center"/>
          </w:tcPr>
          <w:p w14:paraId="05D7BCA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10125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double" w:color="auto" w:sz="6" w:space="0"/>
            </w:tcBorders>
            <w:noWrap w:val="0"/>
            <w:vAlign w:val="center"/>
          </w:tcPr>
          <w:p w14:paraId="0946C765">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top w:val="double" w:color="auto" w:sz="6" w:space="0"/>
            </w:tcBorders>
            <w:noWrap w:val="0"/>
            <w:vAlign w:val="center"/>
          </w:tcPr>
          <w:p w14:paraId="7A1F3C5B">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tcBorders>
              <w:top w:val="double" w:color="auto" w:sz="6" w:space="0"/>
            </w:tcBorders>
            <w:noWrap w:val="0"/>
            <w:vAlign w:val="center"/>
          </w:tcPr>
          <w:p w14:paraId="01C74914">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09" w:type="dxa"/>
            <w:tcBorders>
              <w:top w:val="double" w:color="auto" w:sz="6" w:space="0"/>
            </w:tcBorders>
            <w:noWrap w:val="0"/>
            <w:vAlign w:val="center"/>
          </w:tcPr>
          <w:p w14:paraId="21396EAA">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tcBorders>
              <w:top w:val="double" w:color="auto" w:sz="6" w:space="0"/>
            </w:tcBorders>
            <w:noWrap w:val="0"/>
            <w:vAlign w:val="center"/>
          </w:tcPr>
          <w:p w14:paraId="7A9AC6CD">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63" w:type="dxa"/>
            <w:tcBorders>
              <w:top w:val="double" w:color="auto" w:sz="6" w:space="0"/>
            </w:tcBorders>
            <w:noWrap w:val="0"/>
            <w:vAlign w:val="center"/>
          </w:tcPr>
          <w:p w14:paraId="07B24E1D">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80" w:type="dxa"/>
            <w:tcBorders>
              <w:top w:val="double" w:color="auto" w:sz="6" w:space="0"/>
            </w:tcBorders>
            <w:noWrap w:val="0"/>
            <w:vAlign w:val="center"/>
          </w:tcPr>
          <w:p w14:paraId="6F84D132">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020" w:type="dxa"/>
            <w:tcBorders>
              <w:top w:val="double" w:color="auto" w:sz="6" w:space="0"/>
            </w:tcBorders>
            <w:noWrap w:val="0"/>
            <w:vAlign w:val="center"/>
          </w:tcPr>
          <w:p w14:paraId="3C6A6121">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32" w:type="dxa"/>
            <w:tcBorders>
              <w:top w:val="double" w:color="auto" w:sz="6" w:space="0"/>
            </w:tcBorders>
            <w:noWrap w:val="0"/>
            <w:vAlign w:val="center"/>
          </w:tcPr>
          <w:p w14:paraId="7081852F">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1A00B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nil"/>
            </w:tcBorders>
            <w:noWrap w:val="0"/>
            <w:vAlign w:val="center"/>
          </w:tcPr>
          <w:p w14:paraId="20496AFD">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top w:val="nil"/>
            </w:tcBorders>
            <w:noWrap w:val="0"/>
            <w:vAlign w:val="center"/>
          </w:tcPr>
          <w:p w14:paraId="7CDA169C">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tcBorders>
              <w:top w:val="nil"/>
            </w:tcBorders>
            <w:noWrap w:val="0"/>
            <w:vAlign w:val="center"/>
          </w:tcPr>
          <w:p w14:paraId="721D4363">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09" w:type="dxa"/>
            <w:tcBorders>
              <w:top w:val="nil"/>
            </w:tcBorders>
            <w:noWrap w:val="0"/>
            <w:vAlign w:val="center"/>
          </w:tcPr>
          <w:p w14:paraId="028C7498">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tcBorders>
              <w:top w:val="nil"/>
            </w:tcBorders>
            <w:noWrap w:val="0"/>
            <w:vAlign w:val="center"/>
          </w:tcPr>
          <w:p w14:paraId="4C3678BF">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63" w:type="dxa"/>
            <w:tcBorders>
              <w:top w:val="nil"/>
            </w:tcBorders>
            <w:noWrap w:val="0"/>
            <w:vAlign w:val="center"/>
          </w:tcPr>
          <w:p w14:paraId="18FB0978">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80" w:type="dxa"/>
            <w:tcBorders>
              <w:top w:val="nil"/>
            </w:tcBorders>
            <w:noWrap w:val="0"/>
            <w:vAlign w:val="center"/>
          </w:tcPr>
          <w:p w14:paraId="48302CAD">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020" w:type="dxa"/>
            <w:tcBorders>
              <w:top w:val="nil"/>
            </w:tcBorders>
            <w:noWrap w:val="0"/>
            <w:vAlign w:val="center"/>
          </w:tcPr>
          <w:p w14:paraId="637FD9D6">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32" w:type="dxa"/>
            <w:tcBorders>
              <w:top w:val="nil"/>
            </w:tcBorders>
            <w:noWrap w:val="0"/>
            <w:vAlign w:val="center"/>
          </w:tcPr>
          <w:p w14:paraId="7ECAFD96">
            <w:pPr>
              <w:keepNext/>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51585B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noWrap w:val="0"/>
            <w:vAlign w:val="top"/>
          </w:tcPr>
          <w:p w14:paraId="13272C8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noWrap w:val="0"/>
            <w:vAlign w:val="top"/>
          </w:tcPr>
          <w:p w14:paraId="6566B820">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noWrap w:val="0"/>
            <w:vAlign w:val="top"/>
          </w:tcPr>
          <w:p w14:paraId="4D8BC52D">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09" w:type="dxa"/>
            <w:noWrap w:val="0"/>
            <w:vAlign w:val="top"/>
          </w:tcPr>
          <w:p w14:paraId="203619A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noWrap w:val="0"/>
            <w:vAlign w:val="top"/>
          </w:tcPr>
          <w:p w14:paraId="14715D65">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63" w:type="dxa"/>
            <w:noWrap w:val="0"/>
            <w:vAlign w:val="top"/>
          </w:tcPr>
          <w:p w14:paraId="0D84DFE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80" w:type="dxa"/>
            <w:noWrap w:val="0"/>
            <w:vAlign w:val="top"/>
          </w:tcPr>
          <w:p w14:paraId="56D6BD0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020" w:type="dxa"/>
            <w:noWrap w:val="0"/>
            <w:vAlign w:val="top"/>
          </w:tcPr>
          <w:p w14:paraId="5C5C8D57">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32" w:type="dxa"/>
            <w:noWrap w:val="0"/>
            <w:vAlign w:val="top"/>
          </w:tcPr>
          <w:p w14:paraId="776E4285">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10B8C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noWrap w:val="0"/>
            <w:vAlign w:val="top"/>
          </w:tcPr>
          <w:p w14:paraId="6D7BFBC3">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noWrap w:val="0"/>
            <w:vAlign w:val="top"/>
          </w:tcPr>
          <w:p w14:paraId="3C2F6C21">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noWrap w:val="0"/>
            <w:vAlign w:val="top"/>
          </w:tcPr>
          <w:p w14:paraId="5396EAA1">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09" w:type="dxa"/>
            <w:noWrap w:val="0"/>
            <w:vAlign w:val="top"/>
          </w:tcPr>
          <w:p w14:paraId="7B79C67F">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noWrap w:val="0"/>
            <w:vAlign w:val="top"/>
          </w:tcPr>
          <w:p w14:paraId="1976FC2E">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63" w:type="dxa"/>
            <w:noWrap w:val="0"/>
            <w:vAlign w:val="top"/>
          </w:tcPr>
          <w:p w14:paraId="49361516">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80" w:type="dxa"/>
            <w:noWrap w:val="0"/>
            <w:vAlign w:val="top"/>
          </w:tcPr>
          <w:p w14:paraId="164902F2">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020" w:type="dxa"/>
            <w:noWrap w:val="0"/>
            <w:vAlign w:val="top"/>
          </w:tcPr>
          <w:p w14:paraId="31B3A93A">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32" w:type="dxa"/>
            <w:noWrap w:val="0"/>
            <w:vAlign w:val="top"/>
          </w:tcPr>
          <w:p w14:paraId="23E52B15">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44A15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bottom w:val="single" w:color="auto" w:sz="12" w:space="0"/>
            </w:tcBorders>
            <w:noWrap w:val="0"/>
            <w:vAlign w:val="top"/>
          </w:tcPr>
          <w:p w14:paraId="1388378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bottom w:val="single" w:color="auto" w:sz="12" w:space="0"/>
            </w:tcBorders>
            <w:noWrap w:val="0"/>
            <w:vAlign w:val="top"/>
          </w:tcPr>
          <w:p w14:paraId="5B537E32">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tcBorders>
              <w:bottom w:val="single" w:color="auto" w:sz="12" w:space="0"/>
            </w:tcBorders>
            <w:noWrap w:val="0"/>
            <w:vAlign w:val="top"/>
          </w:tcPr>
          <w:p w14:paraId="2CDDB91F">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09" w:type="dxa"/>
            <w:tcBorders>
              <w:bottom w:val="single" w:color="auto" w:sz="12" w:space="0"/>
            </w:tcBorders>
            <w:noWrap w:val="0"/>
            <w:vAlign w:val="top"/>
          </w:tcPr>
          <w:p w14:paraId="35540111">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0" w:type="dxa"/>
            <w:tcBorders>
              <w:bottom w:val="single" w:color="auto" w:sz="12" w:space="0"/>
            </w:tcBorders>
            <w:noWrap w:val="0"/>
            <w:vAlign w:val="top"/>
          </w:tcPr>
          <w:p w14:paraId="4C7069C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63" w:type="dxa"/>
            <w:tcBorders>
              <w:bottom w:val="single" w:color="auto" w:sz="12" w:space="0"/>
            </w:tcBorders>
            <w:noWrap w:val="0"/>
            <w:vAlign w:val="top"/>
          </w:tcPr>
          <w:p w14:paraId="234F96E2">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80" w:type="dxa"/>
            <w:tcBorders>
              <w:bottom w:val="single" w:color="auto" w:sz="12" w:space="0"/>
            </w:tcBorders>
            <w:noWrap w:val="0"/>
            <w:vAlign w:val="top"/>
          </w:tcPr>
          <w:p w14:paraId="486FE6D1">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020" w:type="dxa"/>
            <w:tcBorders>
              <w:bottom w:val="single" w:color="auto" w:sz="12" w:space="0"/>
            </w:tcBorders>
            <w:noWrap w:val="0"/>
            <w:vAlign w:val="top"/>
          </w:tcPr>
          <w:p w14:paraId="404B8B1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32" w:type="dxa"/>
            <w:tcBorders>
              <w:bottom w:val="single" w:color="auto" w:sz="12" w:space="0"/>
            </w:tcBorders>
            <w:noWrap w:val="0"/>
            <w:vAlign w:val="top"/>
          </w:tcPr>
          <w:p w14:paraId="2735BD84">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bl>
    <w:p w14:paraId="370D5BBE">
      <w:pPr>
        <w:pageBreakBefore w:val="0"/>
        <w:kinsoku/>
        <w:wordWrap w:val="0"/>
        <w:overflowPunct/>
        <w:bidi w:val="0"/>
        <w:rPr>
          <w:rFonts w:hint="eastAsia" w:ascii="Times New Roman" w:hAnsi="Times New Roman" w:cs="宋体"/>
          <w:smallCaps w:val="0"/>
          <w:color w:val="000000" w:themeColor="text1"/>
          <w:szCs w:val="21"/>
          <w:highlight w:val="none"/>
          <w14:textFill>
            <w14:solidFill>
              <w14:schemeClr w14:val="tx1"/>
            </w14:solidFill>
          </w14:textFill>
        </w:rPr>
      </w:pPr>
    </w:p>
    <w:p w14:paraId="53FD15F1">
      <w:pPr>
        <w:pageBreakBefore w:val="0"/>
        <w:widowControl/>
        <w:kinsoku/>
        <w:wordWrap w:val="0"/>
        <w:overflowPunct/>
        <w:bidi w:val="0"/>
        <w:spacing w:line="360" w:lineRule="auto"/>
        <w:jc w:val="center"/>
        <w:rPr>
          <w:rFonts w:hint="eastAsia" w:ascii="Times New Roman" w:hAnsi="Times New Roman" w:cs="宋体"/>
          <w:smallCaps w:val="0"/>
          <w:color w:val="000000" w:themeColor="text1"/>
          <w:sz w:val="24"/>
          <w:highlight w:val="none"/>
          <w14:textFill>
            <w14:solidFill>
              <w14:schemeClr w14:val="tx1"/>
            </w14:solidFill>
          </w14:textFill>
        </w:rPr>
      </w:pPr>
      <w:r>
        <w:rPr>
          <w:rFonts w:hint="eastAsia" w:ascii="Times New Roman" w:hAnsi="Times New Roman" w:cs="宋体"/>
          <w:smallCaps w:val="0"/>
          <w:color w:val="000000" w:themeColor="text1"/>
          <w:szCs w:val="21"/>
          <w:highlight w:val="none"/>
          <w14:textFill>
            <w14:solidFill>
              <w14:schemeClr w14:val="tx1"/>
            </w14:solidFill>
          </w14:textFill>
        </w:rPr>
        <w:br w:type="page"/>
      </w:r>
    </w:p>
    <w:p w14:paraId="16CF79B6">
      <w:pPr>
        <w:keepNext/>
        <w:keepLines/>
        <w:pageBreakBefore w:val="0"/>
        <w:kinsoku/>
        <w:wordWrap w:val="0"/>
        <w:overflowPunct/>
        <w:bidi w:val="0"/>
        <w:spacing w:before="120" w:after="120" w:line="360" w:lineRule="auto"/>
        <w:jc w:val="left"/>
        <w:outlineLvl w:val="3"/>
        <w:rPr>
          <w:rStyle w:val="78"/>
          <w:rFonts w:hint="eastAsia" w:ascii="Times New Roman" w:hAnsi="Times New Roman"/>
          <w:b w:val="0"/>
          <w:smallCaps w:val="0"/>
          <w:color w:val="000000" w:themeColor="text1"/>
          <w:highlight w:val="none"/>
          <w14:textFill>
            <w14:solidFill>
              <w14:schemeClr w14:val="tx1"/>
            </w14:solidFill>
          </w14:textFill>
        </w:rPr>
      </w:pPr>
      <w:bookmarkStart w:id="1246" w:name="_Toc30337"/>
      <w:r>
        <w:rPr>
          <w:rStyle w:val="78"/>
          <w:rFonts w:hint="eastAsia" w:ascii="Times New Roman" w:hAnsi="Times New Roman"/>
          <w:b w:val="0"/>
          <w:smallCaps w:val="0"/>
          <w:color w:val="000000" w:themeColor="text1"/>
          <w:highlight w:val="none"/>
          <w14:textFill>
            <w14:solidFill>
              <w14:schemeClr w14:val="tx1"/>
            </w14:solidFill>
          </w14:textFill>
        </w:rPr>
        <w:t>附</w:t>
      </w:r>
      <w:bookmarkStart w:id="1247" w:name="_Toc296944567"/>
      <w:bookmarkStart w:id="1248" w:name="_Toc296347227"/>
      <w:bookmarkStart w:id="1249" w:name="_Toc267261699"/>
      <w:bookmarkStart w:id="1250" w:name="_Toc296503228"/>
      <w:bookmarkStart w:id="1251" w:name="_Toc296346729"/>
      <w:bookmarkStart w:id="1252" w:name="_Toc296891056"/>
      <w:bookmarkStart w:id="1253" w:name="_Toc296891268"/>
      <w:r>
        <w:rPr>
          <w:rStyle w:val="78"/>
          <w:rFonts w:hint="eastAsia" w:ascii="Times New Roman" w:hAnsi="Times New Roman"/>
          <w:b w:val="0"/>
          <w:smallCaps w:val="0"/>
          <w:color w:val="000000" w:themeColor="text1"/>
          <w:highlight w:val="none"/>
          <w14:textFill>
            <w14:solidFill>
              <w14:schemeClr w14:val="tx1"/>
            </w14:solidFill>
          </w14:textFill>
        </w:rPr>
        <w:t>件</w:t>
      </w:r>
      <w:bookmarkEnd w:id="1247"/>
      <w:bookmarkEnd w:id="1248"/>
      <w:bookmarkEnd w:id="1249"/>
      <w:bookmarkEnd w:id="1250"/>
      <w:bookmarkEnd w:id="1251"/>
      <w:bookmarkEnd w:id="1252"/>
      <w:bookmarkEnd w:id="1253"/>
      <w:r>
        <w:rPr>
          <w:rStyle w:val="78"/>
          <w:rFonts w:hint="eastAsia" w:ascii="Times New Roman" w:hAnsi="Times New Roman"/>
          <w:b w:val="0"/>
          <w:smallCaps w:val="0"/>
          <w:color w:val="000000" w:themeColor="text1"/>
          <w:highlight w:val="none"/>
          <w14:textFill>
            <w14:solidFill>
              <w14:schemeClr w14:val="tx1"/>
            </w14:solidFill>
          </w14:textFill>
        </w:rPr>
        <w:t>6</w:t>
      </w:r>
      <w:r>
        <w:rPr>
          <w:rStyle w:val="78"/>
          <w:rFonts w:hint="eastAsia" w:ascii="Times New Roman" w:hAnsi="Times New Roman"/>
          <w:b w:val="0"/>
          <w:smallCaps w:val="0"/>
          <w:color w:val="000000" w:themeColor="text1"/>
          <w:highlight w:val="none"/>
          <w:lang w:eastAsia="zh-CN"/>
          <w14:textFill>
            <w14:solidFill>
              <w14:schemeClr w14:val="tx1"/>
            </w14:solidFill>
          </w14:textFill>
        </w:rPr>
        <w:t>：</w:t>
      </w:r>
      <w:r>
        <w:rPr>
          <w:rStyle w:val="78"/>
          <w:rFonts w:hint="eastAsia" w:ascii="Times New Roman" w:hAnsi="Times New Roman"/>
          <w:b w:val="0"/>
          <w:smallCaps w:val="0"/>
          <w:color w:val="000000" w:themeColor="text1"/>
          <w:highlight w:val="none"/>
          <w14:textFill>
            <w14:solidFill>
              <w14:schemeClr w14:val="tx1"/>
            </w14:solidFill>
          </w14:textFill>
        </w:rPr>
        <w:t>承包人主要施工管理人员表</w:t>
      </w:r>
    </w:p>
    <w:bookmarkEnd w:id="1246"/>
    <w:p w14:paraId="2DC73D2B">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承包人主要施工管理人员表</w:t>
      </w:r>
    </w:p>
    <w:tbl>
      <w:tblPr>
        <w:tblStyle w:val="22"/>
        <w:tblW w:w="51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723"/>
        <w:gridCol w:w="1151"/>
        <w:gridCol w:w="926"/>
        <w:gridCol w:w="926"/>
        <w:gridCol w:w="2362"/>
        <w:gridCol w:w="2131"/>
      </w:tblGrid>
      <w:tr w14:paraId="3162D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tcBorders>
              <w:top w:val="single" w:color="auto" w:sz="12" w:space="0"/>
              <w:bottom w:val="double" w:color="auto" w:sz="6" w:space="0"/>
            </w:tcBorders>
            <w:noWrap w:val="0"/>
            <w:vAlign w:val="center"/>
          </w:tcPr>
          <w:p w14:paraId="0D76B66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名    称</w:t>
            </w:r>
          </w:p>
        </w:tc>
        <w:tc>
          <w:tcPr>
            <w:tcW w:w="624" w:type="pct"/>
            <w:tcBorders>
              <w:top w:val="single" w:color="auto" w:sz="12" w:space="0"/>
              <w:bottom w:val="double" w:color="auto" w:sz="6" w:space="0"/>
            </w:tcBorders>
            <w:noWrap w:val="0"/>
            <w:vAlign w:val="center"/>
          </w:tcPr>
          <w:p w14:paraId="0C331CB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姓名</w:t>
            </w:r>
          </w:p>
        </w:tc>
        <w:tc>
          <w:tcPr>
            <w:tcW w:w="502" w:type="pct"/>
            <w:tcBorders>
              <w:top w:val="single" w:color="auto" w:sz="12" w:space="0"/>
              <w:bottom w:val="double" w:color="auto" w:sz="6" w:space="0"/>
            </w:tcBorders>
            <w:noWrap w:val="0"/>
            <w:vAlign w:val="center"/>
          </w:tcPr>
          <w:p w14:paraId="4543D27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职务</w:t>
            </w:r>
          </w:p>
        </w:tc>
        <w:tc>
          <w:tcPr>
            <w:tcW w:w="502" w:type="pct"/>
            <w:tcBorders>
              <w:top w:val="single" w:color="auto" w:sz="12" w:space="0"/>
              <w:bottom w:val="double" w:color="auto" w:sz="6" w:space="0"/>
            </w:tcBorders>
            <w:noWrap w:val="0"/>
            <w:vAlign w:val="center"/>
          </w:tcPr>
          <w:p w14:paraId="7BFE3D3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职称</w:t>
            </w:r>
          </w:p>
        </w:tc>
        <w:tc>
          <w:tcPr>
            <w:tcW w:w="1281" w:type="pct"/>
            <w:tcBorders>
              <w:top w:val="single" w:color="auto" w:sz="12" w:space="0"/>
              <w:bottom w:val="double" w:color="auto" w:sz="6" w:space="0"/>
            </w:tcBorders>
            <w:noWrap w:val="0"/>
            <w:vAlign w:val="center"/>
          </w:tcPr>
          <w:p w14:paraId="10F18EA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主要资历、经验及承担过的项目</w:t>
            </w:r>
          </w:p>
        </w:tc>
        <w:tc>
          <w:tcPr>
            <w:tcW w:w="1154" w:type="pct"/>
            <w:tcBorders>
              <w:top w:val="single" w:color="auto" w:sz="12" w:space="0"/>
              <w:bottom w:val="double" w:color="auto" w:sz="6" w:space="0"/>
            </w:tcBorders>
            <w:noWrap w:val="0"/>
            <w:vAlign w:val="top"/>
          </w:tcPr>
          <w:p w14:paraId="077E708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身份证号码</w:t>
            </w:r>
          </w:p>
        </w:tc>
      </w:tr>
      <w:tr w14:paraId="139F0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6"/>
            <w:tcBorders>
              <w:top w:val="double" w:color="auto" w:sz="6" w:space="0"/>
            </w:tcBorders>
            <w:noWrap w:val="0"/>
            <w:vAlign w:val="center"/>
          </w:tcPr>
          <w:p w14:paraId="22F800E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一、总部人员</w:t>
            </w:r>
          </w:p>
        </w:tc>
      </w:tr>
      <w:tr w14:paraId="3EF378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tcBorders>
              <w:top w:val="nil"/>
              <w:bottom w:val="nil"/>
            </w:tcBorders>
            <w:noWrap w:val="0"/>
            <w:vAlign w:val="center"/>
          </w:tcPr>
          <w:p w14:paraId="6848FE3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项目主管</w:t>
            </w:r>
          </w:p>
        </w:tc>
        <w:tc>
          <w:tcPr>
            <w:tcW w:w="624" w:type="pct"/>
            <w:tcBorders>
              <w:top w:val="nil"/>
            </w:tcBorders>
            <w:noWrap w:val="0"/>
            <w:vAlign w:val="center"/>
          </w:tcPr>
          <w:p w14:paraId="5D7800AE">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tcBorders>
              <w:top w:val="nil"/>
            </w:tcBorders>
            <w:noWrap w:val="0"/>
            <w:vAlign w:val="center"/>
          </w:tcPr>
          <w:p w14:paraId="45C44AF3">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tcBorders>
              <w:top w:val="nil"/>
            </w:tcBorders>
            <w:noWrap w:val="0"/>
            <w:vAlign w:val="center"/>
          </w:tcPr>
          <w:p w14:paraId="4C59066B">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tcBorders>
              <w:top w:val="nil"/>
            </w:tcBorders>
            <w:noWrap w:val="0"/>
            <w:vAlign w:val="center"/>
          </w:tcPr>
          <w:p w14:paraId="50B16E3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tcBorders>
              <w:top w:val="nil"/>
            </w:tcBorders>
            <w:noWrap w:val="0"/>
            <w:vAlign w:val="top"/>
          </w:tcPr>
          <w:p w14:paraId="4D41E911">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20CDB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vMerge w:val="restart"/>
            <w:noWrap w:val="0"/>
            <w:vAlign w:val="center"/>
          </w:tcPr>
          <w:p w14:paraId="0DF5A3D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其他人员</w:t>
            </w:r>
          </w:p>
        </w:tc>
        <w:tc>
          <w:tcPr>
            <w:tcW w:w="624" w:type="pct"/>
            <w:noWrap w:val="0"/>
            <w:vAlign w:val="center"/>
          </w:tcPr>
          <w:p w14:paraId="623C8A4C">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58BC80C9">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16ADDF9D">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0DC0FACA">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09F5CF43">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4EA51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vMerge w:val="continue"/>
            <w:noWrap w:val="0"/>
            <w:vAlign w:val="center"/>
          </w:tcPr>
          <w:p w14:paraId="4D6CA09A">
            <w:pPr>
              <w:keepNext w:val="0"/>
              <w:keepLines w:val="0"/>
              <w:pageBreakBefore w:val="0"/>
              <w:suppressLineNumbers w:val="0"/>
              <w:kinsoku/>
              <w:wordWrap w:val="0"/>
              <w:overflowPunct/>
              <w:bidi w:val="0"/>
              <w:spacing w:before="0" w:beforeAutospacing="0" w:after="0" w:afterAutospacing="0" w:line="360" w:lineRule="auto"/>
              <w:ind w:left="0" w:right="0"/>
              <w:jc w:val="both"/>
              <w:rPr>
                <w:rFonts w:hint="eastAsia" w:ascii="Times New Roman" w:hAnsi="Times New Roman" w:cs="宋体"/>
                <w:smallCaps w:val="0"/>
                <w:color w:val="000000" w:themeColor="text1"/>
                <w:szCs w:val="21"/>
                <w:highlight w:val="none"/>
                <w14:textFill>
                  <w14:solidFill>
                    <w14:schemeClr w14:val="tx1"/>
                  </w14:solidFill>
                </w14:textFill>
              </w:rPr>
            </w:pPr>
          </w:p>
        </w:tc>
        <w:tc>
          <w:tcPr>
            <w:tcW w:w="624" w:type="pct"/>
            <w:noWrap w:val="0"/>
            <w:vAlign w:val="center"/>
          </w:tcPr>
          <w:p w14:paraId="382FF3AD">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6CE73AB8">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7123081D">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1257AD56">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143ECE22">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550EFF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vMerge w:val="continue"/>
            <w:tcBorders>
              <w:bottom w:val="nil"/>
            </w:tcBorders>
            <w:noWrap w:val="0"/>
            <w:vAlign w:val="center"/>
          </w:tcPr>
          <w:p w14:paraId="409995F3">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624" w:type="pct"/>
            <w:noWrap w:val="0"/>
            <w:vAlign w:val="center"/>
          </w:tcPr>
          <w:p w14:paraId="3D8DD57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319F0074">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596263E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7C03F235">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4638DF2A">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66C0F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6"/>
            <w:noWrap w:val="0"/>
            <w:vAlign w:val="center"/>
          </w:tcPr>
          <w:p w14:paraId="55D114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二、现场人员</w:t>
            </w:r>
          </w:p>
        </w:tc>
      </w:tr>
      <w:tr w14:paraId="6B4DAF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noWrap w:val="0"/>
            <w:vAlign w:val="center"/>
          </w:tcPr>
          <w:p w14:paraId="5F6044D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tc>
        <w:tc>
          <w:tcPr>
            <w:tcW w:w="624" w:type="pct"/>
            <w:noWrap w:val="0"/>
            <w:vAlign w:val="center"/>
          </w:tcPr>
          <w:p w14:paraId="7D778ED9">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73BE882F">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00A0EC1B">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6E15387A">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0AAAE9EA">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0EC24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noWrap w:val="0"/>
            <w:vAlign w:val="center"/>
          </w:tcPr>
          <w:p w14:paraId="0B72DB1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项目副经理</w:t>
            </w:r>
          </w:p>
        </w:tc>
        <w:tc>
          <w:tcPr>
            <w:tcW w:w="624" w:type="pct"/>
            <w:noWrap w:val="0"/>
            <w:vAlign w:val="center"/>
          </w:tcPr>
          <w:p w14:paraId="5AEC71E1">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5614F377">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1867300A">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31DCE257">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559FB489">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2BA30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noWrap w:val="0"/>
            <w:vAlign w:val="center"/>
          </w:tcPr>
          <w:p w14:paraId="0102033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项目技术负责人</w:t>
            </w:r>
          </w:p>
        </w:tc>
        <w:tc>
          <w:tcPr>
            <w:tcW w:w="624" w:type="pct"/>
            <w:noWrap w:val="0"/>
            <w:vAlign w:val="center"/>
          </w:tcPr>
          <w:p w14:paraId="342F0D6D">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16AF1643">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09948149">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495E807A">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5A648354">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0B7F9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noWrap w:val="0"/>
            <w:vAlign w:val="center"/>
          </w:tcPr>
          <w:p w14:paraId="25CE115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施工员</w:t>
            </w:r>
          </w:p>
        </w:tc>
        <w:tc>
          <w:tcPr>
            <w:tcW w:w="624" w:type="pct"/>
            <w:noWrap w:val="0"/>
            <w:vAlign w:val="center"/>
          </w:tcPr>
          <w:p w14:paraId="4035C35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363BE1C5">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036EFF09">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3A9863CC">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7EC3DC8C">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644EC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noWrap w:val="0"/>
            <w:vAlign w:val="center"/>
          </w:tcPr>
          <w:p w14:paraId="5FE4820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质检员（质量员）</w:t>
            </w:r>
          </w:p>
        </w:tc>
        <w:tc>
          <w:tcPr>
            <w:tcW w:w="624" w:type="pct"/>
            <w:noWrap w:val="0"/>
            <w:vAlign w:val="center"/>
          </w:tcPr>
          <w:p w14:paraId="179AE80E">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78AA7A5B">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184896C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2FF9AD23">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02BE9E94">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6A98A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noWrap w:val="0"/>
            <w:vAlign w:val="center"/>
          </w:tcPr>
          <w:p w14:paraId="3FA6406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安全员</w:t>
            </w:r>
          </w:p>
        </w:tc>
        <w:tc>
          <w:tcPr>
            <w:tcW w:w="624" w:type="pct"/>
            <w:noWrap w:val="0"/>
            <w:vAlign w:val="center"/>
          </w:tcPr>
          <w:p w14:paraId="702C82B9">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0C6A634C">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53CF198F">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3117C059">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3FF99D58">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10E7D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noWrap w:val="0"/>
            <w:vAlign w:val="center"/>
          </w:tcPr>
          <w:p w14:paraId="30B3999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资料员</w:t>
            </w:r>
          </w:p>
        </w:tc>
        <w:tc>
          <w:tcPr>
            <w:tcW w:w="624" w:type="pct"/>
            <w:noWrap w:val="0"/>
            <w:vAlign w:val="center"/>
          </w:tcPr>
          <w:p w14:paraId="52CB262A">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6A7AC0CD">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1753AE4D">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39459037">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3F68EAA8">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1305B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vMerge w:val="restart"/>
            <w:noWrap w:val="0"/>
            <w:vAlign w:val="center"/>
          </w:tcPr>
          <w:p w14:paraId="4B03364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其他人员</w:t>
            </w:r>
          </w:p>
        </w:tc>
        <w:tc>
          <w:tcPr>
            <w:tcW w:w="624" w:type="pct"/>
            <w:noWrap w:val="0"/>
            <w:vAlign w:val="center"/>
          </w:tcPr>
          <w:p w14:paraId="1DF0E1CB">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5E014203">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112E96A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6A47D4C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5CA91955">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723F0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vMerge w:val="continue"/>
            <w:noWrap w:val="0"/>
            <w:vAlign w:val="center"/>
          </w:tcPr>
          <w:p w14:paraId="2C63B677">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624" w:type="pct"/>
            <w:tcBorders>
              <w:bottom w:val="nil"/>
            </w:tcBorders>
            <w:noWrap w:val="0"/>
            <w:vAlign w:val="center"/>
          </w:tcPr>
          <w:p w14:paraId="3FE1087C">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tcBorders>
              <w:bottom w:val="nil"/>
            </w:tcBorders>
            <w:noWrap w:val="0"/>
            <w:vAlign w:val="center"/>
          </w:tcPr>
          <w:p w14:paraId="654D26A4">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tcBorders>
              <w:bottom w:val="nil"/>
            </w:tcBorders>
            <w:noWrap w:val="0"/>
            <w:vAlign w:val="center"/>
          </w:tcPr>
          <w:p w14:paraId="2D1AB758">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tcBorders>
              <w:bottom w:val="nil"/>
            </w:tcBorders>
            <w:noWrap w:val="0"/>
            <w:vAlign w:val="center"/>
          </w:tcPr>
          <w:p w14:paraId="34543A72">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tcBorders>
              <w:bottom w:val="nil"/>
            </w:tcBorders>
            <w:noWrap w:val="0"/>
            <w:vAlign w:val="top"/>
          </w:tcPr>
          <w:p w14:paraId="20A4710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6DC60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vMerge w:val="continue"/>
            <w:noWrap w:val="0"/>
            <w:vAlign w:val="center"/>
          </w:tcPr>
          <w:p w14:paraId="623415A7">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624" w:type="pct"/>
            <w:noWrap w:val="0"/>
            <w:vAlign w:val="center"/>
          </w:tcPr>
          <w:p w14:paraId="02AC4753">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37925F2D">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550AB0C5">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45E6555F">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057C7E38">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1769A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vMerge w:val="continue"/>
            <w:noWrap w:val="0"/>
            <w:vAlign w:val="center"/>
          </w:tcPr>
          <w:p w14:paraId="6361A0E2">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624" w:type="pct"/>
            <w:noWrap w:val="0"/>
            <w:vAlign w:val="center"/>
          </w:tcPr>
          <w:p w14:paraId="2DBFC378">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0226E5AF">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3A6BD5D1">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73ADAB9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44D6DE66">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616533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vMerge w:val="continue"/>
            <w:noWrap w:val="0"/>
            <w:vAlign w:val="center"/>
          </w:tcPr>
          <w:p w14:paraId="04D1D509">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624" w:type="pct"/>
            <w:noWrap w:val="0"/>
            <w:vAlign w:val="center"/>
          </w:tcPr>
          <w:p w14:paraId="360F9378">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39A38F04">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noWrap w:val="0"/>
            <w:vAlign w:val="center"/>
          </w:tcPr>
          <w:p w14:paraId="13097949">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noWrap w:val="0"/>
            <w:vAlign w:val="center"/>
          </w:tcPr>
          <w:p w14:paraId="3D24343F">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noWrap w:val="0"/>
            <w:vAlign w:val="top"/>
          </w:tcPr>
          <w:p w14:paraId="5543FEF0">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r w14:paraId="4C6ED7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5" w:type="pct"/>
            <w:vMerge w:val="continue"/>
            <w:tcBorders>
              <w:bottom w:val="single" w:color="auto" w:sz="12" w:space="0"/>
            </w:tcBorders>
            <w:noWrap w:val="0"/>
            <w:vAlign w:val="center"/>
          </w:tcPr>
          <w:p w14:paraId="03E7DECE">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624" w:type="pct"/>
            <w:tcBorders>
              <w:bottom w:val="single" w:color="auto" w:sz="12" w:space="0"/>
            </w:tcBorders>
            <w:noWrap w:val="0"/>
            <w:vAlign w:val="center"/>
          </w:tcPr>
          <w:p w14:paraId="39F98A8D">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tcBorders>
              <w:bottom w:val="single" w:color="auto" w:sz="12" w:space="0"/>
            </w:tcBorders>
            <w:noWrap w:val="0"/>
            <w:vAlign w:val="center"/>
          </w:tcPr>
          <w:p w14:paraId="3EAC8827">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502" w:type="pct"/>
            <w:tcBorders>
              <w:bottom w:val="single" w:color="auto" w:sz="12" w:space="0"/>
            </w:tcBorders>
            <w:noWrap w:val="0"/>
            <w:vAlign w:val="center"/>
          </w:tcPr>
          <w:p w14:paraId="7A56D0EC">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281" w:type="pct"/>
            <w:tcBorders>
              <w:bottom w:val="single" w:color="auto" w:sz="12" w:space="0"/>
            </w:tcBorders>
            <w:noWrap w:val="0"/>
            <w:vAlign w:val="center"/>
          </w:tcPr>
          <w:p w14:paraId="0B06A466">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c>
          <w:tcPr>
            <w:tcW w:w="1154" w:type="pct"/>
            <w:tcBorders>
              <w:bottom w:val="single" w:color="auto" w:sz="12" w:space="0"/>
            </w:tcBorders>
            <w:noWrap w:val="0"/>
            <w:vAlign w:val="top"/>
          </w:tcPr>
          <w:p w14:paraId="0CB6ED6A">
            <w:pPr>
              <w:keepNext/>
              <w:keepLines w:val="0"/>
              <w:pageBreakBefore w:val="0"/>
              <w:suppressLineNumbers w:val="0"/>
              <w:kinsoku/>
              <w:wordWrap w:val="0"/>
              <w:overflowPunct/>
              <w:bidi w:val="0"/>
              <w:spacing w:before="0" w:beforeAutospacing="0" w:after="0" w:afterAutospacing="0" w:line="360" w:lineRule="auto"/>
              <w:ind w:left="0" w:right="0"/>
              <w:jc w:val="center"/>
              <w:rPr>
                <w:rFonts w:hint="eastAsia" w:ascii="Times New Roman" w:hAnsi="Times New Roman" w:cs="宋体"/>
                <w:smallCaps w:val="0"/>
                <w:color w:val="000000" w:themeColor="text1"/>
                <w:szCs w:val="21"/>
                <w:highlight w:val="none"/>
                <w14:textFill>
                  <w14:solidFill>
                    <w14:schemeClr w14:val="tx1"/>
                  </w14:solidFill>
                </w14:textFill>
              </w:rPr>
            </w:pPr>
          </w:p>
        </w:tc>
      </w:tr>
    </w:tbl>
    <w:p w14:paraId="5B4232AD">
      <w:pPr>
        <w:keepNext/>
        <w:keepLines/>
        <w:pageBreakBefore w:val="0"/>
        <w:kinsoku/>
        <w:wordWrap w:val="0"/>
        <w:overflowPunct/>
        <w:bidi w:val="0"/>
        <w:spacing w:before="120" w:after="120" w:line="360" w:lineRule="auto"/>
        <w:jc w:val="left"/>
        <w:outlineLvl w:val="2"/>
        <w:rPr>
          <w:rFonts w:hint="eastAsia" w:ascii="Times New Roman" w:hAnsi="Times New Roman" w:eastAsia="黑体" w:cs="黑体"/>
          <w:b w:val="0"/>
          <w:smallCaps w:val="0"/>
          <w:snapToGrid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cs="宋体"/>
          <w:bCs/>
          <w:smallCaps w:val="0"/>
          <w:color w:val="000000" w:themeColor="text1"/>
          <w:sz w:val="24"/>
          <w:highlight w:val="none"/>
          <w14:textFill>
            <w14:solidFill>
              <w14:schemeClr w14:val="tx1"/>
            </w14:solidFill>
          </w14:textFill>
        </w:rPr>
        <w:br w:type="page"/>
      </w:r>
      <w:bookmarkStart w:id="1254" w:name="_Toc26487"/>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附</w:t>
      </w:r>
      <w:bookmarkStart w:id="1255" w:name="_Toc296503229"/>
      <w:bookmarkStart w:id="1256" w:name="_Toc296891269"/>
      <w:bookmarkStart w:id="1257" w:name="_Toc296346730"/>
      <w:bookmarkStart w:id="1258" w:name="_Toc296891057"/>
      <w:bookmarkStart w:id="1259" w:name="_Toc296347228"/>
      <w:bookmarkStart w:id="1260" w:name="_Toc296944568"/>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件7：分包人主要施工管理人员表</w:t>
      </w:r>
      <w:bookmarkEnd w:id="1254"/>
    </w:p>
    <w:bookmarkEnd w:id="1255"/>
    <w:bookmarkEnd w:id="1256"/>
    <w:bookmarkEnd w:id="1257"/>
    <w:bookmarkEnd w:id="1258"/>
    <w:bookmarkEnd w:id="1259"/>
    <w:bookmarkEnd w:id="1260"/>
    <w:p w14:paraId="2457BAB9">
      <w:pPr>
        <w:pageBreakBefore w:val="0"/>
        <w:kinsoku/>
        <w:wordWrap w:val="0"/>
        <w:overflowPunct/>
        <w:bidi w:val="0"/>
        <w:spacing w:before="120" w:beforeLines="50" w:after="120" w:afterLines="50" w:line="360" w:lineRule="auto"/>
        <w:jc w:val="center"/>
        <w:outlineLvl w:val="9"/>
        <w:rPr>
          <w:rFonts w:hint="eastAsia" w:ascii="Times New Roman" w:hAnsi="Times New Roman" w:cs="宋体"/>
          <w:b/>
          <w:smallCaps w:val="0"/>
          <w:color w:val="000000" w:themeColor="text1"/>
          <w:szCs w:val="21"/>
          <w:highlight w:val="none"/>
          <w14:textFill>
            <w14:solidFill>
              <w14:schemeClr w14:val="tx1"/>
            </w14:solidFill>
          </w14:textFill>
        </w:rPr>
      </w:pPr>
      <w:bookmarkStart w:id="1261" w:name="_Toc4770"/>
      <w:bookmarkStart w:id="1262" w:name="_Toc29050"/>
      <w:bookmarkStart w:id="1263" w:name="_Toc31773"/>
      <w:bookmarkStart w:id="1264" w:name="_Toc17871"/>
      <w:bookmarkStart w:id="1265" w:name="_Toc8736"/>
      <w:bookmarkStart w:id="1266" w:name="_Toc22101"/>
      <w:bookmarkStart w:id="1267" w:name="_Toc179"/>
      <w:bookmarkStart w:id="1268" w:name="_Toc29975"/>
      <w:r>
        <w:rPr>
          <w:rFonts w:hint="eastAsia" w:ascii="Times New Roman" w:hAnsi="Times New Roman" w:cs="宋体"/>
          <w:b/>
          <w:smallCaps w:val="0"/>
          <w:color w:val="000000" w:themeColor="text1"/>
          <w:szCs w:val="21"/>
          <w:highlight w:val="none"/>
          <w14:textFill>
            <w14:solidFill>
              <w14:schemeClr w14:val="tx1"/>
            </w14:solidFill>
          </w14:textFill>
        </w:rPr>
        <w:t>分包人主要施工管理人员表</w:t>
      </w:r>
      <w:bookmarkEnd w:id="1261"/>
      <w:bookmarkEnd w:id="1262"/>
      <w:bookmarkEnd w:id="1263"/>
      <w:bookmarkEnd w:id="1264"/>
      <w:bookmarkEnd w:id="1265"/>
      <w:bookmarkEnd w:id="1266"/>
      <w:bookmarkEnd w:id="1267"/>
      <w:bookmarkEnd w:id="1268"/>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708"/>
        <w:gridCol w:w="963"/>
        <w:gridCol w:w="925"/>
        <w:gridCol w:w="673"/>
        <w:gridCol w:w="3123"/>
        <w:gridCol w:w="1623"/>
      </w:tblGrid>
      <w:tr w14:paraId="2B1B4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tcBorders>
              <w:top w:val="single" w:color="auto" w:sz="12" w:space="0"/>
              <w:bottom w:val="double" w:color="auto" w:sz="6" w:space="0"/>
            </w:tcBorders>
            <w:noWrap w:val="0"/>
            <w:vAlign w:val="center"/>
          </w:tcPr>
          <w:p w14:paraId="273B605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名    称</w:t>
            </w:r>
          </w:p>
        </w:tc>
        <w:tc>
          <w:tcPr>
            <w:tcW w:w="534" w:type="pct"/>
            <w:tcBorders>
              <w:top w:val="single" w:color="auto" w:sz="12" w:space="0"/>
              <w:bottom w:val="double" w:color="auto" w:sz="6" w:space="0"/>
            </w:tcBorders>
            <w:noWrap w:val="0"/>
            <w:vAlign w:val="center"/>
          </w:tcPr>
          <w:p w14:paraId="256EA13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姓名</w:t>
            </w:r>
          </w:p>
        </w:tc>
        <w:tc>
          <w:tcPr>
            <w:tcW w:w="513" w:type="pct"/>
            <w:tcBorders>
              <w:top w:val="single" w:color="auto" w:sz="12" w:space="0"/>
              <w:bottom w:val="double" w:color="auto" w:sz="6" w:space="0"/>
            </w:tcBorders>
            <w:noWrap w:val="0"/>
            <w:vAlign w:val="center"/>
          </w:tcPr>
          <w:p w14:paraId="1736CDB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职务</w:t>
            </w:r>
          </w:p>
        </w:tc>
        <w:tc>
          <w:tcPr>
            <w:tcW w:w="373" w:type="pct"/>
            <w:tcBorders>
              <w:top w:val="single" w:color="auto" w:sz="12" w:space="0"/>
              <w:bottom w:val="double" w:color="auto" w:sz="6" w:space="0"/>
            </w:tcBorders>
            <w:noWrap w:val="0"/>
            <w:vAlign w:val="center"/>
          </w:tcPr>
          <w:p w14:paraId="154E3F7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职称</w:t>
            </w:r>
          </w:p>
        </w:tc>
        <w:tc>
          <w:tcPr>
            <w:tcW w:w="1732" w:type="pct"/>
            <w:tcBorders>
              <w:top w:val="single" w:color="auto" w:sz="12" w:space="0"/>
              <w:bottom w:val="double" w:color="auto" w:sz="6" w:space="0"/>
            </w:tcBorders>
            <w:noWrap w:val="0"/>
            <w:vAlign w:val="center"/>
          </w:tcPr>
          <w:p w14:paraId="5372819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主要资历、经验及承担过的项目</w:t>
            </w:r>
          </w:p>
        </w:tc>
        <w:tc>
          <w:tcPr>
            <w:tcW w:w="897" w:type="pct"/>
            <w:tcBorders>
              <w:top w:val="single" w:color="auto" w:sz="12" w:space="0"/>
              <w:bottom w:val="double" w:color="auto" w:sz="6" w:space="0"/>
            </w:tcBorders>
            <w:noWrap w:val="0"/>
            <w:vAlign w:val="center"/>
          </w:tcPr>
          <w:p w14:paraId="62EC285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身份证号码</w:t>
            </w:r>
          </w:p>
        </w:tc>
      </w:tr>
      <w:tr w14:paraId="76347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6"/>
            <w:tcBorders>
              <w:top w:val="double" w:color="auto" w:sz="6" w:space="0"/>
            </w:tcBorders>
            <w:noWrap w:val="0"/>
            <w:vAlign w:val="center"/>
          </w:tcPr>
          <w:p w14:paraId="361C271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一、总部人员</w:t>
            </w:r>
          </w:p>
        </w:tc>
      </w:tr>
      <w:tr w14:paraId="33277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948" w:type="pct"/>
            <w:tcBorders>
              <w:top w:val="nil"/>
              <w:bottom w:val="nil"/>
            </w:tcBorders>
            <w:noWrap w:val="0"/>
            <w:vAlign w:val="center"/>
          </w:tcPr>
          <w:p w14:paraId="22D1FF2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项目主管</w:t>
            </w:r>
          </w:p>
        </w:tc>
        <w:tc>
          <w:tcPr>
            <w:tcW w:w="534" w:type="pct"/>
            <w:tcBorders>
              <w:top w:val="nil"/>
            </w:tcBorders>
            <w:noWrap w:val="0"/>
            <w:vAlign w:val="center"/>
          </w:tcPr>
          <w:p w14:paraId="0D176883">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tcBorders>
              <w:top w:val="nil"/>
            </w:tcBorders>
            <w:noWrap w:val="0"/>
            <w:vAlign w:val="center"/>
          </w:tcPr>
          <w:p w14:paraId="35E86A0E">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tcBorders>
              <w:top w:val="nil"/>
            </w:tcBorders>
            <w:noWrap w:val="0"/>
            <w:vAlign w:val="center"/>
          </w:tcPr>
          <w:p w14:paraId="37579ECB">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tcBorders>
              <w:top w:val="nil"/>
            </w:tcBorders>
            <w:noWrap w:val="0"/>
            <w:vAlign w:val="center"/>
          </w:tcPr>
          <w:p w14:paraId="5B76597E">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tcBorders>
              <w:top w:val="nil"/>
            </w:tcBorders>
            <w:noWrap w:val="0"/>
            <w:vAlign w:val="top"/>
          </w:tcPr>
          <w:p w14:paraId="06C852A6">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379C13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vMerge w:val="restart"/>
            <w:noWrap w:val="0"/>
            <w:vAlign w:val="center"/>
          </w:tcPr>
          <w:p w14:paraId="4AF1080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其他人员</w:t>
            </w:r>
          </w:p>
        </w:tc>
        <w:tc>
          <w:tcPr>
            <w:tcW w:w="534" w:type="pct"/>
            <w:noWrap w:val="0"/>
            <w:vAlign w:val="center"/>
          </w:tcPr>
          <w:p w14:paraId="11224EED">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73A802BB">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6BD92498">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21BFE440">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1C775AEA">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61E6D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vMerge w:val="continue"/>
            <w:noWrap w:val="0"/>
            <w:vAlign w:val="center"/>
          </w:tcPr>
          <w:p w14:paraId="023B5AD4">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34" w:type="pct"/>
            <w:noWrap w:val="0"/>
            <w:vAlign w:val="center"/>
          </w:tcPr>
          <w:p w14:paraId="37AAED64">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1E52A662">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2A1B800A">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78E2AE19">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28330850">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47130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vMerge w:val="continue"/>
            <w:tcBorders>
              <w:bottom w:val="nil"/>
            </w:tcBorders>
            <w:noWrap w:val="0"/>
            <w:vAlign w:val="center"/>
          </w:tcPr>
          <w:p w14:paraId="4443359A">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34" w:type="pct"/>
            <w:noWrap w:val="0"/>
            <w:vAlign w:val="center"/>
          </w:tcPr>
          <w:p w14:paraId="474111B3">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3A8BA10A">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0D94EF7E">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4F24B617">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49BEF6C3">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347FF3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6"/>
            <w:noWrap w:val="0"/>
            <w:vAlign w:val="center"/>
          </w:tcPr>
          <w:p w14:paraId="4552729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二、现场人员</w:t>
            </w:r>
          </w:p>
        </w:tc>
      </w:tr>
      <w:tr w14:paraId="7647E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noWrap w:val="0"/>
            <w:vAlign w:val="top"/>
          </w:tcPr>
          <w:p w14:paraId="0E86EE5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tc>
        <w:tc>
          <w:tcPr>
            <w:tcW w:w="534" w:type="pct"/>
            <w:noWrap w:val="0"/>
            <w:vAlign w:val="center"/>
          </w:tcPr>
          <w:p w14:paraId="67A104B4">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6DAB3FA6">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00D1CE65">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5DFA7B9E">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65EE1552">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4CC97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noWrap w:val="0"/>
            <w:vAlign w:val="top"/>
          </w:tcPr>
          <w:p w14:paraId="2792F7F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项目副经理</w:t>
            </w:r>
          </w:p>
        </w:tc>
        <w:tc>
          <w:tcPr>
            <w:tcW w:w="534" w:type="pct"/>
            <w:noWrap w:val="0"/>
            <w:vAlign w:val="center"/>
          </w:tcPr>
          <w:p w14:paraId="704777F6">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506694D4">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2D2469F3">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135083FA">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0546F2B8">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6A03EF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noWrap w:val="0"/>
            <w:vAlign w:val="top"/>
          </w:tcPr>
          <w:p w14:paraId="3D85167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项目技术负责人</w:t>
            </w:r>
          </w:p>
        </w:tc>
        <w:tc>
          <w:tcPr>
            <w:tcW w:w="534" w:type="pct"/>
            <w:noWrap w:val="0"/>
            <w:vAlign w:val="center"/>
          </w:tcPr>
          <w:p w14:paraId="1BF2010B">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52F91389">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4E188A0C">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03F38AB0">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35B52C16">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09CCC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noWrap w:val="0"/>
            <w:vAlign w:val="top"/>
          </w:tcPr>
          <w:p w14:paraId="3E9EF9E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施工员</w:t>
            </w:r>
          </w:p>
        </w:tc>
        <w:tc>
          <w:tcPr>
            <w:tcW w:w="534" w:type="pct"/>
            <w:noWrap w:val="0"/>
            <w:vAlign w:val="center"/>
          </w:tcPr>
          <w:p w14:paraId="026F0423">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68A5AA21">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13CD4D00">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6BE2739E">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49FD3AF8">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1B162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noWrap w:val="0"/>
            <w:vAlign w:val="top"/>
          </w:tcPr>
          <w:p w14:paraId="5948BD8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质检员（质量员）</w:t>
            </w:r>
          </w:p>
        </w:tc>
        <w:tc>
          <w:tcPr>
            <w:tcW w:w="534" w:type="pct"/>
            <w:noWrap w:val="0"/>
            <w:vAlign w:val="center"/>
          </w:tcPr>
          <w:p w14:paraId="5DB84383">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420F33A0">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416DD732">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1E7C699E">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794C8E9B">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26A17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noWrap w:val="0"/>
            <w:vAlign w:val="top"/>
          </w:tcPr>
          <w:p w14:paraId="2340798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安全员</w:t>
            </w:r>
          </w:p>
        </w:tc>
        <w:tc>
          <w:tcPr>
            <w:tcW w:w="534" w:type="pct"/>
            <w:noWrap w:val="0"/>
            <w:vAlign w:val="center"/>
          </w:tcPr>
          <w:p w14:paraId="3C240C4F">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6B3EF5B6">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5E87DA21">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0220A3E6">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3ADB1507">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3F551A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noWrap w:val="0"/>
            <w:vAlign w:val="top"/>
          </w:tcPr>
          <w:p w14:paraId="21E5522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资料员</w:t>
            </w:r>
          </w:p>
        </w:tc>
        <w:tc>
          <w:tcPr>
            <w:tcW w:w="534" w:type="pct"/>
            <w:noWrap w:val="0"/>
            <w:vAlign w:val="center"/>
          </w:tcPr>
          <w:p w14:paraId="0321DC65">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4BB874D7">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5681957A">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14E2AE6C">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5A4FE9B3">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20108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vMerge w:val="restart"/>
            <w:noWrap w:val="0"/>
            <w:vAlign w:val="center"/>
          </w:tcPr>
          <w:p w14:paraId="63B14F7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r>
              <w:rPr>
                <w:rFonts w:hint="eastAsia" w:ascii="Times New Roman" w:hAnsi="Times New Roman" w:cs="宋体"/>
                <w:smallCaps w:val="0"/>
                <w:color w:val="000000" w:themeColor="text1"/>
                <w:szCs w:val="21"/>
                <w:highlight w:val="none"/>
                <w14:textFill>
                  <w14:solidFill>
                    <w14:schemeClr w14:val="tx1"/>
                  </w14:solidFill>
                </w14:textFill>
              </w:rPr>
              <w:t>其他</w:t>
            </w:r>
            <w:r>
              <w:rPr>
                <w:rFonts w:hint="eastAsia" w:ascii="Times New Roman" w:hAnsi="Times New Roman"/>
                <w:smallCaps w:val="0"/>
                <w:color w:val="000000" w:themeColor="text1"/>
                <w:highlight w:val="none"/>
                <w14:textFill>
                  <w14:solidFill>
                    <w14:schemeClr w14:val="tx1"/>
                  </w14:solidFill>
                </w14:textFill>
              </w:rPr>
              <w:t>人员</w:t>
            </w:r>
          </w:p>
        </w:tc>
        <w:tc>
          <w:tcPr>
            <w:tcW w:w="534" w:type="pct"/>
            <w:noWrap w:val="0"/>
            <w:vAlign w:val="center"/>
          </w:tcPr>
          <w:p w14:paraId="680BD9ED">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250A169D">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65BB0DE8">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7E8BC7C7">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1ED30C7F">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576C1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vMerge w:val="continue"/>
            <w:noWrap w:val="0"/>
            <w:vAlign w:val="center"/>
          </w:tcPr>
          <w:p w14:paraId="00044517">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34" w:type="pct"/>
            <w:tcBorders>
              <w:bottom w:val="nil"/>
            </w:tcBorders>
            <w:noWrap w:val="0"/>
            <w:vAlign w:val="center"/>
          </w:tcPr>
          <w:p w14:paraId="0421AF23">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tcBorders>
              <w:bottom w:val="nil"/>
            </w:tcBorders>
            <w:noWrap w:val="0"/>
            <w:vAlign w:val="center"/>
          </w:tcPr>
          <w:p w14:paraId="04AE928C">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tcBorders>
              <w:bottom w:val="nil"/>
            </w:tcBorders>
            <w:noWrap w:val="0"/>
            <w:vAlign w:val="center"/>
          </w:tcPr>
          <w:p w14:paraId="6B6F2C5A">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tcBorders>
              <w:bottom w:val="nil"/>
            </w:tcBorders>
            <w:noWrap w:val="0"/>
            <w:vAlign w:val="center"/>
          </w:tcPr>
          <w:p w14:paraId="393E517E">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tcBorders>
              <w:bottom w:val="nil"/>
            </w:tcBorders>
            <w:noWrap w:val="0"/>
            <w:vAlign w:val="top"/>
          </w:tcPr>
          <w:p w14:paraId="37E04BA3">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03F05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vMerge w:val="continue"/>
            <w:noWrap w:val="0"/>
            <w:vAlign w:val="center"/>
          </w:tcPr>
          <w:p w14:paraId="1BF85CEB">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34" w:type="pct"/>
            <w:noWrap w:val="0"/>
            <w:vAlign w:val="center"/>
          </w:tcPr>
          <w:p w14:paraId="55371250">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74200A24">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01E5C13F">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177D0039">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708DAE4D">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6D7BEF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vMerge w:val="continue"/>
            <w:noWrap w:val="0"/>
            <w:vAlign w:val="center"/>
          </w:tcPr>
          <w:p w14:paraId="55D65AAA">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34" w:type="pct"/>
            <w:noWrap w:val="0"/>
            <w:vAlign w:val="center"/>
          </w:tcPr>
          <w:p w14:paraId="57AB3CF4">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5EAFEDA8">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339F32F7">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5091A705">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4989D3C9">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302A2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vMerge w:val="continue"/>
            <w:noWrap w:val="0"/>
            <w:vAlign w:val="center"/>
          </w:tcPr>
          <w:p w14:paraId="2436DBDF">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34" w:type="pct"/>
            <w:noWrap w:val="0"/>
            <w:vAlign w:val="center"/>
          </w:tcPr>
          <w:p w14:paraId="20B303A6">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noWrap w:val="0"/>
            <w:vAlign w:val="center"/>
          </w:tcPr>
          <w:p w14:paraId="47778B05">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noWrap w:val="0"/>
            <w:vAlign w:val="center"/>
          </w:tcPr>
          <w:p w14:paraId="54AC9F30">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noWrap w:val="0"/>
            <w:vAlign w:val="center"/>
          </w:tcPr>
          <w:p w14:paraId="61D8E85B">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noWrap w:val="0"/>
            <w:vAlign w:val="top"/>
          </w:tcPr>
          <w:p w14:paraId="677D0465">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628F7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48" w:type="pct"/>
            <w:vMerge w:val="continue"/>
            <w:tcBorders>
              <w:bottom w:val="single" w:color="auto" w:sz="12" w:space="0"/>
            </w:tcBorders>
            <w:noWrap w:val="0"/>
            <w:vAlign w:val="center"/>
          </w:tcPr>
          <w:p w14:paraId="4B47C255">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34" w:type="pct"/>
            <w:tcBorders>
              <w:bottom w:val="single" w:color="auto" w:sz="12" w:space="0"/>
            </w:tcBorders>
            <w:noWrap w:val="0"/>
            <w:vAlign w:val="center"/>
          </w:tcPr>
          <w:p w14:paraId="278F4565">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513" w:type="pct"/>
            <w:tcBorders>
              <w:bottom w:val="single" w:color="auto" w:sz="12" w:space="0"/>
            </w:tcBorders>
            <w:noWrap w:val="0"/>
            <w:vAlign w:val="center"/>
          </w:tcPr>
          <w:p w14:paraId="06D3C09D">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373" w:type="pct"/>
            <w:tcBorders>
              <w:bottom w:val="single" w:color="auto" w:sz="12" w:space="0"/>
            </w:tcBorders>
            <w:noWrap w:val="0"/>
            <w:vAlign w:val="center"/>
          </w:tcPr>
          <w:p w14:paraId="334009A9">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32" w:type="pct"/>
            <w:tcBorders>
              <w:bottom w:val="single" w:color="auto" w:sz="12" w:space="0"/>
            </w:tcBorders>
            <w:noWrap w:val="0"/>
            <w:vAlign w:val="center"/>
          </w:tcPr>
          <w:p w14:paraId="4AF0F1B5">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97" w:type="pct"/>
            <w:tcBorders>
              <w:bottom w:val="single" w:color="auto" w:sz="12" w:space="0"/>
            </w:tcBorders>
            <w:noWrap w:val="0"/>
            <w:vAlign w:val="top"/>
          </w:tcPr>
          <w:p w14:paraId="6E03AD18">
            <w:pPr>
              <w:keepNext/>
              <w:keepLines w:val="0"/>
              <w:pageBreakBefore w:val="0"/>
              <w:suppressLineNumbers w:val="0"/>
              <w:kinsoku/>
              <w:wordWrap w:val="0"/>
              <w:overflowPunct/>
              <w:bidi w:val="0"/>
              <w:spacing w:before="0" w:beforeAutospacing="0" w:after="0" w:afterAutospacing="0" w:line="360" w:lineRule="auto"/>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bl>
    <w:p w14:paraId="385B1934">
      <w:pPr>
        <w:keepNext/>
        <w:keepLines/>
        <w:pageBreakBefore w:val="0"/>
        <w:kinsoku/>
        <w:wordWrap w:val="0"/>
        <w:overflowPunct/>
        <w:bidi w:val="0"/>
        <w:spacing w:before="120" w:after="120" w:line="360" w:lineRule="auto"/>
        <w:jc w:val="left"/>
        <w:outlineLvl w:val="1"/>
        <w:rPr>
          <w:rFonts w:hint="eastAsia" w:ascii="Times New Roman" w:hAnsi="Times New Roman" w:eastAsia="黑体" w:cs="黑体"/>
          <w:b w:val="0"/>
          <w:smallCaps w:val="0"/>
          <w:snapToGrid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cs="宋体"/>
          <w:bCs/>
          <w:smallCaps w:val="0"/>
          <w:color w:val="000000" w:themeColor="text1"/>
          <w:sz w:val="24"/>
          <w:highlight w:val="none"/>
          <w14:textFill>
            <w14:solidFill>
              <w14:schemeClr w14:val="tx1"/>
            </w14:solidFill>
          </w14:textFill>
        </w:rPr>
        <w:br w:type="page"/>
      </w:r>
      <w:bookmarkStart w:id="1269" w:name="_Toc12770"/>
      <w:bookmarkStart w:id="1270" w:name="_Toc17650"/>
      <w:bookmarkStart w:id="1271" w:name="_Toc26485"/>
      <w:bookmarkStart w:id="1272" w:name="_Toc31165"/>
      <w:bookmarkStart w:id="1273" w:name="_Toc7655"/>
      <w:bookmarkStart w:id="1274" w:name="_Toc19175"/>
      <w:bookmarkStart w:id="1275" w:name="_Toc25726"/>
      <w:bookmarkStart w:id="1276" w:name="_Toc9797"/>
      <w:bookmarkStart w:id="1277" w:name="_Toc7801"/>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附</w:t>
      </w:r>
      <w:bookmarkStart w:id="1278" w:name="_Toc296891271"/>
      <w:bookmarkStart w:id="1279" w:name="_Toc296346732"/>
      <w:bookmarkStart w:id="1280" w:name="_Toc296891059"/>
      <w:bookmarkStart w:id="1281" w:name="_Toc296944570"/>
      <w:bookmarkStart w:id="1282" w:name="_Toc296347230"/>
      <w:bookmarkStart w:id="1283" w:name="_Toc296503231"/>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件8：廉政责任书格式</w:t>
      </w:r>
      <w:bookmarkEnd w:id="1269"/>
      <w:bookmarkEnd w:id="1270"/>
      <w:bookmarkEnd w:id="1271"/>
      <w:bookmarkEnd w:id="1272"/>
      <w:bookmarkEnd w:id="1273"/>
      <w:bookmarkEnd w:id="1274"/>
      <w:bookmarkEnd w:id="1275"/>
      <w:bookmarkEnd w:id="1276"/>
      <w:bookmarkEnd w:id="1277"/>
    </w:p>
    <w:bookmarkEnd w:id="1278"/>
    <w:bookmarkEnd w:id="1279"/>
    <w:bookmarkEnd w:id="1280"/>
    <w:bookmarkEnd w:id="1281"/>
    <w:bookmarkEnd w:id="1282"/>
    <w:bookmarkEnd w:id="1283"/>
    <w:p w14:paraId="56C44BBB">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bookmarkStart w:id="1284" w:name="_Toc7607"/>
      <w:bookmarkStart w:id="1285" w:name="_Toc6992"/>
      <w:bookmarkStart w:id="1286" w:name="_Toc1248"/>
      <w:bookmarkStart w:id="1287" w:name="_Toc6857"/>
      <w:bookmarkStart w:id="1288" w:name="_Toc2458"/>
      <w:bookmarkStart w:id="1289" w:name="_Toc8727"/>
      <w:bookmarkStart w:id="1290" w:name="_Toc9808"/>
      <w:bookmarkStart w:id="1291" w:name="_Toc7984"/>
      <w:r>
        <w:rPr>
          <w:rFonts w:hint="eastAsia" w:ascii="Times New Roman" w:hAnsi="Times New Roman"/>
          <w:smallCaps w:val="0"/>
          <w:color w:val="000000" w:themeColor="text1"/>
          <w:highlight w:val="none"/>
          <w14:textFill>
            <w14:solidFill>
              <w14:schemeClr w14:val="tx1"/>
            </w14:solidFill>
          </w14:textFill>
        </w:rPr>
        <w:t>廉政责任书</w:t>
      </w:r>
    </w:p>
    <w:p w14:paraId="52C9429F">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p>
    <w:p w14:paraId="382D8719">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B6D5234">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u w:val="singl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承包人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513A9744">
      <w:pPr>
        <w:pageBreakBefore w:val="0"/>
        <w:kinsoku/>
        <w:wordWrap w:val="0"/>
        <w:overflowPunct/>
        <w:bidi w:val="0"/>
        <w:outlineLvl w:val="9"/>
        <w:rPr>
          <w:rFonts w:hint="eastAsia"/>
          <w:color w:val="000000" w:themeColor="text1"/>
          <w:highlight w:val="none"/>
          <w14:textFill>
            <w14:solidFill>
              <w14:schemeClr w14:val="tx1"/>
            </w14:solidFill>
          </w14:textFill>
        </w:rPr>
      </w:pPr>
    </w:p>
    <w:p w14:paraId="473388B4">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616517B2">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一、双方的责任</w:t>
      </w:r>
    </w:p>
    <w:p w14:paraId="3BC6EA35">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1.1应严格遵守国家关于建设工程的有关法律、法规，相关政策，以及廉政建设的各项规定。</w:t>
      </w:r>
    </w:p>
    <w:p w14:paraId="75F600A2">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1.2严格执行建设工程合同文件，自觉按合同办事。</w:t>
      </w:r>
    </w:p>
    <w:p w14:paraId="3E469824">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1.3各项活动必须坚持公开、公平、公正、诚信、透明的原则(除法律法规另有规定者外)，不得为获取不正当的利益，损害国家、集体和对方利益，不得违反建设工程管理的规章制度。</w:t>
      </w:r>
    </w:p>
    <w:p w14:paraId="6453D382">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1.4发现对方在业务活动中有违规、违纪、违法行为的，应及时提醒对方，情节严重的，应向其上级主管部门或纪检监察、司法等有关机关举报。</w:t>
      </w:r>
    </w:p>
    <w:p w14:paraId="5453E083">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二、发包人责任</w:t>
      </w:r>
    </w:p>
    <w:p w14:paraId="15BCCAA4">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发包人的领导和从事该建设工程项目的工作人员，在工程建设的事前、事中、事后应遵守以下规定</w:t>
      </w:r>
      <w:r>
        <w:rPr>
          <w:rFonts w:hint="eastAsia" w:ascii="Times New Roman" w:hAnsi="Times New Roman"/>
          <w:smallCaps w:val="0"/>
          <w:color w:val="000000" w:themeColor="text1"/>
          <w:highlight w:val="none"/>
          <w:lang w:eastAsia="zh-CN"/>
          <w14:textFill>
            <w14:solidFill>
              <w14:schemeClr w14:val="tx1"/>
            </w14:solidFill>
          </w14:textFill>
        </w:rPr>
        <w:t>：</w:t>
      </w:r>
    </w:p>
    <w:p w14:paraId="3681FF89">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2.1不得向承包人和相关单位索要或接受回扣、礼金、有价证券、贵重物品和好处费、感谢费等。</w:t>
      </w:r>
    </w:p>
    <w:p w14:paraId="477B2537">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2.2不得在承包人和相关单位报销任何应由发包人或个人支付的费用。</w:t>
      </w:r>
    </w:p>
    <w:p w14:paraId="143642FF">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2.3不得要求、暗示或接受承包人和相关单位为个人装修住房、婚丧嫁娶、配偶子女的工作安排以及出国(境)、旅游等提供方便。</w:t>
      </w:r>
    </w:p>
    <w:p w14:paraId="1EA78ED3">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2.4不得参加有可能影响公正执行公务的承包人和相关单位的宴请、健身、娱乐等活动。</w:t>
      </w:r>
    </w:p>
    <w:p w14:paraId="13A0FBBE">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2.5不得向承包人和相关单位介绍或为配偶、子女、亲属参与同发包人工程建设管理合同有关的业务活动；不得以任何理由要求承包人和相关单位使用某种产品、材料和设备。</w:t>
      </w:r>
    </w:p>
    <w:p w14:paraId="007D0B05">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三、承包人责任</w:t>
      </w:r>
    </w:p>
    <w:p w14:paraId="4CC2590B">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应与发包人保持正常的业务交往，按照有关法律法规和程序开展业务工作，严格执行工程建设的有关方针、政策，执行工程建设强制性标准，并遵守以下规定</w:t>
      </w:r>
      <w:r>
        <w:rPr>
          <w:rFonts w:hint="eastAsia" w:ascii="Times New Roman" w:hAnsi="Times New Roman"/>
          <w:smallCaps w:val="0"/>
          <w:color w:val="000000" w:themeColor="text1"/>
          <w:highlight w:val="none"/>
          <w:lang w:eastAsia="zh-CN"/>
          <w14:textFill>
            <w14:solidFill>
              <w14:schemeClr w14:val="tx1"/>
            </w14:solidFill>
          </w14:textFill>
        </w:rPr>
        <w:t>：</w:t>
      </w:r>
    </w:p>
    <w:p w14:paraId="3890FA02">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3.1不得以任何理由向发包人及其工作人员索要、接受或赠送礼金、有价证券、贵重物品及回扣、好处费、感谢费等。</w:t>
      </w:r>
    </w:p>
    <w:p w14:paraId="199694EC">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3.2不得以任何理由为发包人和相关单位报销应由对方或个人支付的费用。</w:t>
      </w:r>
    </w:p>
    <w:p w14:paraId="6AD9779B">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3.3不得接受或暗示为发包人、相关单位或个人装修住房、婚丧嫁娶、配偶子女的工作安排以及出国(境)、旅游等提供方便。</w:t>
      </w:r>
    </w:p>
    <w:p w14:paraId="4B0500E7">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3.4不得以任何理由为发包人、相关单位或个人组织有可能影响公正执行公务的宴请、健身、娱乐等活动。</w:t>
      </w:r>
    </w:p>
    <w:p w14:paraId="193DA304">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四、违约责任</w:t>
      </w:r>
    </w:p>
    <w:p w14:paraId="38780BD1">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4.1发包人工作人员有违反本责任书第一、二条责任行为的，依据有关法律、法规给予处理；涉嫌犯罪的，移交司法机关追究刑事责任；给承包人单位造成经济损失的，应予以赔偿。</w:t>
      </w:r>
    </w:p>
    <w:p w14:paraId="4AB79772">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4.2承包人工作人员有违反本责任书第一、三条责任行为的，依据有关法律法规处理；涉嫌犯罪的，移交司法机关追究刑事责任；给发包人单位造成经济损失的，应予以赔偿。</w:t>
      </w:r>
    </w:p>
    <w:p w14:paraId="52ED14FD">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4.3本责任书作为建设工程合同的组成部分，与建设工程合同具有同等法律效力。经双方签署后立即生效。</w:t>
      </w:r>
    </w:p>
    <w:p w14:paraId="74448FAD">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五、责任书有效期</w:t>
      </w:r>
    </w:p>
    <w:p w14:paraId="04E4C482">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本责任书的有效期为双方签署之日起至该工程项目竣工验收合格时止。</w:t>
      </w:r>
    </w:p>
    <w:p w14:paraId="3C20C1C2">
      <w:pPr>
        <w:pStyle w:val="77"/>
        <w:pageBreakBefore w:val="0"/>
        <w:widowControl w:val="0"/>
        <w:kinsoku/>
        <w:wordWrap w:val="0"/>
        <w:overflowPunct/>
        <w:topLinePunct w:val="0"/>
        <w:autoSpaceDE/>
        <w:autoSpaceDN/>
        <w:bidi w:val="0"/>
        <w:snapToGrid w:val="0"/>
        <w:spacing w:before="0"/>
        <w:textAlignment w:val="auto"/>
        <w:outlineLvl w:val="9"/>
        <w:rPr>
          <w:rFonts w:hint="eastAsia" w:ascii="Times New Roman" w:hAnsi="Times New Roman"/>
          <w:b w:val="0"/>
          <w:smallCaps w:val="0"/>
          <w:color w:val="000000" w:themeColor="text1"/>
          <w:sz w:val="24"/>
          <w:szCs w:val="24"/>
          <w:highlight w:val="none"/>
          <w14:textFill>
            <w14:solidFill>
              <w14:schemeClr w14:val="tx1"/>
            </w14:solidFill>
          </w14:textFill>
        </w:rPr>
      </w:pPr>
      <w:r>
        <w:rPr>
          <w:rFonts w:hint="eastAsia" w:ascii="Times New Roman" w:hAnsi="Times New Roman"/>
          <w:b w:val="0"/>
          <w:smallCaps w:val="0"/>
          <w:color w:val="000000" w:themeColor="text1"/>
          <w:sz w:val="24"/>
          <w:szCs w:val="24"/>
          <w:highlight w:val="none"/>
          <w14:textFill>
            <w14:solidFill>
              <w14:schemeClr w14:val="tx1"/>
            </w14:solidFill>
          </w14:textFill>
        </w:rPr>
        <w:t>六、责任书份数</w:t>
      </w:r>
    </w:p>
    <w:p w14:paraId="1947D95F">
      <w:pPr>
        <w:pStyle w:val="79"/>
        <w:pageBreakBefore w:val="0"/>
        <w:widowControl w:val="0"/>
        <w:kinsoku/>
        <w:wordWrap w:val="0"/>
        <w:overflowPunct/>
        <w:topLinePunct w:val="0"/>
        <w:autoSpaceDE/>
        <w:autoSpaceDN/>
        <w:bidi w:val="0"/>
        <w:snapToGrid w:val="0"/>
        <w:textAlignment w:val="auto"/>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本责任书一式二份，发包人承包人各执一份，具有同等效力。</w:t>
      </w:r>
    </w:p>
    <w:p w14:paraId="7D903A9C">
      <w:pPr>
        <w:pageBreakBefore w:val="0"/>
        <w:kinsoku/>
        <w:wordWrap w:val="0"/>
        <w:overflowPunct/>
        <w:bidi w:val="0"/>
        <w:rPr>
          <w:rFonts w:hint="eastAsia"/>
          <w:color w:val="000000" w:themeColor="text1"/>
          <w:highlight w:val="none"/>
          <w14:textFill>
            <w14:solidFill>
              <w14:schemeClr w14:val="tx1"/>
            </w14:solidFill>
          </w14:textFill>
        </w:rPr>
      </w:pPr>
    </w:p>
    <w:p w14:paraId="7CFFD04E">
      <w:pPr>
        <w:pageBreakBefore w:val="0"/>
        <w:kinsoku/>
        <w:wordWrap w:val="0"/>
        <w:overflowPunct/>
        <w:bidi w:val="0"/>
        <w:rPr>
          <w:rFonts w:hint="eastAsia"/>
          <w:color w:val="000000" w:themeColor="text1"/>
          <w:highlight w:val="none"/>
          <w14:textFill>
            <w14:solidFill>
              <w14:schemeClr w14:val="tx1"/>
            </w14:solidFill>
          </w14:textFill>
        </w:rPr>
      </w:pPr>
    </w:p>
    <w:p w14:paraId="20950005">
      <w:pPr>
        <w:pageBreakBefore w:val="0"/>
        <w:kinsoku/>
        <w:wordWrap w:val="0"/>
        <w:overflowPunct/>
        <w:bidi w:val="0"/>
        <w:rPr>
          <w:rFonts w:hint="eastAsia"/>
          <w:color w:val="000000" w:themeColor="text1"/>
          <w:highlight w:val="none"/>
          <w14:textFill>
            <w14:solidFill>
              <w14:schemeClr w14:val="tx1"/>
            </w14:solidFill>
          </w14:textFill>
        </w:rPr>
      </w:pPr>
    </w:p>
    <w:p w14:paraId="53669BB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(公章)</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承包人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(公章)</w:t>
      </w:r>
    </w:p>
    <w:p w14:paraId="1AB62C7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法定地址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407FECF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法定代表人或其</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法定代表人或其</w:t>
      </w:r>
    </w:p>
    <w:p w14:paraId="5086372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委托代理人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委托代理人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w:t>
      </w:r>
    </w:p>
    <w:p w14:paraId="0C31E0D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电话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40B23A1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传真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传真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2CD98D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电子邮箱</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电子邮箱</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1253028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开户银行</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开户银行</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569E04A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账号：</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账号：</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6D7125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6C0BD584">
      <w:pPr>
        <w:keepNext/>
        <w:keepLines/>
        <w:pageBreakBefore w:val="0"/>
        <w:kinsoku/>
        <w:wordWrap w:val="0"/>
        <w:overflowPunct/>
        <w:bidi w:val="0"/>
        <w:spacing w:before="120" w:after="120" w:line="360" w:lineRule="auto"/>
        <w:jc w:val="left"/>
        <w:outlineLvl w:val="1"/>
        <w:rPr>
          <w:rStyle w:val="78"/>
          <w:rFonts w:hint="eastAsia" w:ascii="Times New Roman" w:hAnsi="Times New Roman"/>
          <w:smallCaps w:val="0"/>
          <w:color w:val="000000" w:themeColor="text1"/>
          <w:highlight w:val="none"/>
          <w:lang w:eastAsia="zh-CN"/>
          <w14:textFill>
            <w14:solidFill>
              <w14:schemeClr w14:val="tx1"/>
            </w14:solidFill>
          </w14:textFill>
        </w:rPr>
      </w:pPr>
      <w:r>
        <w:rPr>
          <w:rFonts w:ascii="Times New Roman" w:hAnsi="Times New Roman"/>
          <w:smallCaps w:val="0"/>
          <w:color w:val="000000" w:themeColor="text1"/>
          <w:highlight w:val="none"/>
          <w14:textFill>
            <w14:solidFill>
              <w14:schemeClr w14:val="tx1"/>
            </w14:solidFill>
          </w14:textFill>
        </w:rPr>
        <w:br w:type="page"/>
      </w:r>
      <w:bookmarkEnd w:id="1284"/>
      <w:bookmarkEnd w:id="1285"/>
      <w:bookmarkEnd w:id="1286"/>
      <w:bookmarkEnd w:id="1287"/>
      <w:bookmarkEnd w:id="1288"/>
      <w:bookmarkEnd w:id="1289"/>
      <w:bookmarkEnd w:id="1290"/>
      <w:bookmarkEnd w:id="1291"/>
      <w:bookmarkStart w:id="1292" w:name="_Toc23048"/>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附件9：履约保证金格式</w:t>
      </w:r>
      <w:bookmarkEnd w:id="1292"/>
    </w:p>
    <w:p w14:paraId="0C4C849F">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bookmarkStart w:id="1293" w:name="_Toc14479"/>
      <w:bookmarkStart w:id="1294" w:name="_Toc8655"/>
      <w:bookmarkStart w:id="1295" w:name="_Toc7847"/>
      <w:bookmarkStart w:id="1296" w:name="_Toc12064"/>
      <w:bookmarkStart w:id="1297" w:name="_Toc25855"/>
      <w:bookmarkStart w:id="1298" w:name="_Toc24511"/>
      <w:bookmarkStart w:id="1299" w:name="_Toc12185"/>
      <w:bookmarkStart w:id="1300" w:name="_Toc7423"/>
      <w:r>
        <w:rPr>
          <w:rFonts w:hint="eastAsia" w:ascii="Times New Roman" w:hAnsi="Times New Roman"/>
          <w:smallCaps w:val="0"/>
          <w:color w:val="000000" w:themeColor="text1"/>
          <w:highlight w:val="none"/>
          <w14:textFill>
            <w14:solidFill>
              <w14:schemeClr w14:val="tx1"/>
            </w14:solidFill>
          </w14:textFill>
        </w:rPr>
        <w:t>履约保函示范文本</w:t>
      </w:r>
      <w:bookmarkEnd w:id="1293"/>
      <w:bookmarkEnd w:id="1294"/>
      <w:bookmarkEnd w:id="1295"/>
      <w:bookmarkEnd w:id="1296"/>
      <w:bookmarkEnd w:id="1297"/>
      <w:bookmarkEnd w:id="1298"/>
      <w:bookmarkEnd w:id="1299"/>
      <w:bookmarkEnd w:id="1300"/>
    </w:p>
    <w:p w14:paraId="50E03E9B">
      <w:pPr>
        <w:pStyle w:val="79"/>
        <w:pageBreakBefore w:val="0"/>
        <w:kinsoku/>
        <w:wordWrap w:val="0"/>
        <w:overflowPunct/>
        <w:bidi w:val="0"/>
        <w:jc w:val="righ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编号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p>
    <w:p w14:paraId="29BDE617">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Cs w:val="21"/>
          <w:highlight w:val="none"/>
          <w14:textFill>
            <w14:solidFill>
              <w14:schemeClr w14:val="tx1"/>
            </w14:solidFill>
          </w14:textFill>
        </w:rPr>
      </w:pPr>
    </w:p>
    <w:p w14:paraId="38B5567A">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（受益人名称）</w:t>
      </w:r>
      <w:r>
        <w:rPr>
          <w:rFonts w:hint="eastAsia" w:ascii="Times New Roman" w:hAnsi="Times New Roman"/>
          <w:smallCaps w:val="0"/>
          <w:color w:val="000000" w:themeColor="text1"/>
          <w:highlight w:val="none"/>
          <w:lang w:eastAsia="zh-CN"/>
          <w14:textFill>
            <w14:solidFill>
              <w14:schemeClr w14:val="tx1"/>
            </w14:solidFill>
          </w14:textFill>
        </w:rPr>
        <w:t>：</w:t>
      </w:r>
    </w:p>
    <w:p w14:paraId="019B1C0E">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262B0842">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鉴于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（以下简称“受益人”）与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（以下简称“申请人”）于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日就</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（标段编号）的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（标段名称）有关事项协商一致共同签订《</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基础合同”），开立人根据基础合同了解到申请人为基础合同项下之承包人，受益人为基础合同项下之发包人，基于申请人的请求，开立人同意就申请人履行与受益人签订的基础合同项下的义务，向受益人提供不可撤销、不可转让的见索即付独立保函（以下简称“本保函”）</w:t>
      </w:r>
      <w:r>
        <w:rPr>
          <w:rFonts w:hint="eastAsia" w:ascii="Times New Roman" w:hAnsi="Times New Roman"/>
          <w:smallCaps w:val="0"/>
          <w:color w:val="000000" w:themeColor="text1"/>
          <w:highlight w:val="none"/>
          <w:lang w:eastAsia="zh-CN"/>
          <w14:textFill>
            <w14:solidFill>
              <w14:schemeClr w14:val="tx1"/>
            </w14:solidFill>
          </w14:textFill>
        </w:rPr>
        <w:t>。</w:t>
      </w:r>
    </w:p>
    <w:p w14:paraId="2314C28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一、本保函担保范围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承包人未按照基础合同的约定履行义务，应当向受益人承担的违约责任和赔偿因此造成的损失、利息、律师费、诉讼费用等实现债权的费用。</w:t>
      </w:r>
    </w:p>
    <w:p w14:paraId="743D2200">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二、本保函担保金额最高不超过人民币（大写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p>
    <w:p w14:paraId="20F29911">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三、本保函有效期自开立之日起至基础合同约定的缺陷责任期满之日止</w:t>
      </w:r>
      <w:r>
        <w:rPr>
          <w:rFonts w:hint="eastAsia" w:ascii="Times New Roman" w:hAnsi="Times New Roman"/>
          <w:smallCaps w:val="0"/>
          <w:color w:val="000000" w:themeColor="text1"/>
          <w:highlight w:val="none"/>
          <w:lang w:eastAsia="zh-CN"/>
          <w14:textFill>
            <w14:solidFill>
              <w14:schemeClr w14:val="tx1"/>
            </w14:solidFill>
          </w14:textFill>
        </w:rPr>
        <w:t>。</w:t>
      </w:r>
    </w:p>
    <w:p w14:paraId="798FAB3F">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bookmarkStart w:id="1301" w:name="_Hlk40302764"/>
      <w:r>
        <w:rPr>
          <w:rFonts w:hint="eastAsia" w:ascii="Times New Roman" w:hAnsi="Times New Roman"/>
          <w:smallCaps w:val="0"/>
          <w:color w:val="000000" w:themeColor="text1"/>
          <w:highlight w:val="none"/>
          <w14:textFill>
            <w14:solidFill>
              <w14:schemeClr w14:val="tx1"/>
            </w14:solidFill>
          </w14:textFill>
        </w:rPr>
        <w:t>四、开立人承诺，在收到受益人发来的书面付款通知后的七日内无条件支付，前述书面付款通知即为付款要求之单据，且应满足以下要求</w:t>
      </w:r>
      <w:r>
        <w:rPr>
          <w:rFonts w:hint="eastAsia" w:ascii="Times New Roman" w:hAnsi="Times New Roman"/>
          <w:smallCaps w:val="0"/>
          <w:color w:val="000000" w:themeColor="text1"/>
          <w:highlight w:val="none"/>
          <w:lang w:eastAsia="zh-CN"/>
          <w14:textFill>
            <w14:solidFill>
              <w14:schemeClr w14:val="tx1"/>
            </w14:solidFill>
          </w14:textFill>
        </w:rPr>
        <w:t>：</w:t>
      </w:r>
    </w:p>
    <w:bookmarkEnd w:id="1301"/>
    <w:p w14:paraId="0A37B7D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（1）付款通知到达的日期在本保函的有效期内；</w:t>
      </w:r>
    </w:p>
    <w:p w14:paraId="53CFE05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（2）载明要求支付的金额；</w:t>
      </w:r>
    </w:p>
    <w:p w14:paraId="6A88F73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（3）载明申请人违反合同义务的条款和内容；</w:t>
      </w:r>
    </w:p>
    <w:p w14:paraId="6976821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（4）声明不存在合同文件约定或我国法律规定免除申请人或开立人支付责任的情形；</w:t>
      </w:r>
    </w:p>
    <w:p w14:paraId="5D8F4EE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（5）付款通知应在本保函有效期内到达的地址是</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72FD9E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bookmarkStart w:id="1302" w:name="_Hlk40303486"/>
      <w:r>
        <w:rPr>
          <w:rFonts w:hint="eastAsia" w:ascii="Times New Roman" w:hAnsi="Times New Roman"/>
          <w:smallCaps w:val="0"/>
          <w:color w:val="000000" w:themeColor="text1"/>
          <w:highlight w:val="none"/>
          <w14:textFill>
            <w14:solidFill>
              <w14:schemeClr w14:val="tx1"/>
            </w14:solidFill>
          </w14:textFill>
        </w:rPr>
        <w:t>受益人发出的书面付款通知应由其法定代表人（负责人）或授权代理人签字并加盖公章。</w:t>
      </w:r>
      <w:bookmarkEnd w:id="1302"/>
    </w:p>
    <w:p w14:paraId="25DBF597">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五、本保函项下的权利不得转让，不得设定担保。受益人未经我方书面同意转 让本保函或其项下任何权利，对我方不发生法律效力</w:t>
      </w:r>
      <w:r>
        <w:rPr>
          <w:rFonts w:hint="eastAsia" w:ascii="Times New Roman" w:hAnsi="Times New Roman"/>
          <w:smallCaps w:val="0"/>
          <w:color w:val="000000" w:themeColor="text1"/>
          <w:highlight w:val="none"/>
          <w:lang w:eastAsia="zh-CN"/>
          <w14:textFill>
            <w14:solidFill>
              <w14:schemeClr w14:val="tx1"/>
            </w14:solidFill>
          </w14:textFill>
        </w:rPr>
        <w:t>。</w:t>
      </w:r>
    </w:p>
    <w:p w14:paraId="350120B1">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六、与本保函有关的基础合同不成立、不生效、无效、被撤销、被解除，不影响本保函的独立有效</w:t>
      </w:r>
      <w:r>
        <w:rPr>
          <w:rFonts w:hint="eastAsia" w:ascii="Times New Roman" w:hAnsi="Times New Roman"/>
          <w:smallCaps w:val="0"/>
          <w:color w:val="000000" w:themeColor="text1"/>
          <w:highlight w:val="none"/>
          <w:lang w:eastAsia="zh-CN"/>
          <w14:textFill>
            <w14:solidFill>
              <w14:schemeClr w14:val="tx1"/>
            </w14:solidFill>
          </w14:textFill>
        </w:rPr>
        <w:t>。</w:t>
      </w:r>
    </w:p>
    <w:p w14:paraId="3BDB7DDA">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bookmarkStart w:id="1303" w:name="_Hlk40303383"/>
      <w:bookmarkStart w:id="1304" w:name="_Hlk40354981"/>
      <w:r>
        <w:rPr>
          <w:rFonts w:hint="eastAsia" w:ascii="Times New Roman" w:hAnsi="Times New Roman"/>
          <w:smallCaps w:val="0"/>
          <w:color w:val="000000" w:themeColor="text1"/>
          <w:highlight w:val="none"/>
          <w14:textFill>
            <w14:solidFill>
              <w14:schemeClr w14:val="tx1"/>
            </w14:solidFill>
          </w14:textFill>
        </w:rPr>
        <w:t>七、本保函项下的义务和责任均在保函有效期到期后自动消灭</w:t>
      </w:r>
      <w:r>
        <w:rPr>
          <w:rFonts w:hint="eastAsia" w:ascii="Times New Roman" w:hAnsi="Times New Roman"/>
          <w:smallCaps w:val="0"/>
          <w:color w:val="000000" w:themeColor="text1"/>
          <w:highlight w:val="none"/>
          <w:lang w:eastAsia="zh-CN"/>
          <w14:textFill>
            <w14:solidFill>
              <w14:schemeClr w14:val="tx1"/>
            </w14:solidFill>
          </w14:textFill>
        </w:rPr>
        <w:t>。</w:t>
      </w:r>
    </w:p>
    <w:p w14:paraId="719D0684">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八、本保函适用的法律为中华人民共和国法律，因本保函产生的纠纷案件，</w:t>
      </w:r>
      <w:bookmarkEnd w:id="1303"/>
      <w:r>
        <w:rPr>
          <w:rFonts w:hint="eastAsia" w:ascii="Times New Roman" w:hAnsi="Times New Roman"/>
          <w:smallCaps w:val="0"/>
          <w:color w:val="000000" w:themeColor="text1"/>
          <w:highlight w:val="none"/>
          <w14:textFill>
            <w14:solidFill>
              <w14:schemeClr w14:val="tx1"/>
            </w14:solidFill>
          </w14:textFill>
        </w:rPr>
        <w:t>由受益人所在地人民法院管辖</w:t>
      </w:r>
      <w:r>
        <w:rPr>
          <w:rFonts w:hint="eastAsia" w:ascii="Times New Roman" w:hAnsi="Times New Roman"/>
          <w:smallCaps w:val="0"/>
          <w:color w:val="000000" w:themeColor="text1"/>
          <w:highlight w:val="none"/>
          <w:lang w:eastAsia="zh-CN"/>
          <w14:textFill>
            <w14:solidFill>
              <w14:schemeClr w14:val="tx1"/>
            </w14:solidFill>
          </w14:textFill>
        </w:rPr>
        <w:t>。</w:t>
      </w:r>
    </w:p>
    <w:bookmarkEnd w:id="1304"/>
    <w:p w14:paraId="19B4F60A">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九、本保函自我方法定代表人或授权代表签字并加盖公章之日起生效</w:t>
      </w:r>
      <w:r>
        <w:rPr>
          <w:rFonts w:hint="eastAsia" w:ascii="Times New Roman" w:hAnsi="Times New Roman"/>
          <w:smallCaps w:val="0"/>
          <w:color w:val="000000" w:themeColor="text1"/>
          <w:highlight w:val="none"/>
          <w:lang w:eastAsia="zh-CN"/>
          <w14:textFill>
            <w14:solidFill>
              <w14:schemeClr w14:val="tx1"/>
            </w14:solidFill>
          </w14:textFill>
        </w:rPr>
        <w:t>。</w:t>
      </w:r>
    </w:p>
    <w:p w14:paraId="0146403A">
      <w:pPr>
        <w:pageBreakBefore w:val="0"/>
        <w:kinsoku/>
        <w:wordWrap w:val="0"/>
        <w:overflowPunct/>
        <w:bidi w:val="0"/>
        <w:rPr>
          <w:rFonts w:hint="eastAsia"/>
          <w:color w:val="000000" w:themeColor="text1"/>
          <w:highlight w:val="none"/>
          <w14:textFill>
            <w14:solidFill>
              <w14:schemeClr w14:val="tx1"/>
            </w14:solidFill>
          </w14:textFill>
        </w:rPr>
      </w:pPr>
    </w:p>
    <w:p w14:paraId="61025966">
      <w:pPr>
        <w:pageBreakBefore w:val="0"/>
        <w:kinsoku/>
        <w:wordWrap w:val="0"/>
        <w:overflowPunct/>
        <w:bidi w:val="0"/>
        <w:rPr>
          <w:rFonts w:hint="eastAsia"/>
          <w:color w:val="000000" w:themeColor="text1"/>
          <w:highlight w:val="none"/>
          <w14:textFill>
            <w14:solidFill>
              <w14:schemeClr w14:val="tx1"/>
            </w14:solidFill>
          </w14:textFill>
        </w:rPr>
      </w:pPr>
    </w:p>
    <w:p w14:paraId="2A4510D2">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 立 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（公章</w:t>
      </w:r>
      <w:r>
        <w:rPr>
          <w:rFonts w:hint="eastAsia" w:ascii="Times New Roman" w:hAnsi="Times New Roman"/>
          <w:smallCaps w:val="0"/>
          <w:color w:val="000000" w:themeColor="text1"/>
          <w:highlight w:val="none"/>
          <w:lang w:eastAsia="zh-CN"/>
          <w14:textFill>
            <w14:solidFill>
              <w14:schemeClr w14:val="tx1"/>
            </w14:solidFill>
          </w14:textFill>
        </w:rPr>
        <w:t>）</w:t>
      </w:r>
    </w:p>
    <w:p w14:paraId="2D7C23F9">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法定代表人（或授权代表）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lang w:eastAsia="zh-CN"/>
          <w14:textFill>
            <w14:solidFill>
              <w14:schemeClr w14:val="tx1"/>
            </w14:solidFill>
          </w14:textFill>
        </w:rPr>
        <w:t>）</w:t>
      </w:r>
    </w:p>
    <w:p w14:paraId="15951F9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BF4184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E95195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29D6DD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传</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4BA79FE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开立时间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6C9E072A">
      <w:pPr>
        <w:keepNext/>
        <w:keepLines/>
        <w:pageBreakBefore w:val="0"/>
        <w:kinsoku/>
        <w:wordWrap w:val="0"/>
        <w:overflowPunct/>
        <w:bidi w:val="0"/>
        <w:spacing w:before="120" w:after="120" w:line="360" w:lineRule="auto"/>
        <w:jc w:val="left"/>
        <w:outlineLvl w:val="1"/>
        <w:rPr>
          <w:rStyle w:val="78"/>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cs="宋体"/>
          <w:bCs/>
          <w:smallCaps w:val="0"/>
          <w:color w:val="000000" w:themeColor="text1"/>
          <w:sz w:val="24"/>
          <w:highlight w:val="none"/>
          <w14:textFill>
            <w14:solidFill>
              <w14:schemeClr w14:val="tx1"/>
            </w14:solidFill>
          </w14:textFill>
        </w:rPr>
        <w:br w:type="page"/>
      </w:r>
      <w:bookmarkStart w:id="1305" w:name="_Toc10741"/>
      <w:bookmarkStart w:id="1306" w:name="_Toc9721"/>
      <w:bookmarkStart w:id="1307" w:name="_Toc11047"/>
      <w:bookmarkStart w:id="1308" w:name="_Toc2112"/>
      <w:bookmarkStart w:id="1309" w:name="_Toc15642"/>
      <w:bookmarkStart w:id="1310" w:name="_Toc13566"/>
      <w:bookmarkStart w:id="1311" w:name="_Toc28897"/>
      <w:bookmarkStart w:id="1312" w:name="_Toc9234"/>
      <w:bookmarkStart w:id="1313" w:name="_Toc10522"/>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附</w:t>
      </w:r>
      <w:bookmarkStart w:id="1314" w:name="_Toc296891272"/>
      <w:bookmarkStart w:id="1315" w:name="_Toc296944571"/>
      <w:bookmarkStart w:id="1316" w:name="_Toc296503232"/>
      <w:bookmarkStart w:id="1317" w:name="_Toc296347231"/>
      <w:bookmarkStart w:id="1318" w:name="_Toc296346733"/>
      <w:bookmarkStart w:id="1319" w:name="_Toc267261702"/>
      <w:bookmarkStart w:id="1320" w:name="_Toc296891060"/>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件10：预付款担保</w:t>
      </w:r>
      <w:bookmarkEnd w:id="1305"/>
      <w:bookmarkEnd w:id="1306"/>
      <w:bookmarkEnd w:id="1307"/>
      <w:bookmarkEnd w:id="1308"/>
      <w:bookmarkEnd w:id="1309"/>
      <w:bookmarkEnd w:id="1310"/>
      <w:bookmarkEnd w:id="1311"/>
      <w:bookmarkEnd w:id="1312"/>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格式</w:t>
      </w:r>
      <w:bookmarkEnd w:id="1313"/>
    </w:p>
    <w:bookmarkEnd w:id="1314"/>
    <w:bookmarkEnd w:id="1315"/>
    <w:bookmarkEnd w:id="1316"/>
    <w:bookmarkEnd w:id="1317"/>
    <w:bookmarkEnd w:id="1318"/>
    <w:bookmarkEnd w:id="1319"/>
    <w:bookmarkEnd w:id="1320"/>
    <w:p w14:paraId="7C92D9C5">
      <w:pPr>
        <w:pStyle w:val="66"/>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bookmarkStart w:id="1321" w:name="_Toc2932"/>
      <w:bookmarkStart w:id="1322" w:name="_Toc17221"/>
      <w:bookmarkStart w:id="1323" w:name="_Toc15322"/>
      <w:bookmarkStart w:id="1324" w:name="_Toc30414"/>
      <w:bookmarkStart w:id="1325" w:name="_Toc28674"/>
      <w:bookmarkStart w:id="1326" w:name="_Toc20767"/>
      <w:bookmarkStart w:id="1327" w:name="_Toc27857"/>
      <w:bookmarkStart w:id="1328" w:name="_Toc25755"/>
      <w:r>
        <w:rPr>
          <w:rFonts w:hint="eastAsia" w:ascii="Times New Roman" w:hAnsi="Times New Roman"/>
          <w:smallCaps w:val="0"/>
          <w:color w:val="000000" w:themeColor="text1"/>
          <w:highlight w:val="none"/>
          <w14:textFill>
            <w14:solidFill>
              <w14:schemeClr w14:val="tx1"/>
            </w14:solidFill>
          </w14:textFill>
        </w:rPr>
        <w:t>预付款保函示范文本</w:t>
      </w:r>
      <w:bookmarkEnd w:id="1321"/>
      <w:bookmarkEnd w:id="1322"/>
      <w:bookmarkEnd w:id="1323"/>
      <w:bookmarkEnd w:id="1324"/>
      <w:bookmarkEnd w:id="1325"/>
      <w:bookmarkEnd w:id="1326"/>
      <w:bookmarkEnd w:id="1327"/>
      <w:bookmarkEnd w:id="1328"/>
    </w:p>
    <w:p w14:paraId="2AD60272">
      <w:pPr>
        <w:pStyle w:val="79"/>
        <w:pageBreakBefore w:val="0"/>
        <w:kinsoku/>
        <w:wordWrap w:val="0"/>
        <w:overflowPunct/>
        <w:bidi w:val="0"/>
        <w:jc w:val="righ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编号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p>
    <w:p w14:paraId="0090AA40">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Cs w:val="21"/>
          <w:highlight w:val="none"/>
          <w14:textFill>
            <w14:solidFill>
              <w14:schemeClr w14:val="tx1"/>
            </w14:solidFill>
          </w14:textFill>
        </w:rPr>
      </w:pPr>
    </w:p>
    <w:p w14:paraId="5860C431">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（受益人名称）</w:t>
      </w:r>
      <w:r>
        <w:rPr>
          <w:rFonts w:hint="eastAsia" w:ascii="Times New Roman" w:hAnsi="Times New Roman"/>
          <w:smallCaps w:val="0"/>
          <w:color w:val="000000" w:themeColor="text1"/>
          <w:highlight w:val="none"/>
          <w:lang w:eastAsia="zh-CN"/>
          <w14:textFill>
            <w14:solidFill>
              <w14:schemeClr w14:val="tx1"/>
            </w14:solidFill>
          </w14:textFill>
        </w:rPr>
        <w:t>：</w:t>
      </w:r>
    </w:p>
    <w:p w14:paraId="54931BF6">
      <w:pPr>
        <w:pageBreakBefore w:val="0"/>
        <w:kinsoku/>
        <w:wordWrap w:val="0"/>
        <w:overflowPunct/>
        <w:bidi w:val="0"/>
        <w:rPr>
          <w:rFonts w:hint="eastAsia"/>
          <w:color w:val="000000" w:themeColor="text1"/>
          <w:highlight w:val="none"/>
          <w14:textFill>
            <w14:solidFill>
              <w14:schemeClr w14:val="tx1"/>
            </w14:solidFill>
          </w14:textFill>
        </w:rPr>
      </w:pPr>
    </w:p>
    <w:p w14:paraId="2A8BF6A8">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鉴于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（以下简称“受益人”）与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（以下简称“申请人”）于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日就</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（标段编号）的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（标段名称）有关事项协商一致共同签订《</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基础合同”），开立人根据主合同了解到申请人为主合同项下之承包人，受益人为主合同项下之发包人，基于申请人的请求，开立人同意就申请人按照合同约定正确和合理地为合同目的使用预付款，向受益人提供不可撤销、不可转让的见索即付独立保函（以下简称“本保函”）</w:t>
      </w:r>
      <w:r>
        <w:rPr>
          <w:rFonts w:hint="eastAsia" w:ascii="Times New Roman" w:hAnsi="Times New Roman"/>
          <w:smallCaps w:val="0"/>
          <w:color w:val="000000" w:themeColor="text1"/>
          <w:highlight w:val="none"/>
          <w:lang w:eastAsia="zh-CN"/>
          <w14:textFill>
            <w14:solidFill>
              <w14:schemeClr w14:val="tx1"/>
            </w14:solidFill>
          </w14:textFill>
        </w:rPr>
        <w:t>。</w:t>
      </w:r>
    </w:p>
    <w:p w14:paraId="16FD582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一、本保函担保范围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申请人未按照合同约定正确和合理地为合同目的使用预付款，应当向受益人承担的违约责任和赔偿因此造成的损失、利息、律师费、诉讼费用等实现债权的费用。</w:t>
      </w:r>
    </w:p>
    <w:p w14:paraId="2847AD4F">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二、本保函担保金额最高不超过人民币（大写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p>
    <w:p w14:paraId="5EA2C55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三、本保函有效期自开立之日起至发包人全额扣回预付款之日止。</w:t>
      </w:r>
    </w:p>
    <w:p w14:paraId="6986795F">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四、开立人承诺，在收到受益人发来的书面付款通知后的七日内无条件支付，前述书面付款通知即为付款要求之单据，且应满足以下要求</w:t>
      </w:r>
      <w:r>
        <w:rPr>
          <w:rFonts w:hint="eastAsia" w:ascii="Times New Roman" w:hAnsi="Times New Roman"/>
          <w:smallCaps w:val="0"/>
          <w:color w:val="000000" w:themeColor="text1"/>
          <w:highlight w:val="none"/>
          <w:lang w:eastAsia="zh-CN"/>
          <w14:textFill>
            <w14:solidFill>
              <w14:schemeClr w14:val="tx1"/>
            </w14:solidFill>
          </w14:textFill>
        </w:rPr>
        <w:t>：</w:t>
      </w:r>
    </w:p>
    <w:p w14:paraId="4ACC6FE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（1）付款通知到达的日期在本保函的有效期内；</w:t>
      </w:r>
    </w:p>
    <w:p w14:paraId="3723C24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（2）载明要求支付的金额；</w:t>
      </w:r>
    </w:p>
    <w:p w14:paraId="21E9CE3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（3）载明申请人违反合同义务的条款和内容；</w:t>
      </w:r>
    </w:p>
    <w:p w14:paraId="69360A3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（4）声明不存在合同文件约定或我国法律规定免除申请人或开立人支付责任的情形；</w:t>
      </w:r>
    </w:p>
    <w:p w14:paraId="62EB0F7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（5）付款通知应在本保函有效期内到达的地址是</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1DCE42F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受益人发出的书面付款通知应由其法定代表人（负责人）或授权代理人签字并加盖公章。</w:t>
      </w:r>
    </w:p>
    <w:p w14:paraId="4B007D4C">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五、本保函项下的权利不得转让，不得设定担保。受益人未经开立人书面同意转让本保函或其项下任何权利，对开立人不发生法律效力</w:t>
      </w:r>
      <w:r>
        <w:rPr>
          <w:rFonts w:hint="eastAsia" w:ascii="Times New Roman" w:hAnsi="Times New Roman"/>
          <w:smallCaps w:val="0"/>
          <w:color w:val="000000" w:themeColor="text1"/>
          <w:highlight w:val="none"/>
          <w:lang w:eastAsia="zh-CN"/>
          <w14:textFill>
            <w14:solidFill>
              <w14:schemeClr w14:val="tx1"/>
            </w14:solidFill>
          </w14:textFill>
        </w:rPr>
        <w:t>。</w:t>
      </w:r>
    </w:p>
    <w:p w14:paraId="6F53499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六、本保函项下的基础交易不成立、不生效、无效、被撤销、被解除，不影响本保函的独立有效。</w:t>
      </w:r>
    </w:p>
    <w:p w14:paraId="6C619EA8">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七、本保函项下的义务和责任均在保函有效期到期后自动消灭</w:t>
      </w:r>
      <w:r>
        <w:rPr>
          <w:rFonts w:hint="eastAsia" w:ascii="Times New Roman" w:hAnsi="Times New Roman"/>
          <w:smallCaps w:val="0"/>
          <w:color w:val="000000" w:themeColor="text1"/>
          <w:highlight w:val="none"/>
          <w:lang w:eastAsia="zh-CN"/>
          <w14:textFill>
            <w14:solidFill>
              <w14:schemeClr w14:val="tx1"/>
            </w14:solidFill>
          </w14:textFill>
        </w:rPr>
        <w:t>。</w:t>
      </w:r>
    </w:p>
    <w:p w14:paraId="4F56C6D2">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八、本保函适用的法律为中华人民共和国法律，因本保函产生的纠纷案件，由受益人所在地人民法院管辖</w:t>
      </w:r>
      <w:r>
        <w:rPr>
          <w:rFonts w:hint="eastAsia" w:ascii="Times New Roman" w:hAnsi="Times New Roman"/>
          <w:smallCaps w:val="0"/>
          <w:color w:val="000000" w:themeColor="text1"/>
          <w:highlight w:val="none"/>
          <w:lang w:eastAsia="zh-CN"/>
          <w14:textFill>
            <w14:solidFill>
              <w14:schemeClr w14:val="tx1"/>
            </w14:solidFill>
          </w14:textFill>
        </w:rPr>
        <w:t>。</w:t>
      </w:r>
    </w:p>
    <w:p w14:paraId="726AF282">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九、本保函自我方法定代表人或授权代表签字并加盖公章之日起生效</w:t>
      </w:r>
      <w:r>
        <w:rPr>
          <w:rFonts w:hint="eastAsia" w:ascii="Times New Roman" w:hAnsi="Times New Roman"/>
          <w:smallCaps w:val="0"/>
          <w:color w:val="000000" w:themeColor="text1"/>
          <w:highlight w:val="none"/>
          <w:lang w:eastAsia="zh-CN"/>
          <w14:textFill>
            <w14:solidFill>
              <w14:schemeClr w14:val="tx1"/>
            </w14:solidFill>
          </w14:textFill>
        </w:rPr>
        <w:t>。</w:t>
      </w:r>
    </w:p>
    <w:p w14:paraId="01117AA5">
      <w:pPr>
        <w:pageBreakBefore w:val="0"/>
        <w:kinsoku/>
        <w:wordWrap w:val="0"/>
        <w:overflowPunct/>
        <w:bidi w:val="0"/>
        <w:rPr>
          <w:rFonts w:hint="eastAsia"/>
          <w:color w:val="000000" w:themeColor="text1"/>
          <w:highlight w:val="none"/>
          <w14:textFill>
            <w14:solidFill>
              <w14:schemeClr w14:val="tx1"/>
            </w14:solidFill>
          </w14:textFill>
        </w:rPr>
      </w:pPr>
    </w:p>
    <w:p w14:paraId="7ACB1524">
      <w:pPr>
        <w:pageBreakBefore w:val="0"/>
        <w:kinsoku/>
        <w:wordWrap w:val="0"/>
        <w:overflowPunct/>
        <w:bidi w:val="0"/>
        <w:rPr>
          <w:rFonts w:hint="eastAsia"/>
          <w:color w:val="000000" w:themeColor="text1"/>
          <w:highlight w:val="none"/>
          <w14:textFill>
            <w14:solidFill>
              <w14:schemeClr w14:val="tx1"/>
            </w14:solidFill>
          </w14:textFill>
        </w:rPr>
      </w:pPr>
    </w:p>
    <w:p w14:paraId="3CCCC9F7">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 立 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（公章</w:t>
      </w:r>
      <w:r>
        <w:rPr>
          <w:rFonts w:hint="eastAsia" w:ascii="Times New Roman" w:hAnsi="Times New Roman"/>
          <w:smallCaps w:val="0"/>
          <w:color w:val="000000" w:themeColor="text1"/>
          <w:highlight w:val="none"/>
          <w:lang w:eastAsia="zh-CN"/>
          <w14:textFill>
            <w14:solidFill>
              <w14:schemeClr w14:val="tx1"/>
            </w14:solidFill>
          </w14:textFill>
        </w:rPr>
        <w:t>）</w:t>
      </w:r>
    </w:p>
    <w:p w14:paraId="77EA14D0">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法定代表人（或授权代表）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lang w:eastAsia="zh-CN"/>
          <w14:textFill>
            <w14:solidFill>
              <w14:schemeClr w14:val="tx1"/>
            </w14:solidFill>
          </w14:textFill>
        </w:rPr>
        <w:t>）</w:t>
      </w:r>
    </w:p>
    <w:p w14:paraId="31F55C2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931FC3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C0BE86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1FCF6DF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传</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5D2F4A6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开立时间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3D8050B7">
      <w:pPr>
        <w:keepNext/>
        <w:keepLines/>
        <w:pageBreakBefore w:val="0"/>
        <w:kinsoku/>
        <w:wordWrap w:val="0"/>
        <w:overflowPunct/>
        <w:bidi w:val="0"/>
        <w:adjustRightInd w:val="0"/>
        <w:snapToGrid w:val="0"/>
        <w:spacing w:line="360" w:lineRule="auto"/>
        <w:jc w:val="left"/>
        <w:outlineLvl w:val="1"/>
        <w:rPr>
          <w:rStyle w:val="78"/>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cs="宋体"/>
          <w:b/>
          <w:bCs/>
          <w:smallCaps w:val="0"/>
          <w:color w:val="000000" w:themeColor="text1"/>
          <w:sz w:val="24"/>
          <w:highlight w:val="none"/>
          <w14:textFill>
            <w14:solidFill>
              <w14:schemeClr w14:val="tx1"/>
            </w14:solidFill>
          </w14:textFill>
        </w:rPr>
        <w:br w:type="page"/>
      </w:r>
      <w:bookmarkStart w:id="1329" w:name="_Toc3127"/>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附</w:t>
      </w:r>
      <w:bookmarkStart w:id="1330" w:name="_Toc296347232"/>
      <w:bookmarkStart w:id="1331" w:name="_Toc296891061"/>
      <w:bookmarkStart w:id="1332" w:name="_Toc296503233"/>
      <w:bookmarkStart w:id="1333" w:name="_Toc296891273"/>
      <w:bookmarkStart w:id="1334" w:name="_Toc296944572"/>
      <w:bookmarkStart w:id="1335" w:name="_Toc296346734"/>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件11：支付担保</w:t>
      </w:r>
      <w:bookmarkEnd w:id="1330"/>
      <w:bookmarkEnd w:id="1331"/>
      <w:bookmarkEnd w:id="1332"/>
      <w:bookmarkEnd w:id="1333"/>
      <w:bookmarkEnd w:id="1334"/>
      <w:bookmarkEnd w:id="1335"/>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格式</w:t>
      </w:r>
      <w:bookmarkEnd w:id="1329"/>
    </w:p>
    <w:p w14:paraId="6388C7FD">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bookmarkStart w:id="1336" w:name="_Toc23496"/>
      <w:bookmarkStart w:id="1337" w:name="_Toc8212"/>
      <w:bookmarkStart w:id="1338" w:name="_Toc7162"/>
      <w:bookmarkStart w:id="1339" w:name="_Toc3220"/>
      <w:bookmarkStart w:id="1340" w:name="_Toc29590"/>
      <w:bookmarkStart w:id="1341" w:name="_Toc3562"/>
      <w:bookmarkStart w:id="1342" w:name="_Toc8319"/>
      <w:bookmarkStart w:id="1343" w:name="_Toc20592"/>
      <w:r>
        <w:rPr>
          <w:rFonts w:hint="eastAsia" w:ascii="Times New Roman" w:hAnsi="Times New Roman"/>
          <w:smallCaps w:val="0"/>
          <w:color w:val="000000" w:themeColor="text1"/>
          <w:highlight w:val="none"/>
          <w14:textFill>
            <w14:solidFill>
              <w14:schemeClr w14:val="tx1"/>
            </w14:solidFill>
          </w14:textFill>
        </w:rPr>
        <w:t>支付保函示范文本</w:t>
      </w:r>
      <w:bookmarkEnd w:id="1336"/>
      <w:bookmarkEnd w:id="1337"/>
      <w:bookmarkEnd w:id="1338"/>
      <w:bookmarkEnd w:id="1339"/>
      <w:bookmarkEnd w:id="1340"/>
      <w:bookmarkEnd w:id="1341"/>
      <w:bookmarkEnd w:id="1342"/>
      <w:bookmarkEnd w:id="1343"/>
    </w:p>
    <w:p w14:paraId="50A70949">
      <w:pPr>
        <w:pStyle w:val="79"/>
        <w:pageBreakBefore w:val="0"/>
        <w:kinsoku/>
        <w:wordWrap w:val="0"/>
        <w:overflowPunct/>
        <w:bidi w:val="0"/>
        <w:jc w:val="righ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编号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p>
    <w:p w14:paraId="633DF580">
      <w:pPr>
        <w:pageBreakBefore w:val="0"/>
        <w:kinsoku/>
        <w:wordWrap w:val="0"/>
        <w:overflowPunct/>
        <w:bidi w:val="0"/>
        <w:adjustRightInd w:val="0"/>
        <w:snapToGrid w:val="0"/>
        <w:spacing w:line="360" w:lineRule="auto"/>
        <w:rPr>
          <w:rFonts w:hint="eastAsia" w:ascii="Times New Roman" w:hAnsi="Times New Roman" w:cs="宋体"/>
          <w:smallCaps w:val="0"/>
          <w:color w:val="000000" w:themeColor="text1"/>
          <w:szCs w:val="21"/>
          <w:highlight w:val="none"/>
          <w14:textFill>
            <w14:solidFill>
              <w14:schemeClr w14:val="tx1"/>
            </w14:solidFill>
          </w14:textFill>
        </w:rPr>
      </w:pPr>
    </w:p>
    <w:p w14:paraId="24BD7014">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lang w:eastAsia="zh-CN"/>
          <w14:textFill>
            <w14:solidFill>
              <w14:schemeClr w14:val="tx1"/>
            </w14:solidFill>
          </w14:textFill>
        </w:rPr>
      </w:pPr>
      <w:bookmarkStart w:id="1344" w:name="_Hlk40355074"/>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（受益人名称）</w:t>
      </w:r>
      <w:r>
        <w:rPr>
          <w:rFonts w:hint="eastAsia" w:ascii="Times New Roman" w:hAnsi="Times New Roman"/>
          <w:smallCaps w:val="0"/>
          <w:color w:val="000000" w:themeColor="text1"/>
          <w:highlight w:val="none"/>
          <w:lang w:eastAsia="zh-CN"/>
          <w14:textFill>
            <w14:solidFill>
              <w14:schemeClr w14:val="tx1"/>
            </w14:solidFill>
          </w14:textFill>
        </w:rPr>
        <w:t>：</w:t>
      </w:r>
      <w:bookmarkEnd w:id="1344"/>
    </w:p>
    <w:p w14:paraId="2077F5F5">
      <w:pPr>
        <w:pageBreakBefore w:val="0"/>
        <w:kinsoku/>
        <w:wordWrap w:val="0"/>
        <w:overflowPunct/>
        <w:bidi w:val="0"/>
        <w:rPr>
          <w:rFonts w:hint="eastAsia"/>
          <w:color w:val="000000" w:themeColor="text1"/>
          <w:highlight w:val="none"/>
          <w:lang w:eastAsia="zh-CN"/>
          <w14:textFill>
            <w14:solidFill>
              <w14:schemeClr w14:val="tx1"/>
            </w14:solidFill>
          </w14:textFill>
        </w:rPr>
      </w:pPr>
    </w:p>
    <w:p w14:paraId="65E486D1">
      <w:pPr>
        <w:pStyle w:val="79"/>
        <w:pageBreakBefore w:val="0"/>
        <w:kinsoku/>
        <w:wordWrap w:val="0"/>
        <w:overflowPunct/>
        <w:bidi w:val="0"/>
        <w:ind w:left="0" w:leftChars="0" w:firstLine="420" w:firstLineChars="20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鉴于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（以下简称“受益人”）与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（以下简称“申请人”）于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日就</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（标段编号）的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（标段名称）有关事项协商一致共同签订《</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基础合同”），开立人根据基础合同了解到申请人为基础合同项下之发包人，受益人为基础合同项下之承包人，基于申请人的请求，开立人同意就申请人履行与受益人签订的基础合同项下的工程款（指基础合同约定的除工程质量保修金以外的工程款）付款义务，向受益人提供不可撤销、不可转让的见索即付独立保函（以下简称“本保函”）</w:t>
      </w:r>
      <w:r>
        <w:rPr>
          <w:rFonts w:hint="eastAsia" w:ascii="Times New Roman" w:hAnsi="Times New Roman"/>
          <w:smallCaps w:val="0"/>
          <w:color w:val="000000" w:themeColor="text1"/>
          <w:highlight w:val="none"/>
          <w:lang w:eastAsia="zh-CN"/>
          <w14:textFill>
            <w14:solidFill>
              <w14:schemeClr w14:val="tx1"/>
            </w14:solidFill>
          </w14:textFill>
        </w:rPr>
        <w:t>。</w:t>
      </w:r>
    </w:p>
    <w:p w14:paraId="7C15847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一、本保函担保范围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申请人未履行基础合同约定的工程款支付义务，应当向受益人承担的违约责任和赔偿因此造成的损失、利息、律师费、诉讼费用等实现债权的费用。</w:t>
      </w:r>
    </w:p>
    <w:p w14:paraId="2C5AC111">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二、本保函担保金额最高不超过人民币（大写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w:t>
      </w:r>
    </w:p>
    <w:p w14:paraId="369C1F28">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三、本保函有效期自开立之日起至基础合同约定的除工程质量保修金以外的全部工程结算款项支付之日后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日止</w:t>
      </w:r>
      <w:r>
        <w:rPr>
          <w:rFonts w:hint="eastAsia" w:ascii="Times New Roman" w:hAnsi="Times New Roman"/>
          <w:smallCaps w:val="0"/>
          <w:color w:val="000000" w:themeColor="text1"/>
          <w:highlight w:val="none"/>
          <w:lang w:eastAsia="zh-CN"/>
          <w14:textFill>
            <w14:solidFill>
              <w14:schemeClr w14:val="tx1"/>
            </w14:solidFill>
          </w14:textFill>
        </w:rPr>
        <w:t>。</w:t>
      </w:r>
    </w:p>
    <w:p w14:paraId="13E08992">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四、开立人承诺，在收到受益人发来的书面付款通知后的七日内无条件支付，前述书面付款通知即为付款要求之单据，且应满足以下要求</w:t>
      </w:r>
      <w:r>
        <w:rPr>
          <w:rFonts w:hint="eastAsia" w:ascii="Times New Roman" w:hAnsi="Times New Roman"/>
          <w:smallCaps w:val="0"/>
          <w:color w:val="000000" w:themeColor="text1"/>
          <w:highlight w:val="none"/>
          <w:lang w:eastAsia="zh-CN"/>
          <w14:textFill>
            <w14:solidFill>
              <w14:schemeClr w14:val="tx1"/>
            </w14:solidFill>
          </w14:textFill>
        </w:rPr>
        <w:t>：</w:t>
      </w:r>
    </w:p>
    <w:p w14:paraId="07C55A2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（1）付款通知到达的日期在本保函的有效期内；</w:t>
      </w:r>
    </w:p>
    <w:p w14:paraId="37EFAEF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（2）载明要求支付的金额；</w:t>
      </w:r>
    </w:p>
    <w:p w14:paraId="401BE81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（3）载明申请人违反合同义务的条款和内容；</w:t>
      </w:r>
    </w:p>
    <w:p w14:paraId="7E65A8A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（4）声明不存在合同文件约定或我国法律规定免除申请人或开立人支付责任的情形；</w:t>
      </w:r>
    </w:p>
    <w:p w14:paraId="6C9489E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（5）付款通知应在本保函有效期内到达的地址是</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0C8C779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受益人发出的书面付款通知应由其法定代表人（负责人）或授权代理人签字并加盖公章。</w:t>
      </w:r>
    </w:p>
    <w:p w14:paraId="7B76D354">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五、本保函项下的权利不得转让，不得设定担保。受益人未经开立人书面同意转让本保函或其项下任何权利，对开立人不发生法律效力</w:t>
      </w:r>
      <w:r>
        <w:rPr>
          <w:rFonts w:hint="eastAsia" w:ascii="Times New Roman" w:hAnsi="Times New Roman"/>
          <w:smallCaps w:val="0"/>
          <w:color w:val="000000" w:themeColor="text1"/>
          <w:highlight w:val="none"/>
          <w:lang w:eastAsia="zh-CN"/>
          <w14:textFill>
            <w14:solidFill>
              <w14:schemeClr w14:val="tx1"/>
            </w14:solidFill>
          </w14:textFill>
        </w:rPr>
        <w:t>。</w:t>
      </w:r>
    </w:p>
    <w:p w14:paraId="3E24D5B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六、本保函项下的基础交易不成立、不生效、无效、被撤销、被解除，不影响本保函的独立有效。</w:t>
      </w:r>
    </w:p>
    <w:p w14:paraId="4FCA4898">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七、本保函项下的义务和责任均在保函有效期到期后自动消灭</w:t>
      </w:r>
      <w:r>
        <w:rPr>
          <w:rFonts w:hint="eastAsia" w:ascii="Times New Roman" w:hAnsi="Times New Roman"/>
          <w:smallCaps w:val="0"/>
          <w:color w:val="000000" w:themeColor="text1"/>
          <w:highlight w:val="none"/>
          <w:lang w:eastAsia="zh-CN"/>
          <w14:textFill>
            <w14:solidFill>
              <w14:schemeClr w14:val="tx1"/>
            </w14:solidFill>
          </w14:textFill>
        </w:rPr>
        <w:t>。</w:t>
      </w:r>
    </w:p>
    <w:p w14:paraId="4C5DE7C1">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八、本保函适用的法律为中华人民共和国法律，因本保函产生的纠纷案件，由申请人所在地人民法院管辖</w:t>
      </w:r>
      <w:r>
        <w:rPr>
          <w:rFonts w:hint="eastAsia" w:ascii="Times New Roman" w:hAnsi="Times New Roman"/>
          <w:smallCaps w:val="0"/>
          <w:color w:val="000000" w:themeColor="text1"/>
          <w:highlight w:val="none"/>
          <w:lang w:eastAsia="zh-CN"/>
          <w14:textFill>
            <w14:solidFill>
              <w14:schemeClr w14:val="tx1"/>
            </w14:solidFill>
          </w14:textFill>
        </w:rPr>
        <w:t>。</w:t>
      </w:r>
    </w:p>
    <w:p w14:paraId="0695A04F">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九、本保函自我方法定代表人或授权代表签字并加盖公章之日起生效</w:t>
      </w:r>
      <w:r>
        <w:rPr>
          <w:rFonts w:hint="eastAsia" w:ascii="Times New Roman" w:hAnsi="Times New Roman"/>
          <w:smallCaps w:val="0"/>
          <w:color w:val="000000" w:themeColor="text1"/>
          <w:highlight w:val="none"/>
          <w:lang w:eastAsia="zh-CN"/>
          <w14:textFill>
            <w14:solidFill>
              <w14:schemeClr w14:val="tx1"/>
            </w14:solidFill>
          </w14:textFill>
        </w:rPr>
        <w:t>。</w:t>
      </w:r>
    </w:p>
    <w:p w14:paraId="4C4D15F9">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 立 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（公章</w:t>
      </w:r>
      <w:r>
        <w:rPr>
          <w:rFonts w:hint="eastAsia" w:ascii="Times New Roman" w:hAnsi="Times New Roman"/>
          <w:smallCaps w:val="0"/>
          <w:color w:val="000000" w:themeColor="text1"/>
          <w:highlight w:val="none"/>
          <w:lang w:eastAsia="zh-CN"/>
          <w14:textFill>
            <w14:solidFill>
              <w14:schemeClr w14:val="tx1"/>
            </w14:solidFill>
          </w14:textFill>
        </w:rPr>
        <w:t>）</w:t>
      </w:r>
    </w:p>
    <w:p w14:paraId="1C9A1B6B">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法定代表人（或授权代表）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lang w:eastAsia="zh-CN"/>
          <w14:textFill>
            <w14:solidFill>
              <w14:schemeClr w14:val="tx1"/>
            </w14:solidFill>
          </w14:textFill>
        </w:rPr>
        <w:t>）</w:t>
      </w:r>
    </w:p>
    <w:p w14:paraId="0C4C65D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5DF9AA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666180A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584844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传</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2969F3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开立时间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35F3E240">
      <w:pPr>
        <w:keepNext/>
        <w:keepLines/>
        <w:pageBreakBefore w:val="0"/>
        <w:kinsoku/>
        <w:wordWrap w:val="0"/>
        <w:overflowPunct/>
        <w:bidi w:val="0"/>
        <w:adjustRightInd w:val="0"/>
        <w:snapToGrid w:val="0"/>
        <w:spacing w:line="360" w:lineRule="auto"/>
        <w:jc w:val="left"/>
        <w:outlineLvl w:val="1"/>
        <w:rPr>
          <w:rStyle w:val="78"/>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Cs/>
          <w:smallCaps w:val="0"/>
          <w:color w:val="000000" w:themeColor="text1"/>
          <w:sz w:val="24"/>
          <w:highlight w:val="none"/>
          <w14:textFill>
            <w14:solidFill>
              <w14:schemeClr w14:val="tx1"/>
            </w14:solidFill>
          </w14:textFill>
        </w:rPr>
        <w:br w:type="page"/>
      </w:r>
      <w:bookmarkStart w:id="1345" w:name="_Toc25556"/>
      <w:r>
        <w:rPr>
          <w:rStyle w:val="78"/>
          <w:rFonts w:hint="eastAsia" w:ascii="Times New Roman" w:hAnsi="Times New Roman"/>
          <w:b w:val="0"/>
          <w:smallCaps w:val="0"/>
          <w:color w:val="000000" w:themeColor="text1"/>
          <w:highlight w:val="none"/>
          <w:lang w:val="en-US" w:eastAsia="zh-CN"/>
          <w14:textFill>
            <w14:solidFill>
              <w14:schemeClr w14:val="tx1"/>
            </w14:solidFill>
          </w14:textFill>
        </w:rPr>
        <w:t>附件12：暂估价一览表</w:t>
      </w:r>
      <w:bookmarkEnd w:id="1345"/>
    </w:p>
    <w:p w14:paraId="68890C7D">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12-1</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材料暂估价表</w:t>
      </w:r>
    </w:p>
    <w:tbl>
      <w:tblPr>
        <w:tblStyle w:val="22"/>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1E53A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291B37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984" w:type="dxa"/>
            <w:tcBorders>
              <w:top w:val="single" w:color="auto" w:sz="12" w:space="0"/>
              <w:bottom w:val="double" w:color="auto" w:sz="6" w:space="0"/>
            </w:tcBorders>
            <w:noWrap w:val="0"/>
            <w:vAlign w:val="top"/>
          </w:tcPr>
          <w:p w14:paraId="646CE61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名称</w:t>
            </w:r>
          </w:p>
        </w:tc>
        <w:tc>
          <w:tcPr>
            <w:tcW w:w="851" w:type="dxa"/>
            <w:tcBorders>
              <w:top w:val="single" w:color="auto" w:sz="12" w:space="0"/>
              <w:bottom w:val="double" w:color="auto" w:sz="6" w:space="0"/>
            </w:tcBorders>
            <w:noWrap w:val="0"/>
            <w:vAlign w:val="top"/>
          </w:tcPr>
          <w:p w14:paraId="7E00F40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w:t>
            </w:r>
          </w:p>
        </w:tc>
        <w:tc>
          <w:tcPr>
            <w:tcW w:w="774" w:type="dxa"/>
            <w:tcBorders>
              <w:top w:val="single" w:color="auto" w:sz="12" w:space="0"/>
              <w:bottom w:val="double" w:color="auto" w:sz="6" w:space="0"/>
            </w:tcBorders>
            <w:noWrap w:val="0"/>
            <w:vAlign w:val="top"/>
          </w:tcPr>
          <w:p w14:paraId="7AE1E88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1352" w:type="dxa"/>
            <w:tcBorders>
              <w:top w:val="single" w:color="auto" w:sz="12" w:space="0"/>
              <w:bottom w:val="double" w:color="auto" w:sz="6" w:space="0"/>
            </w:tcBorders>
            <w:noWrap w:val="0"/>
            <w:vAlign w:val="top"/>
          </w:tcPr>
          <w:p w14:paraId="6E2C6FB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单价（元）</w:t>
            </w:r>
          </w:p>
        </w:tc>
        <w:tc>
          <w:tcPr>
            <w:tcW w:w="1418" w:type="dxa"/>
            <w:tcBorders>
              <w:top w:val="single" w:color="auto" w:sz="12" w:space="0"/>
              <w:bottom w:val="double" w:color="auto" w:sz="6" w:space="0"/>
            </w:tcBorders>
            <w:noWrap w:val="0"/>
            <w:vAlign w:val="top"/>
          </w:tcPr>
          <w:p w14:paraId="1A0C800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合价（元）</w:t>
            </w:r>
          </w:p>
        </w:tc>
        <w:tc>
          <w:tcPr>
            <w:tcW w:w="1701" w:type="dxa"/>
            <w:tcBorders>
              <w:top w:val="single" w:color="auto" w:sz="12" w:space="0"/>
              <w:bottom w:val="double" w:color="auto" w:sz="6" w:space="0"/>
            </w:tcBorders>
            <w:noWrap w:val="0"/>
            <w:vAlign w:val="top"/>
          </w:tcPr>
          <w:p w14:paraId="791764A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061B3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570F9EC8">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tcBorders>
              <w:top w:val="double" w:color="auto" w:sz="6" w:space="0"/>
            </w:tcBorders>
            <w:noWrap w:val="0"/>
            <w:vAlign w:val="top"/>
          </w:tcPr>
          <w:p w14:paraId="4EC0ABA9">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tcBorders>
              <w:top w:val="double" w:color="auto" w:sz="6" w:space="0"/>
            </w:tcBorders>
            <w:noWrap w:val="0"/>
            <w:vAlign w:val="top"/>
          </w:tcPr>
          <w:p w14:paraId="6425854A">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tcBorders>
              <w:top w:val="double" w:color="auto" w:sz="6" w:space="0"/>
            </w:tcBorders>
            <w:noWrap w:val="0"/>
            <w:vAlign w:val="top"/>
          </w:tcPr>
          <w:p w14:paraId="230D8CFE">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tcBorders>
              <w:top w:val="double" w:color="auto" w:sz="6" w:space="0"/>
            </w:tcBorders>
            <w:noWrap w:val="0"/>
            <w:vAlign w:val="top"/>
          </w:tcPr>
          <w:p w14:paraId="1603C05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top w:val="double" w:color="auto" w:sz="6" w:space="0"/>
            </w:tcBorders>
            <w:noWrap w:val="0"/>
            <w:vAlign w:val="top"/>
          </w:tcPr>
          <w:p w14:paraId="736257E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tcBorders>
              <w:top w:val="double" w:color="auto" w:sz="6" w:space="0"/>
            </w:tcBorders>
            <w:noWrap w:val="0"/>
            <w:vAlign w:val="top"/>
          </w:tcPr>
          <w:p w14:paraId="22D96E88">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7988E9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4FA9AC76">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tcBorders>
              <w:top w:val="nil"/>
            </w:tcBorders>
            <w:noWrap w:val="0"/>
            <w:vAlign w:val="top"/>
          </w:tcPr>
          <w:p w14:paraId="019DB43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tcBorders>
              <w:top w:val="nil"/>
            </w:tcBorders>
            <w:noWrap w:val="0"/>
            <w:vAlign w:val="top"/>
          </w:tcPr>
          <w:p w14:paraId="1386AB2A">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tcBorders>
              <w:top w:val="nil"/>
            </w:tcBorders>
            <w:noWrap w:val="0"/>
            <w:vAlign w:val="top"/>
          </w:tcPr>
          <w:p w14:paraId="2E6ADDD3">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tcBorders>
              <w:top w:val="nil"/>
            </w:tcBorders>
            <w:noWrap w:val="0"/>
            <w:vAlign w:val="top"/>
          </w:tcPr>
          <w:p w14:paraId="3C477906">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top w:val="nil"/>
            </w:tcBorders>
            <w:noWrap w:val="0"/>
            <w:vAlign w:val="top"/>
          </w:tcPr>
          <w:p w14:paraId="68F28E1E">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tcBorders>
              <w:top w:val="nil"/>
            </w:tcBorders>
            <w:noWrap w:val="0"/>
            <w:vAlign w:val="top"/>
          </w:tcPr>
          <w:p w14:paraId="78647B14">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190264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91EE738">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noWrap w:val="0"/>
            <w:vAlign w:val="top"/>
          </w:tcPr>
          <w:p w14:paraId="12AE0659">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noWrap w:val="0"/>
            <w:vAlign w:val="top"/>
          </w:tcPr>
          <w:p w14:paraId="3AA2A604">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noWrap w:val="0"/>
            <w:vAlign w:val="top"/>
          </w:tcPr>
          <w:p w14:paraId="5BEF8E43">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noWrap w:val="0"/>
            <w:vAlign w:val="top"/>
          </w:tcPr>
          <w:p w14:paraId="0CE7A8F5">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noWrap w:val="0"/>
            <w:vAlign w:val="top"/>
          </w:tcPr>
          <w:p w14:paraId="68A19381">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noWrap w:val="0"/>
            <w:vAlign w:val="top"/>
          </w:tcPr>
          <w:p w14:paraId="28373AE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7EE05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CEE57CC">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noWrap w:val="0"/>
            <w:vAlign w:val="top"/>
          </w:tcPr>
          <w:p w14:paraId="4DFECF63">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noWrap w:val="0"/>
            <w:vAlign w:val="top"/>
          </w:tcPr>
          <w:p w14:paraId="3B04DBB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noWrap w:val="0"/>
            <w:vAlign w:val="top"/>
          </w:tcPr>
          <w:p w14:paraId="312552C7">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noWrap w:val="0"/>
            <w:vAlign w:val="top"/>
          </w:tcPr>
          <w:p w14:paraId="7AC1D596">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noWrap w:val="0"/>
            <w:vAlign w:val="top"/>
          </w:tcPr>
          <w:p w14:paraId="024591BB">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noWrap w:val="0"/>
            <w:vAlign w:val="top"/>
          </w:tcPr>
          <w:p w14:paraId="7AC17231">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6CE7C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0D043F1E">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tcBorders>
              <w:bottom w:val="single" w:color="auto" w:sz="12" w:space="0"/>
            </w:tcBorders>
            <w:noWrap w:val="0"/>
            <w:vAlign w:val="top"/>
          </w:tcPr>
          <w:p w14:paraId="1B20642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tcBorders>
              <w:bottom w:val="single" w:color="auto" w:sz="12" w:space="0"/>
            </w:tcBorders>
            <w:noWrap w:val="0"/>
            <w:vAlign w:val="top"/>
          </w:tcPr>
          <w:p w14:paraId="7C640059">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tcBorders>
              <w:bottom w:val="single" w:color="auto" w:sz="12" w:space="0"/>
            </w:tcBorders>
            <w:noWrap w:val="0"/>
            <w:vAlign w:val="top"/>
          </w:tcPr>
          <w:p w14:paraId="03E8A437">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tcBorders>
              <w:bottom w:val="single" w:color="auto" w:sz="12" w:space="0"/>
            </w:tcBorders>
            <w:noWrap w:val="0"/>
            <w:vAlign w:val="top"/>
          </w:tcPr>
          <w:p w14:paraId="609ABA40">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bottom w:val="single" w:color="auto" w:sz="12" w:space="0"/>
            </w:tcBorders>
            <w:noWrap w:val="0"/>
            <w:vAlign w:val="top"/>
          </w:tcPr>
          <w:p w14:paraId="2530EDCC">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tcBorders>
              <w:bottom w:val="single" w:color="auto" w:sz="12" w:space="0"/>
            </w:tcBorders>
            <w:noWrap w:val="0"/>
            <w:vAlign w:val="top"/>
          </w:tcPr>
          <w:p w14:paraId="177BF393">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bl>
    <w:p w14:paraId="017FA9E2">
      <w:pPr>
        <w:pageBreakBefore w:val="0"/>
        <w:kinsoku/>
        <w:wordWrap w:val="0"/>
        <w:overflowPunct/>
        <w:bidi w:val="0"/>
        <w:spacing w:before="120" w:beforeLines="50" w:after="120" w:afterLines="50" w:line="440" w:lineRule="exact"/>
        <w:rPr>
          <w:rFonts w:hint="eastAsia" w:ascii="Times New Roman" w:hAnsi="Times New Roman" w:cs="宋体"/>
          <w:smallCaps w:val="0"/>
          <w:color w:val="000000" w:themeColor="text1"/>
          <w:szCs w:val="21"/>
          <w:highlight w:val="none"/>
          <w14:textFill>
            <w14:solidFill>
              <w14:schemeClr w14:val="tx1"/>
            </w14:solidFill>
          </w14:textFill>
        </w:rPr>
      </w:pPr>
    </w:p>
    <w:p w14:paraId="41AC8987">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12-2</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工程设备暂估价表</w:t>
      </w:r>
    </w:p>
    <w:tbl>
      <w:tblPr>
        <w:tblStyle w:val="22"/>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6DE73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5EDB8F1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984" w:type="dxa"/>
            <w:tcBorders>
              <w:top w:val="single" w:color="auto" w:sz="12" w:space="0"/>
              <w:bottom w:val="double" w:color="auto" w:sz="6" w:space="0"/>
            </w:tcBorders>
            <w:noWrap w:val="0"/>
            <w:vAlign w:val="top"/>
          </w:tcPr>
          <w:p w14:paraId="766BDE7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名称</w:t>
            </w:r>
          </w:p>
        </w:tc>
        <w:tc>
          <w:tcPr>
            <w:tcW w:w="851" w:type="dxa"/>
            <w:tcBorders>
              <w:top w:val="single" w:color="auto" w:sz="12" w:space="0"/>
              <w:bottom w:val="double" w:color="auto" w:sz="6" w:space="0"/>
            </w:tcBorders>
            <w:noWrap w:val="0"/>
            <w:vAlign w:val="top"/>
          </w:tcPr>
          <w:p w14:paraId="35CC4EF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w:t>
            </w:r>
          </w:p>
        </w:tc>
        <w:tc>
          <w:tcPr>
            <w:tcW w:w="774" w:type="dxa"/>
            <w:tcBorders>
              <w:top w:val="single" w:color="auto" w:sz="12" w:space="0"/>
              <w:bottom w:val="double" w:color="auto" w:sz="6" w:space="0"/>
            </w:tcBorders>
            <w:noWrap w:val="0"/>
            <w:vAlign w:val="top"/>
          </w:tcPr>
          <w:p w14:paraId="52559E4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1352" w:type="dxa"/>
            <w:tcBorders>
              <w:top w:val="single" w:color="auto" w:sz="12" w:space="0"/>
              <w:bottom w:val="double" w:color="auto" w:sz="6" w:space="0"/>
            </w:tcBorders>
            <w:noWrap w:val="0"/>
            <w:vAlign w:val="top"/>
          </w:tcPr>
          <w:p w14:paraId="7F6DC40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单价（元）</w:t>
            </w:r>
          </w:p>
        </w:tc>
        <w:tc>
          <w:tcPr>
            <w:tcW w:w="1418" w:type="dxa"/>
            <w:tcBorders>
              <w:top w:val="single" w:color="auto" w:sz="12" w:space="0"/>
              <w:bottom w:val="double" w:color="auto" w:sz="6" w:space="0"/>
            </w:tcBorders>
            <w:noWrap w:val="0"/>
            <w:vAlign w:val="top"/>
          </w:tcPr>
          <w:p w14:paraId="46BC376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合价（元）</w:t>
            </w:r>
          </w:p>
        </w:tc>
        <w:tc>
          <w:tcPr>
            <w:tcW w:w="1701" w:type="dxa"/>
            <w:tcBorders>
              <w:top w:val="single" w:color="auto" w:sz="12" w:space="0"/>
              <w:bottom w:val="double" w:color="auto" w:sz="6" w:space="0"/>
            </w:tcBorders>
            <w:noWrap w:val="0"/>
            <w:vAlign w:val="top"/>
          </w:tcPr>
          <w:p w14:paraId="179A9D0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75851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4ED69A08">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tcBorders>
              <w:top w:val="double" w:color="auto" w:sz="6" w:space="0"/>
            </w:tcBorders>
            <w:noWrap w:val="0"/>
            <w:vAlign w:val="top"/>
          </w:tcPr>
          <w:p w14:paraId="1A9E08BA">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tcBorders>
              <w:top w:val="double" w:color="auto" w:sz="6" w:space="0"/>
            </w:tcBorders>
            <w:noWrap w:val="0"/>
            <w:vAlign w:val="top"/>
          </w:tcPr>
          <w:p w14:paraId="68D1F8E4">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tcBorders>
              <w:top w:val="double" w:color="auto" w:sz="6" w:space="0"/>
            </w:tcBorders>
            <w:noWrap w:val="0"/>
            <w:vAlign w:val="top"/>
          </w:tcPr>
          <w:p w14:paraId="725951E9">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tcBorders>
              <w:top w:val="double" w:color="auto" w:sz="6" w:space="0"/>
            </w:tcBorders>
            <w:noWrap w:val="0"/>
            <w:vAlign w:val="top"/>
          </w:tcPr>
          <w:p w14:paraId="526BA99E">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top w:val="double" w:color="auto" w:sz="6" w:space="0"/>
            </w:tcBorders>
            <w:noWrap w:val="0"/>
            <w:vAlign w:val="top"/>
          </w:tcPr>
          <w:p w14:paraId="34930722">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tcBorders>
              <w:top w:val="double" w:color="auto" w:sz="6" w:space="0"/>
            </w:tcBorders>
            <w:noWrap w:val="0"/>
            <w:vAlign w:val="top"/>
          </w:tcPr>
          <w:p w14:paraId="0DBC2927">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2EBF5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59AC33A2">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tcBorders>
              <w:top w:val="nil"/>
            </w:tcBorders>
            <w:noWrap w:val="0"/>
            <w:vAlign w:val="top"/>
          </w:tcPr>
          <w:p w14:paraId="479502AB">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tcBorders>
              <w:top w:val="nil"/>
            </w:tcBorders>
            <w:noWrap w:val="0"/>
            <w:vAlign w:val="top"/>
          </w:tcPr>
          <w:p w14:paraId="094BA8E8">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tcBorders>
              <w:top w:val="nil"/>
            </w:tcBorders>
            <w:noWrap w:val="0"/>
            <w:vAlign w:val="top"/>
          </w:tcPr>
          <w:p w14:paraId="5695894A">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tcBorders>
              <w:top w:val="nil"/>
            </w:tcBorders>
            <w:noWrap w:val="0"/>
            <w:vAlign w:val="top"/>
          </w:tcPr>
          <w:p w14:paraId="754064A2">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top w:val="nil"/>
            </w:tcBorders>
            <w:noWrap w:val="0"/>
            <w:vAlign w:val="top"/>
          </w:tcPr>
          <w:p w14:paraId="55AB410A">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tcBorders>
              <w:top w:val="nil"/>
            </w:tcBorders>
            <w:noWrap w:val="0"/>
            <w:vAlign w:val="top"/>
          </w:tcPr>
          <w:p w14:paraId="199AE6A9">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75107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90999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noWrap w:val="0"/>
            <w:vAlign w:val="top"/>
          </w:tcPr>
          <w:p w14:paraId="74A3D26E">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noWrap w:val="0"/>
            <w:vAlign w:val="top"/>
          </w:tcPr>
          <w:p w14:paraId="0241BF98">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noWrap w:val="0"/>
            <w:vAlign w:val="top"/>
          </w:tcPr>
          <w:p w14:paraId="3EA7DA39">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noWrap w:val="0"/>
            <w:vAlign w:val="top"/>
          </w:tcPr>
          <w:p w14:paraId="1C975C66">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noWrap w:val="0"/>
            <w:vAlign w:val="top"/>
          </w:tcPr>
          <w:p w14:paraId="62C92F3C">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noWrap w:val="0"/>
            <w:vAlign w:val="top"/>
          </w:tcPr>
          <w:p w14:paraId="3E9C1212">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62579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292916CC">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tcBorders>
              <w:bottom w:val="single" w:color="auto" w:sz="12" w:space="0"/>
            </w:tcBorders>
            <w:noWrap w:val="0"/>
            <w:vAlign w:val="top"/>
          </w:tcPr>
          <w:p w14:paraId="146898A4">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tcBorders>
              <w:bottom w:val="single" w:color="auto" w:sz="12" w:space="0"/>
            </w:tcBorders>
            <w:noWrap w:val="0"/>
            <w:vAlign w:val="top"/>
          </w:tcPr>
          <w:p w14:paraId="6869FE53">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tcBorders>
              <w:bottom w:val="single" w:color="auto" w:sz="12" w:space="0"/>
            </w:tcBorders>
            <w:noWrap w:val="0"/>
            <w:vAlign w:val="top"/>
          </w:tcPr>
          <w:p w14:paraId="76DD3245">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tcBorders>
              <w:bottom w:val="single" w:color="auto" w:sz="12" w:space="0"/>
            </w:tcBorders>
            <w:noWrap w:val="0"/>
            <w:vAlign w:val="top"/>
          </w:tcPr>
          <w:p w14:paraId="66D5F998">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bottom w:val="single" w:color="auto" w:sz="12" w:space="0"/>
            </w:tcBorders>
            <w:noWrap w:val="0"/>
            <w:vAlign w:val="top"/>
          </w:tcPr>
          <w:p w14:paraId="51FC498B">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tcBorders>
              <w:bottom w:val="single" w:color="auto" w:sz="12" w:space="0"/>
            </w:tcBorders>
            <w:noWrap w:val="0"/>
            <w:vAlign w:val="top"/>
          </w:tcPr>
          <w:p w14:paraId="384B2AB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bl>
    <w:p w14:paraId="238BAB90">
      <w:pPr>
        <w:pageBreakBefore w:val="0"/>
        <w:kinsoku/>
        <w:wordWrap w:val="0"/>
        <w:overflowPunct/>
        <w:bidi w:val="0"/>
        <w:spacing w:line="440" w:lineRule="exact"/>
        <w:rPr>
          <w:rFonts w:hint="eastAsia" w:ascii="Times New Roman" w:hAnsi="Times New Roman" w:cs="宋体"/>
          <w:smallCaps w:val="0"/>
          <w:color w:val="000000" w:themeColor="text1"/>
          <w:szCs w:val="21"/>
          <w:highlight w:val="none"/>
          <w14:textFill>
            <w14:solidFill>
              <w14:schemeClr w14:val="tx1"/>
            </w14:solidFill>
          </w14:textFill>
        </w:rPr>
      </w:pPr>
    </w:p>
    <w:p w14:paraId="1ACB527A">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12-3</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专业工程暂估价表</w:t>
      </w:r>
    </w:p>
    <w:tbl>
      <w:tblPr>
        <w:tblStyle w:val="22"/>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71A28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F9DA43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984" w:type="dxa"/>
            <w:tcBorders>
              <w:top w:val="single" w:color="auto" w:sz="12" w:space="0"/>
              <w:bottom w:val="double" w:color="auto" w:sz="6" w:space="0"/>
            </w:tcBorders>
            <w:noWrap w:val="0"/>
            <w:vAlign w:val="top"/>
          </w:tcPr>
          <w:p w14:paraId="06D763B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名称</w:t>
            </w:r>
          </w:p>
        </w:tc>
        <w:tc>
          <w:tcPr>
            <w:tcW w:w="851" w:type="dxa"/>
            <w:tcBorders>
              <w:top w:val="single" w:color="auto" w:sz="12" w:space="0"/>
              <w:bottom w:val="double" w:color="auto" w:sz="6" w:space="0"/>
            </w:tcBorders>
            <w:noWrap w:val="0"/>
            <w:vAlign w:val="top"/>
          </w:tcPr>
          <w:p w14:paraId="2714416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w:t>
            </w:r>
          </w:p>
        </w:tc>
        <w:tc>
          <w:tcPr>
            <w:tcW w:w="774" w:type="dxa"/>
            <w:tcBorders>
              <w:top w:val="single" w:color="auto" w:sz="12" w:space="0"/>
              <w:bottom w:val="double" w:color="auto" w:sz="6" w:space="0"/>
            </w:tcBorders>
            <w:noWrap w:val="0"/>
            <w:vAlign w:val="top"/>
          </w:tcPr>
          <w:p w14:paraId="1EA7D54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1352" w:type="dxa"/>
            <w:tcBorders>
              <w:top w:val="single" w:color="auto" w:sz="12" w:space="0"/>
              <w:bottom w:val="double" w:color="auto" w:sz="6" w:space="0"/>
            </w:tcBorders>
            <w:noWrap w:val="0"/>
            <w:vAlign w:val="top"/>
          </w:tcPr>
          <w:p w14:paraId="69EA0E9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单价（元）</w:t>
            </w:r>
          </w:p>
        </w:tc>
        <w:tc>
          <w:tcPr>
            <w:tcW w:w="1418" w:type="dxa"/>
            <w:tcBorders>
              <w:top w:val="single" w:color="auto" w:sz="12" w:space="0"/>
              <w:bottom w:val="double" w:color="auto" w:sz="6" w:space="0"/>
            </w:tcBorders>
            <w:noWrap w:val="0"/>
            <w:vAlign w:val="top"/>
          </w:tcPr>
          <w:p w14:paraId="0AB532E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合价（元）</w:t>
            </w:r>
          </w:p>
        </w:tc>
        <w:tc>
          <w:tcPr>
            <w:tcW w:w="1701" w:type="dxa"/>
            <w:tcBorders>
              <w:top w:val="single" w:color="auto" w:sz="12" w:space="0"/>
              <w:bottom w:val="double" w:color="auto" w:sz="6" w:space="0"/>
            </w:tcBorders>
            <w:noWrap w:val="0"/>
            <w:vAlign w:val="top"/>
          </w:tcPr>
          <w:p w14:paraId="2671477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75E1E5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757BC657">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tcBorders>
              <w:top w:val="double" w:color="auto" w:sz="6" w:space="0"/>
            </w:tcBorders>
            <w:noWrap w:val="0"/>
            <w:vAlign w:val="top"/>
          </w:tcPr>
          <w:p w14:paraId="7C72244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tcBorders>
              <w:top w:val="double" w:color="auto" w:sz="6" w:space="0"/>
            </w:tcBorders>
            <w:noWrap w:val="0"/>
            <w:vAlign w:val="top"/>
          </w:tcPr>
          <w:p w14:paraId="2ABD01F3">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tcBorders>
              <w:top w:val="double" w:color="auto" w:sz="6" w:space="0"/>
            </w:tcBorders>
            <w:noWrap w:val="0"/>
            <w:vAlign w:val="top"/>
          </w:tcPr>
          <w:p w14:paraId="18881BC7">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tcBorders>
              <w:top w:val="double" w:color="auto" w:sz="6" w:space="0"/>
            </w:tcBorders>
            <w:noWrap w:val="0"/>
            <w:vAlign w:val="top"/>
          </w:tcPr>
          <w:p w14:paraId="00CCCC40">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top w:val="double" w:color="auto" w:sz="6" w:space="0"/>
            </w:tcBorders>
            <w:noWrap w:val="0"/>
            <w:vAlign w:val="top"/>
          </w:tcPr>
          <w:p w14:paraId="5CB08479">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tcBorders>
              <w:top w:val="double" w:color="auto" w:sz="6" w:space="0"/>
            </w:tcBorders>
            <w:noWrap w:val="0"/>
            <w:vAlign w:val="top"/>
          </w:tcPr>
          <w:p w14:paraId="5B018395">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7CEBE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4535C106">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tcBorders>
              <w:top w:val="nil"/>
            </w:tcBorders>
            <w:noWrap w:val="0"/>
            <w:vAlign w:val="top"/>
          </w:tcPr>
          <w:p w14:paraId="195E937A">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tcBorders>
              <w:top w:val="nil"/>
            </w:tcBorders>
            <w:noWrap w:val="0"/>
            <w:vAlign w:val="top"/>
          </w:tcPr>
          <w:p w14:paraId="69B63FB6">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tcBorders>
              <w:top w:val="nil"/>
            </w:tcBorders>
            <w:noWrap w:val="0"/>
            <w:vAlign w:val="top"/>
          </w:tcPr>
          <w:p w14:paraId="30168ABA">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tcBorders>
              <w:top w:val="nil"/>
            </w:tcBorders>
            <w:noWrap w:val="0"/>
            <w:vAlign w:val="top"/>
          </w:tcPr>
          <w:p w14:paraId="0A24C020">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top w:val="nil"/>
            </w:tcBorders>
            <w:noWrap w:val="0"/>
            <w:vAlign w:val="top"/>
          </w:tcPr>
          <w:p w14:paraId="1D0E526B">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tcBorders>
              <w:top w:val="nil"/>
            </w:tcBorders>
            <w:noWrap w:val="0"/>
            <w:vAlign w:val="top"/>
          </w:tcPr>
          <w:p w14:paraId="5BA342B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0C0BA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2FFE425">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noWrap w:val="0"/>
            <w:vAlign w:val="top"/>
          </w:tcPr>
          <w:p w14:paraId="6D91F64F">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noWrap w:val="0"/>
            <w:vAlign w:val="top"/>
          </w:tcPr>
          <w:p w14:paraId="0812CBDA">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noWrap w:val="0"/>
            <w:vAlign w:val="top"/>
          </w:tcPr>
          <w:p w14:paraId="24803F0F">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noWrap w:val="0"/>
            <w:vAlign w:val="top"/>
          </w:tcPr>
          <w:p w14:paraId="64DDA74B">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noWrap w:val="0"/>
            <w:vAlign w:val="top"/>
          </w:tcPr>
          <w:p w14:paraId="7E38968E">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noWrap w:val="0"/>
            <w:vAlign w:val="top"/>
          </w:tcPr>
          <w:p w14:paraId="085F769C">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0FC43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04B8D7E9">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984" w:type="dxa"/>
            <w:tcBorders>
              <w:bottom w:val="single" w:color="auto" w:sz="12" w:space="0"/>
            </w:tcBorders>
            <w:noWrap w:val="0"/>
            <w:vAlign w:val="top"/>
          </w:tcPr>
          <w:p w14:paraId="7A907BFF">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851" w:type="dxa"/>
            <w:tcBorders>
              <w:bottom w:val="single" w:color="auto" w:sz="12" w:space="0"/>
            </w:tcBorders>
            <w:noWrap w:val="0"/>
            <w:vAlign w:val="top"/>
          </w:tcPr>
          <w:p w14:paraId="6DC95D7D">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774" w:type="dxa"/>
            <w:tcBorders>
              <w:bottom w:val="single" w:color="auto" w:sz="12" w:space="0"/>
            </w:tcBorders>
            <w:noWrap w:val="0"/>
            <w:vAlign w:val="top"/>
          </w:tcPr>
          <w:p w14:paraId="2815B044">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52" w:type="dxa"/>
            <w:tcBorders>
              <w:bottom w:val="single" w:color="auto" w:sz="12" w:space="0"/>
            </w:tcBorders>
            <w:noWrap w:val="0"/>
            <w:vAlign w:val="top"/>
          </w:tcPr>
          <w:p w14:paraId="693DD780">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418" w:type="dxa"/>
            <w:tcBorders>
              <w:bottom w:val="single" w:color="auto" w:sz="12" w:space="0"/>
            </w:tcBorders>
            <w:noWrap w:val="0"/>
            <w:vAlign w:val="top"/>
          </w:tcPr>
          <w:p w14:paraId="4D801736">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701" w:type="dxa"/>
            <w:tcBorders>
              <w:bottom w:val="single" w:color="auto" w:sz="12" w:space="0"/>
            </w:tcBorders>
            <w:noWrap w:val="0"/>
            <w:vAlign w:val="top"/>
          </w:tcPr>
          <w:p w14:paraId="2B8C972B">
            <w:pPr>
              <w:keepNext/>
              <w:keepLines w:val="0"/>
              <w:pageBreakBefore w:val="0"/>
              <w:suppressLineNumbers w:val="0"/>
              <w:kinsoku/>
              <w:wordWrap w:val="0"/>
              <w:overflowPunct/>
              <w:bidi w:val="0"/>
              <w:spacing w:before="0" w:beforeAutospacing="0" w:after="0" w:afterAutospacing="0" w:line="440" w:lineRule="exact"/>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bl>
    <w:p w14:paraId="167CE892">
      <w:pPr>
        <w:pageBreakBefore w:val="0"/>
        <w:kinsoku/>
        <w:wordWrap w:val="0"/>
        <w:overflowPunct/>
        <w:bidi w:val="0"/>
        <w:rPr>
          <w:rFonts w:hint="eastAsia" w:ascii="Times New Roman" w:hAnsi="Times New Roman" w:cs="宋体"/>
          <w:smallCaps w:val="0"/>
          <w:color w:val="000000" w:themeColor="text1"/>
          <w:szCs w:val="21"/>
          <w:highlight w:val="none"/>
          <w14:textFill>
            <w14:solidFill>
              <w14:schemeClr w14:val="tx1"/>
            </w14:solidFill>
          </w14:textFill>
        </w:rPr>
      </w:pPr>
    </w:p>
    <w:p w14:paraId="14E0ED83">
      <w:pPr>
        <w:pageBreakBefore w:val="0"/>
        <w:kinsoku/>
        <w:wordWrap w:val="0"/>
        <w:overflowPunct/>
        <w:bidi w:val="0"/>
        <w:rPr>
          <w:rFonts w:hint="eastAsia" w:ascii="Times New Roman" w:hAnsi="Times New Roman" w:cs="宋体"/>
          <w:smallCaps w:val="0"/>
          <w:color w:val="000000" w:themeColor="text1"/>
          <w:szCs w:val="22"/>
          <w:highlight w:val="none"/>
          <w14:textFill>
            <w14:solidFill>
              <w14:schemeClr w14:val="tx1"/>
            </w14:solidFill>
          </w14:textFill>
        </w:rPr>
      </w:pPr>
    </w:p>
    <w:p w14:paraId="6A02D9B0">
      <w:pPr>
        <w:pageBreakBefore w:val="0"/>
        <w:kinsoku/>
        <w:wordWrap w:val="0"/>
        <w:overflowPunct/>
        <w:bidi w:val="0"/>
        <w:rPr>
          <w:rFonts w:hint="eastAsia" w:ascii="Times New Roman" w:hAnsi="Times New Roman" w:cs="宋体"/>
          <w:smallCaps w:val="0"/>
          <w:color w:val="000000" w:themeColor="text1"/>
          <w:szCs w:val="22"/>
          <w:highlight w:val="none"/>
          <w14:textFill>
            <w14:solidFill>
              <w14:schemeClr w14:val="tx1"/>
            </w14:solidFill>
          </w14:textFill>
        </w:rPr>
      </w:pPr>
    </w:p>
    <w:p w14:paraId="5D933D98">
      <w:pPr>
        <w:keepNext/>
        <w:keepLines/>
        <w:pageBreakBefore w:val="0"/>
        <w:kinsoku/>
        <w:wordWrap w:val="0"/>
        <w:overflowPunct/>
        <w:bidi w:val="0"/>
        <w:spacing w:before="120" w:after="120" w:line="360" w:lineRule="auto"/>
        <w:jc w:val="left"/>
        <w:outlineLvl w:val="4"/>
        <w:rPr>
          <w:rFonts w:hint="eastAsia" w:ascii="Times New Roman" w:hAnsi="Times New Roman" w:cs="宋体"/>
          <w:smallCaps w:val="0"/>
          <w:color w:val="000000" w:themeColor="text1"/>
          <w:highlight w:val="none"/>
          <w14:textFill>
            <w14:solidFill>
              <w14:schemeClr w14:val="tx1"/>
            </w14:solidFill>
          </w14:textFill>
        </w:rPr>
        <w:sectPr>
          <w:footnotePr>
            <w:numFmt w:val="decimalEnclosedCircleChinese"/>
            <w:numRestart w:val="eachPage"/>
          </w:footnotePr>
          <w:pgSz w:w="11907" w:h="16840"/>
          <w:pgMar w:top="1474" w:right="1474" w:bottom="1474" w:left="1474" w:header="799" w:footer="907" w:gutter="0"/>
          <w:pgNumType w:fmt="decimal"/>
          <w:cols w:space="720" w:num="1"/>
          <w:docGrid w:linePitch="271" w:charSpace="0"/>
        </w:sectPr>
      </w:pPr>
    </w:p>
    <w:p w14:paraId="605A10E9">
      <w:pPr>
        <w:pStyle w:val="77"/>
        <w:pageBreakBefore w:val="0"/>
        <w:kinsoku/>
        <w:wordWrap w:val="0"/>
        <w:overflowPunct/>
        <w:bidi w:val="0"/>
        <w:outlineLvl w:val="3"/>
        <w:rPr>
          <w:rStyle w:val="78"/>
          <w:rFonts w:hint="eastAsia" w:ascii="Times New Roman" w:hAnsi="Times New Roman"/>
          <w:b w:val="0"/>
          <w:smallCaps w:val="0"/>
          <w:color w:val="000000" w:themeColor="text1"/>
          <w:kern w:val="2"/>
          <w:highlight w:val="none"/>
          <w:lang w:val="en-US" w:eastAsia="zh-CN" w:bidi="ar-SA"/>
          <w14:textFill>
            <w14:solidFill>
              <w14:schemeClr w14:val="tx1"/>
            </w14:solidFill>
          </w14:textFill>
        </w:rPr>
      </w:pPr>
      <w:bookmarkStart w:id="1346" w:name="_Toc17487"/>
      <w:r>
        <w:rPr>
          <w:rStyle w:val="78"/>
          <w:rFonts w:hint="eastAsia" w:ascii="Times New Roman" w:hAnsi="Times New Roman"/>
          <w:b w:val="0"/>
          <w:smallCaps w:val="0"/>
          <w:color w:val="000000" w:themeColor="text1"/>
          <w:kern w:val="2"/>
          <w:highlight w:val="none"/>
          <w:lang w:val="en-US" w:eastAsia="zh-CN" w:bidi="ar-SA"/>
          <w14:textFill>
            <w14:solidFill>
              <w14:schemeClr w14:val="tx1"/>
            </w14:solidFill>
          </w14:textFill>
        </w:rPr>
        <w:t>附件13：安全生产合同</w:t>
      </w:r>
    </w:p>
    <w:bookmarkEnd w:id="1346"/>
    <w:p w14:paraId="5980F9BC">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347" w:name="_Toc32439"/>
      <w:bookmarkStart w:id="1348" w:name="_Toc5951"/>
      <w:bookmarkStart w:id="1349" w:name="_Toc26216"/>
      <w:bookmarkStart w:id="1350" w:name="_Toc14807"/>
      <w:bookmarkStart w:id="1351" w:name="_Toc16956"/>
      <w:bookmarkStart w:id="1352" w:name="_Toc16691"/>
      <w:bookmarkStart w:id="1353" w:name="_Toc15685"/>
      <w:bookmarkStart w:id="1354" w:name="_Toc31657"/>
    </w:p>
    <w:p w14:paraId="022D1C3C">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安全生产合同</w:t>
      </w:r>
      <w:bookmarkEnd w:id="1347"/>
      <w:bookmarkEnd w:id="1348"/>
      <w:bookmarkEnd w:id="1349"/>
      <w:bookmarkEnd w:id="1350"/>
      <w:bookmarkEnd w:id="1351"/>
      <w:bookmarkEnd w:id="1352"/>
      <w:bookmarkEnd w:id="1353"/>
      <w:bookmarkEnd w:id="1354"/>
    </w:p>
    <w:p w14:paraId="668EDC8F">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0F01EF59">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为在</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（项目名称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（标段）施工合同的实施过程中创造安全、高效的施工环境，切实搞好本项目的安全管理工作，本项目发包人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（发包人名称，以下简称“发包人”）与承包人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（承包人名称，以下简称“承包人”）特此签订安全生产合同</w:t>
      </w:r>
      <w:r>
        <w:rPr>
          <w:rFonts w:hint="eastAsia" w:ascii="Times New Roman" w:hAnsi="Times New Roman"/>
          <w:smallCaps w:val="0"/>
          <w:color w:val="000000" w:themeColor="text1"/>
          <w:highlight w:val="none"/>
          <w:lang w:eastAsia="zh-CN"/>
          <w14:textFill>
            <w14:solidFill>
              <w14:schemeClr w14:val="tx1"/>
            </w14:solidFill>
          </w14:textFill>
        </w:rPr>
        <w:t>：</w:t>
      </w:r>
    </w:p>
    <w:p w14:paraId="7F3D98C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1.发包人职责</w:t>
      </w:r>
    </w:p>
    <w:p w14:paraId="3A5F843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（1）严格遵守国家有关安全生产的法律法规，认真执行工程承包合同中的有关安全要求。</w:t>
      </w:r>
    </w:p>
    <w:p w14:paraId="40333FE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（2）按照“安全第一、预防为主”和坚持“管生产必须管安全”的原则进行安全生产管理，做到生产与安全工作同时计划、布置、检查、总结和评比。</w:t>
      </w:r>
    </w:p>
    <w:p w14:paraId="0115930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（3）重要的安全设施必须坚持与主体工程“三同时”的原则，即</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同时设计、审批，同时施工，同时验收，投入使用。</w:t>
      </w:r>
    </w:p>
    <w:p w14:paraId="251B2EF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（4）定期召开安全生产调度会，及时传达中央及地方有关安全生产的精神。</w:t>
      </w:r>
    </w:p>
    <w:p w14:paraId="2DDB69E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（5）组织对承包人施工现场安全生产检查，监督承包人及时处理发现的各种安全隐患。</w:t>
      </w:r>
    </w:p>
    <w:p w14:paraId="7361ACC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2.承包人职责</w:t>
      </w:r>
    </w:p>
    <w:p w14:paraId="6C89572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16602CB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31E8E9A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建设工程安全生产管理条例》及有关规定的配备专职安全生产管理人员，专职负责所有员工的安全和治安保卫工作及预防事故的发生。安全机构人员有权按有关规定发布指令，并采取保护性措施防止事故发生。</w:t>
      </w:r>
    </w:p>
    <w:p w14:paraId="1A57016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（4）承包人在任何时候都应采取各种合理的预防措施，防止其员工发生任何违法、违禁、暴力或妨碍治安的行为。</w:t>
      </w:r>
    </w:p>
    <w:p w14:paraId="26DDD39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73F0696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67DF461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（7）操作人员上岗，必须按规定穿戴防护用品。施工负责人和安全检查员应随时检查劳动防护用品的穿戴情况，不按规定穿戴防护用品的人员不得上岗。</w:t>
      </w:r>
    </w:p>
    <w:p w14:paraId="5E8C429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（8）所有施工机具设备和高空作业的设备均应定期检查，并有安全员的签字记录，保证其经常处于完好状态；不合格的机具、设备和劳动保护用品严禁使用</w:t>
      </w:r>
      <w:r>
        <w:rPr>
          <w:rFonts w:hint="eastAsia" w:ascii="Times New Roman" w:hAnsi="Times New Roman"/>
          <w:smallCaps w:val="0"/>
          <w:color w:val="000000" w:themeColor="text1"/>
          <w:highlight w:val="none"/>
          <w:lang w:eastAsia="zh-CN"/>
          <w14:textFill>
            <w14:solidFill>
              <w14:schemeClr w14:val="tx1"/>
            </w14:solidFill>
          </w14:textFill>
        </w:rPr>
        <w:t>。</w:t>
      </w:r>
    </w:p>
    <w:p w14:paraId="568D26F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（9）施工中采用新技术、新工艺、新设备、新材料时，必须制定相应的安全技术措施，施工现场必须具有相关的安全标志牌。</w:t>
      </w:r>
    </w:p>
    <w:p w14:paraId="246AEE5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严肃处理相关责任人。</w:t>
      </w:r>
    </w:p>
    <w:p w14:paraId="05DD58A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（11）安全生产费用按照《建设工程安全生产管理条例》的相关规定使用和管理。</w:t>
      </w:r>
    </w:p>
    <w:p w14:paraId="7BF74DC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3.违约责任</w:t>
      </w:r>
    </w:p>
    <w:p w14:paraId="53F9ED6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如因发包人或承包人违约造成安全事故，将依法追究责任。</w:t>
      </w:r>
    </w:p>
    <w:p w14:paraId="1FF28EA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4.本合同由双方法定代表人或其授权的代理人签署并加盖单位章后生效，全部工程竣工验收后失效。</w:t>
      </w:r>
    </w:p>
    <w:p w14:paraId="2B36891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5.本合同正本—式</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份，副本</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份，合同双方各执正本—份，副本</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份，当正本与副本的内容不一致时，以正本为准。</w:t>
      </w:r>
    </w:p>
    <w:p w14:paraId="3AB7EE44">
      <w:pPr>
        <w:pageBreakBefore w:val="0"/>
        <w:kinsoku/>
        <w:wordWrap w:val="0"/>
        <w:overflowPunct/>
        <w:bidi w:val="0"/>
        <w:spacing w:line="360" w:lineRule="auto"/>
        <w:rPr>
          <w:rFonts w:hint="eastAsia" w:ascii="Times New Roman" w:hAnsi="Times New Roman" w:cs="宋体"/>
          <w:smallCaps w:val="0"/>
          <w:color w:val="000000" w:themeColor="text1"/>
          <w:szCs w:val="21"/>
          <w:highlight w:val="none"/>
          <w14:textFill>
            <w14:solidFill>
              <w14:schemeClr w14:val="tx1"/>
            </w14:solidFill>
          </w14:textFill>
        </w:rPr>
      </w:pPr>
    </w:p>
    <w:p w14:paraId="197E7D76">
      <w:pPr>
        <w:pageBreakBefore w:val="0"/>
        <w:kinsoku/>
        <w:wordWrap w:val="0"/>
        <w:overflowPunct/>
        <w:bidi w:val="0"/>
        <w:spacing w:line="360" w:lineRule="auto"/>
        <w:rPr>
          <w:rFonts w:hint="eastAsia" w:ascii="Times New Roman" w:hAnsi="Times New Roman" w:cs="宋体"/>
          <w:smallCaps w:val="0"/>
          <w:color w:val="000000" w:themeColor="text1"/>
          <w:szCs w:val="21"/>
          <w:highlight w:val="none"/>
          <w14:textFill>
            <w14:solidFill>
              <w14:schemeClr w14:val="tx1"/>
            </w14:solidFill>
          </w14:textFill>
        </w:rPr>
      </w:pPr>
    </w:p>
    <w:p w14:paraId="21295E26">
      <w:pPr>
        <w:pageBreakBefore w:val="0"/>
        <w:kinsoku/>
        <w:wordWrap w:val="0"/>
        <w:overflowPunct/>
        <w:bidi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发包人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（盖单位章</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承包人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（盖单位章）</w:t>
      </w:r>
    </w:p>
    <w:p w14:paraId="178B6438">
      <w:pPr>
        <w:pageBreakBefore w:val="0"/>
        <w:kinsoku/>
        <w:wordWrap w:val="0"/>
        <w:overflowPunct/>
        <w:bidi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14:textFill>
            <w14:solidFill>
              <w14:schemeClr w14:val="tx1"/>
            </w14:solidFill>
          </w14:textFill>
        </w:rPr>
        <w:t>法定代表人或其委托代理人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（签字</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法定代表人或其委托代理人</w:t>
      </w:r>
      <w:r>
        <w:rPr>
          <w:rFonts w:hint="eastAsia" w:ascii="Times New Roman" w:hAnsi="Times New Roman" w:cs="宋体"/>
          <w:smallCaps w:val="0"/>
          <w:color w:val="000000" w:themeColor="text1"/>
          <w:sz w:val="21"/>
          <w:szCs w:val="21"/>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（签字）</w:t>
      </w:r>
    </w:p>
    <w:p w14:paraId="7563EE14">
      <w:pPr>
        <w:pageBreakBefore w:val="0"/>
        <w:kinsoku/>
        <w:wordWrap w:val="0"/>
        <w:overflowPunct/>
        <w:bidi w:val="0"/>
        <w:spacing w:line="360" w:lineRule="auto"/>
        <w:rPr>
          <w:rFonts w:hint="eastAsia" w:ascii="Times New Roman" w:hAnsi="Times New Roman" w:cs="宋体"/>
          <w:smallCaps w:val="0"/>
          <w:color w:val="000000" w:themeColor="text1"/>
          <w:sz w:val="21"/>
          <w:szCs w:val="21"/>
          <w:highlight w:val="none"/>
          <w14:textFill>
            <w14:solidFill>
              <w14:schemeClr w14:val="tx1"/>
            </w14:solidFill>
          </w14:textFill>
        </w:rPr>
      </w:pP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年</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月</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日            </w:t>
      </w:r>
      <w:r>
        <w:rPr>
          <w:rFonts w:hint="eastAsia" w:ascii="Times New Roman" w:hAnsi="Times New Roman" w:cs="宋体"/>
          <w:smallCaps w:val="0"/>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年</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月</w:t>
      </w:r>
      <w:r>
        <w:rPr>
          <w:rFonts w:hint="eastAsia" w:ascii="Times New Roman" w:hAnsi="Times New Roman" w:cs="宋体"/>
          <w:smallCaps w:val="0"/>
          <w:color w:val="000000" w:themeColor="text1"/>
          <w:sz w:val="21"/>
          <w:szCs w:val="21"/>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21"/>
          <w:szCs w:val="21"/>
          <w:highlight w:val="none"/>
          <w14:textFill>
            <w14:solidFill>
              <w14:schemeClr w14:val="tx1"/>
            </w14:solidFill>
          </w14:textFill>
        </w:rPr>
        <w:t>日</w:t>
      </w:r>
    </w:p>
    <w:p w14:paraId="14D34B5E">
      <w:pPr>
        <w:pageBreakBefore w:val="0"/>
        <w:kinsoku/>
        <w:wordWrap w:val="0"/>
        <w:overflowPunct/>
        <w:bidi w:val="0"/>
        <w:rPr>
          <w:rFonts w:hint="eastAsia" w:ascii="Times New Roman" w:hAnsi="Times New Roman" w:cs="宋体"/>
          <w:bCs/>
          <w:smallCaps w:val="0"/>
          <w:color w:val="000000" w:themeColor="text1"/>
          <w:sz w:val="24"/>
          <w:highlight w:val="none"/>
          <w14:textFill>
            <w14:solidFill>
              <w14:schemeClr w14:val="tx1"/>
            </w14:solidFill>
          </w14:textFill>
        </w:rPr>
      </w:pPr>
      <w:r>
        <w:rPr>
          <w:rFonts w:hint="eastAsia" w:ascii="Times New Roman" w:hAnsi="Times New Roman" w:cs="宋体"/>
          <w:bCs/>
          <w:smallCaps w:val="0"/>
          <w:color w:val="000000" w:themeColor="text1"/>
          <w:sz w:val="24"/>
          <w:highlight w:val="none"/>
          <w14:textFill>
            <w14:solidFill>
              <w14:schemeClr w14:val="tx1"/>
            </w14:solidFill>
          </w14:textFill>
        </w:rPr>
        <w:br w:type="page"/>
      </w:r>
    </w:p>
    <w:p w14:paraId="0D21C761">
      <w:pPr>
        <w:pStyle w:val="77"/>
        <w:pageBreakBefore w:val="0"/>
        <w:kinsoku/>
        <w:wordWrap w:val="0"/>
        <w:overflowPunct/>
        <w:bidi w:val="0"/>
        <w:outlineLvl w:val="3"/>
        <w:rPr>
          <w:rStyle w:val="78"/>
          <w:rFonts w:hint="eastAsia" w:ascii="Times New Roman" w:hAnsi="Times New Roman"/>
          <w:b w:val="0"/>
          <w:smallCaps w:val="0"/>
          <w:color w:val="000000" w:themeColor="text1"/>
          <w:kern w:val="2"/>
          <w:highlight w:val="none"/>
          <w:lang w:val="en-US" w:eastAsia="zh-CN" w:bidi="ar-SA"/>
          <w14:textFill>
            <w14:solidFill>
              <w14:schemeClr w14:val="tx1"/>
            </w14:solidFill>
          </w14:textFill>
        </w:rPr>
      </w:pPr>
      <w:bookmarkStart w:id="1355" w:name="_Toc28250"/>
      <w:r>
        <w:rPr>
          <w:rStyle w:val="78"/>
          <w:rFonts w:hint="eastAsia" w:ascii="Times New Roman" w:hAnsi="Times New Roman"/>
          <w:b w:val="0"/>
          <w:smallCaps w:val="0"/>
          <w:color w:val="000000" w:themeColor="text1"/>
          <w:kern w:val="2"/>
          <w:highlight w:val="none"/>
          <w:lang w:val="en-US" w:eastAsia="zh-CN" w:bidi="ar-SA"/>
          <w14:textFill>
            <w14:solidFill>
              <w14:schemeClr w14:val="tx1"/>
            </w14:solidFill>
          </w14:textFill>
        </w:rPr>
        <w:t>附件14：项目经理质量终身责任制承诺</w:t>
      </w:r>
    </w:p>
    <w:bookmarkEnd w:id="1355"/>
    <w:p w14:paraId="58F9CBCE">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0A45CEB1">
      <w:pPr>
        <w:pStyle w:val="40"/>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bookmarkStart w:id="1356" w:name="_Toc4883"/>
      <w:bookmarkStart w:id="1357" w:name="_Toc8947"/>
      <w:bookmarkStart w:id="1358" w:name="_Toc4120"/>
      <w:bookmarkStart w:id="1359" w:name="_Toc31981"/>
      <w:bookmarkStart w:id="1360" w:name="_Toc16528"/>
      <w:bookmarkStart w:id="1361" w:name="_Toc19059"/>
      <w:bookmarkStart w:id="1362" w:name="_Toc19193"/>
      <w:bookmarkStart w:id="1363" w:name="_Toc20282"/>
      <w:r>
        <w:rPr>
          <w:rFonts w:hint="eastAsia" w:ascii="Times New Roman" w:hAnsi="Times New Roman"/>
          <w:smallCaps w:val="0"/>
          <w:color w:val="000000" w:themeColor="text1"/>
          <w:highlight w:val="none"/>
          <w14:textFill>
            <w14:solidFill>
              <w14:schemeClr w14:val="tx1"/>
            </w14:solidFill>
          </w14:textFill>
        </w:rPr>
        <w:t>项目经理质量终身责任制承诺</w:t>
      </w:r>
      <w:bookmarkEnd w:id="1356"/>
      <w:bookmarkEnd w:id="1357"/>
      <w:bookmarkEnd w:id="1358"/>
      <w:bookmarkEnd w:id="1359"/>
      <w:bookmarkEnd w:id="1360"/>
      <w:bookmarkEnd w:id="1361"/>
      <w:bookmarkEnd w:id="1362"/>
      <w:bookmarkEnd w:id="1363"/>
    </w:p>
    <w:p w14:paraId="1A6C8F38">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6948DC0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______________(</w:t>
      </w:r>
      <w:r>
        <w:rPr>
          <w:rFonts w:hint="eastAsia" w:ascii="Times New Roman" w:hAnsi="Times New Roman"/>
          <w:smallCaps w:val="0"/>
          <w:color w:val="000000" w:themeColor="text1"/>
          <w:highlight w:val="none"/>
          <w:lang w:eastAsia="zh-CN"/>
          <w14:textFill>
            <w14:solidFill>
              <w14:schemeClr w14:val="tx1"/>
            </w14:solidFill>
          </w14:textFill>
        </w:rPr>
        <w:t>发包</w:t>
      </w:r>
      <w:r>
        <w:rPr>
          <w:rFonts w:hint="eastAsia" w:ascii="Times New Roman" w:hAnsi="Times New Roman"/>
          <w:smallCaps w:val="0"/>
          <w:color w:val="000000" w:themeColor="text1"/>
          <w:highlight w:val="none"/>
          <w14:textFill>
            <w14:solidFill>
              <w14:schemeClr w14:val="tx1"/>
            </w14:solidFill>
          </w14:textFill>
        </w:rPr>
        <w:t>人名称)</w:t>
      </w:r>
    </w:p>
    <w:p w14:paraId="715AF057">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本人作为拟委任的施工项目经理，承担相关质量终身责任，现郑重承诺如下</w:t>
      </w:r>
      <w:r>
        <w:rPr>
          <w:rFonts w:hint="eastAsia" w:ascii="Times New Roman" w:hAnsi="Times New Roman"/>
          <w:smallCaps w:val="0"/>
          <w:color w:val="000000" w:themeColor="text1"/>
          <w:highlight w:val="none"/>
          <w:lang w:eastAsia="zh-CN"/>
          <w14:textFill>
            <w14:solidFill>
              <w14:schemeClr w14:val="tx1"/>
            </w14:solidFill>
          </w14:textFill>
        </w:rPr>
        <w:t>：</w:t>
      </w:r>
    </w:p>
    <w:p w14:paraId="4A88FDA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一、在取得施工许可证后进行施工。</w:t>
      </w:r>
    </w:p>
    <w:p w14:paraId="7036D85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二、严格执行施工规范及标准。</w:t>
      </w:r>
    </w:p>
    <w:p w14:paraId="14F7EA8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三、严格按规定配备施工项目部关键岗位人员，并确保所有人员到岗履职。</w:t>
      </w:r>
    </w:p>
    <w:p w14:paraId="72A6850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四、严格按照经施工图审查机构审查合格的工程设计文件及合同约定的质量标准精心组织施工。</w:t>
      </w:r>
    </w:p>
    <w:p w14:paraId="047D883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五、施工中采用合格的建筑材料、建筑构配件和设备等，并严格按规定执行见证取样制度。</w:t>
      </w:r>
    </w:p>
    <w:p w14:paraId="7D64676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六、建立、健全质量检查、验收制度，严格工序管理，做好隐蔽工程质量的检查和记录。</w:t>
      </w:r>
    </w:p>
    <w:p w14:paraId="5B534C7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七、对施工中出现的质量问题，及时进行整改。严格依法依规履行义务。</w:t>
      </w:r>
    </w:p>
    <w:p w14:paraId="28AFA91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八、履行相关工程质量检查、验收及事故处理等职责。</w:t>
      </w:r>
    </w:p>
    <w:p w14:paraId="43B5078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九、履行其他法律法规规定的职责。</w:t>
      </w:r>
    </w:p>
    <w:p w14:paraId="63CE60D5">
      <w:pPr>
        <w:pageBreakBefore w:val="0"/>
        <w:kinsoku/>
        <w:wordWrap w:val="0"/>
        <w:overflowPunct/>
        <w:bidi w:val="0"/>
        <w:spacing w:line="360" w:lineRule="auto"/>
        <w:ind w:left="410" w:leftChars="171" w:firstLine="720" w:firstLineChars="300"/>
        <w:rPr>
          <w:rFonts w:hint="eastAsia" w:ascii="Times New Roman" w:hAnsi="Times New Roman" w:cs="宋体"/>
          <w:bCs/>
          <w:smallCaps w:val="0"/>
          <w:color w:val="000000" w:themeColor="text1"/>
          <w:sz w:val="24"/>
          <w:szCs w:val="21"/>
          <w:highlight w:val="none"/>
          <w14:textFill>
            <w14:solidFill>
              <w14:schemeClr w14:val="tx1"/>
            </w14:solidFill>
          </w14:textFill>
        </w:rPr>
      </w:pPr>
    </w:p>
    <w:p w14:paraId="7E4CA5AE">
      <w:pPr>
        <w:pageBreakBefore w:val="0"/>
        <w:kinsoku/>
        <w:wordWrap w:val="0"/>
        <w:overflowPunct/>
        <w:bidi w:val="0"/>
        <w:spacing w:line="360" w:lineRule="auto"/>
        <w:ind w:left="410" w:leftChars="171" w:firstLine="720" w:firstLineChars="300"/>
        <w:rPr>
          <w:rFonts w:hint="eastAsia" w:ascii="Times New Roman" w:hAnsi="Times New Roman" w:cs="宋体"/>
          <w:bCs/>
          <w:smallCaps w:val="0"/>
          <w:color w:val="000000" w:themeColor="text1"/>
          <w:sz w:val="24"/>
          <w:szCs w:val="21"/>
          <w:highlight w:val="none"/>
          <w14:textFill>
            <w14:solidFill>
              <w14:schemeClr w14:val="tx1"/>
            </w14:solidFill>
          </w14:textFill>
        </w:rPr>
      </w:pPr>
    </w:p>
    <w:p w14:paraId="5C76206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（签字）</w:t>
      </w:r>
    </w:p>
    <w:p w14:paraId="596371E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_____年____月____日</w:t>
      </w:r>
    </w:p>
    <w:p w14:paraId="73DF7C1F">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p>
    <w:p w14:paraId="663E9DE6">
      <w:pPr>
        <w:pStyle w:val="40"/>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364" w:name="_Toc21509"/>
      <w:bookmarkStart w:id="1365" w:name="_Toc18805"/>
      <w:bookmarkStart w:id="1366" w:name="_Toc6812"/>
      <w:r>
        <w:rPr>
          <w:rFonts w:ascii="Times New Roman" w:hAnsi="Times New Roman"/>
          <w:smallCaps w:val="0"/>
          <w:color w:val="000000" w:themeColor="text1"/>
          <w:highlight w:val="none"/>
          <w14:textFill>
            <w14:solidFill>
              <w14:schemeClr w14:val="tx1"/>
            </w14:solidFill>
          </w14:textFill>
        </w:rPr>
        <w:t>第五章  工程量清单</w:t>
      </w:r>
      <w:bookmarkEnd w:id="1364"/>
      <w:bookmarkEnd w:id="1365"/>
      <w:bookmarkEnd w:id="1366"/>
    </w:p>
    <w:p w14:paraId="3EC4C8DD">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367" w:name="_Toc14681"/>
      <w:bookmarkStart w:id="1368" w:name="_Toc18503"/>
      <w:bookmarkStart w:id="1369" w:name="_Toc24226"/>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 招标工程量清单</w:t>
      </w:r>
      <w:bookmarkEnd w:id="1367"/>
      <w:bookmarkEnd w:id="1368"/>
      <w:bookmarkEnd w:id="1369"/>
    </w:p>
    <w:p w14:paraId="6D89290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 xml:space="preserve"> 招标工程量清单作为招标文件的组成部分，应与招标文件中的投标人须知、通用合同条款、专用合同条款、技术标准和要求以及图纸等章节内容一起阅读和理解。</w:t>
      </w:r>
    </w:p>
    <w:p w14:paraId="53B24A4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 xml:space="preserve">1.2 </w:t>
      </w:r>
      <w:r>
        <w:rPr>
          <w:rFonts w:hint="eastAsia" w:ascii="Times New Roman" w:hAnsi="Times New Roman"/>
          <w:smallCaps w:val="0"/>
          <w:color w:val="000000" w:themeColor="text1"/>
          <w:highlight w:val="none"/>
          <w14:textFill>
            <w14:solidFill>
              <w14:schemeClr w14:val="tx1"/>
            </w14:solidFill>
          </w14:textFill>
        </w:rPr>
        <w:t>招标人负责招标工程量清单的准确性和完整性。合同价款的确定、工程计量和价款支付应遵循合同条款（包括通用合同条款和专用合同条款）、技术标准和要求以及本文件的有关约定。投标人在投标报价过程中有责任和义务对招标人提供的工程量清单进行分析和核对</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发现问题应按招标文件要求以书面形式告知招标人。</w:t>
      </w:r>
    </w:p>
    <w:p w14:paraId="2FB15E27">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3</w:t>
      </w:r>
      <w:r>
        <w:rPr>
          <w:rFonts w:hint="eastAsia" w:ascii="Times New Roman" w:hAnsi="Times New Roman"/>
          <w:smallCaps w:val="0"/>
          <w:color w:val="000000" w:themeColor="text1"/>
          <w:highlight w:val="none"/>
          <w14:textFill>
            <w14:solidFill>
              <w14:schemeClr w14:val="tx1"/>
            </w14:solidFill>
          </w14:textFill>
        </w:rPr>
        <w:t xml:space="preserve"> 招标工程量清单编制依据如下</w:t>
      </w:r>
      <w:r>
        <w:rPr>
          <w:rFonts w:hint="eastAsia" w:ascii="Times New Roman" w:hAnsi="Times New Roman"/>
          <w:smallCaps w:val="0"/>
          <w:color w:val="000000" w:themeColor="text1"/>
          <w:highlight w:val="none"/>
          <w:lang w:eastAsia="zh-CN"/>
          <w14:textFill>
            <w14:solidFill>
              <w14:schemeClr w14:val="tx1"/>
            </w14:solidFill>
          </w14:textFill>
        </w:rPr>
        <w:t>：</w:t>
      </w:r>
    </w:p>
    <w:p w14:paraId="04BCA7D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lang w:eastAsia="zh-CN"/>
          <w14:textFill>
            <w14:solidFill>
              <w14:schemeClr w14:val="tx1"/>
            </w14:solidFill>
          </w14:textFill>
        </w:rPr>
        <w:t>现行工程量清单计价计量规范、建设行政主管部门有关计价规定；</w:t>
      </w:r>
    </w:p>
    <w:p w14:paraId="7D8331A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hint="eastAsia" w:ascii="Times New Roman" w:hAnsi="Times New Roman"/>
          <w:smallCaps w:val="0"/>
          <w:color w:val="000000" w:themeColor="text1"/>
          <w:highlight w:val="none"/>
          <w14:textFill>
            <w14:solidFill>
              <w14:schemeClr w14:val="tx1"/>
            </w14:solidFill>
          </w14:textFill>
        </w:rPr>
        <w:t>）建设工程设计文件及相关资料；</w:t>
      </w:r>
    </w:p>
    <w:p w14:paraId="5ADBDE4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3</w:t>
      </w:r>
      <w:r>
        <w:rPr>
          <w:rFonts w:hint="eastAsia" w:ascii="Times New Roman" w:hAnsi="Times New Roman"/>
          <w:smallCaps w:val="0"/>
          <w:color w:val="000000" w:themeColor="text1"/>
          <w:highlight w:val="none"/>
          <w14:textFill>
            <w14:solidFill>
              <w14:schemeClr w14:val="tx1"/>
            </w14:solidFill>
          </w14:textFill>
        </w:rPr>
        <w:t>）与建设项目有关的标准、规范、技术资料；</w:t>
      </w:r>
    </w:p>
    <w:p w14:paraId="027FB6E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14:textFill>
            <w14:solidFill>
              <w14:schemeClr w14:val="tx1"/>
            </w14:solidFill>
          </w14:textFill>
        </w:rPr>
        <w:t xml:space="preserve">）拟定的招标文件及其补充通知答疑纪要； </w:t>
      </w:r>
    </w:p>
    <w:p w14:paraId="5B2C42A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）施工现场情况、地勘水文资料、工程特点及常规施工方案；</w:t>
      </w:r>
    </w:p>
    <w:p w14:paraId="48A312A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6</w:t>
      </w:r>
      <w:r>
        <w:rPr>
          <w:rFonts w:hint="eastAsia" w:ascii="Times New Roman" w:hAnsi="Times New Roman"/>
          <w:smallCaps w:val="0"/>
          <w:color w:val="000000" w:themeColor="text1"/>
          <w:highlight w:val="none"/>
          <w14:textFill>
            <w14:solidFill>
              <w14:schemeClr w14:val="tx1"/>
            </w14:solidFill>
          </w14:textFill>
        </w:rPr>
        <w:t>）招标人对项目其他相关要求文件。</w:t>
      </w:r>
    </w:p>
    <w:p w14:paraId="0A48462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 xml:space="preserve">.4 </w:t>
      </w:r>
      <w:r>
        <w:rPr>
          <w:rFonts w:hint="eastAsia" w:ascii="Times New Roman" w:hAnsi="Times New Roman"/>
          <w:smallCaps w:val="0"/>
          <w:color w:val="000000" w:themeColor="text1"/>
          <w:highlight w:val="none"/>
          <w:lang w:eastAsia="zh-CN"/>
          <w14:textFill>
            <w14:solidFill>
              <w14:schemeClr w14:val="tx1"/>
            </w14:solidFill>
          </w14:textFill>
        </w:rPr>
        <w:t>招标</w:t>
      </w:r>
      <w:r>
        <w:rPr>
          <w:rFonts w:hint="eastAsia" w:ascii="Times New Roman" w:hAnsi="Times New Roman"/>
          <w:smallCaps w:val="0"/>
          <w:color w:val="000000" w:themeColor="text1"/>
          <w:highlight w:val="none"/>
          <w14:textFill>
            <w14:solidFill>
              <w14:schemeClr w14:val="tx1"/>
            </w14:solidFill>
          </w14:textFill>
        </w:rPr>
        <w:t>工程量清单由分部分项工程量清单、措施项目清单、不可竞争项目清单、其他项目清单、税金项目清单组成。</w:t>
      </w:r>
      <w:r>
        <w:rPr>
          <w:rFonts w:hint="eastAsia" w:ascii="Times New Roman" w:hAnsi="Times New Roman"/>
          <w:smallCaps w:val="0"/>
          <w:color w:val="000000" w:themeColor="text1"/>
          <w:highlight w:val="none"/>
          <w:lang w:eastAsia="zh-CN"/>
          <w14:textFill>
            <w14:solidFill>
              <w14:schemeClr w14:val="tx1"/>
            </w14:solidFill>
          </w14:textFill>
        </w:rPr>
        <w:t>工程量清单格式依据现行工程量清单计价规范及我省有关规定编制，</w:t>
      </w:r>
      <w:r>
        <w:rPr>
          <w:rFonts w:hint="eastAsia" w:ascii="Times New Roman" w:hAnsi="Times New Roman"/>
          <w:smallCaps w:val="0"/>
          <w:color w:val="000000" w:themeColor="text1"/>
          <w:highlight w:val="none"/>
          <w14:textFill>
            <w14:solidFill>
              <w14:schemeClr w14:val="tx1"/>
            </w14:solidFill>
          </w14:textFill>
        </w:rPr>
        <w:t>具体构成内容见</w:t>
      </w:r>
      <w:r>
        <w:rPr>
          <w:rFonts w:hint="eastAsia" w:ascii="Times New Roman" w:hAnsi="Times New Roman"/>
          <w:smallCaps w:val="0"/>
          <w:color w:val="000000" w:themeColor="text1"/>
          <w:highlight w:val="none"/>
          <w:lang w:eastAsia="zh-CN"/>
          <w14:textFill>
            <w14:solidFill>
              <w14:schemeClr w14:val="tx1"/>
            </w14:solidFill>
          </w14:textFill>
        </w:rPr>
        <w:t>另册</w:t>
      </w:r>
      <w:r>
        <w:rPr>
          <w:rFonts w:hint="eastAsia" w:ascii="Times New Roman" w:hAnsi="Times New Roman"/>
          <w:smallCaps w:val="0"/>
          <w:color w:val="000000" w:themeColor="text1"/>
          <w:highlight w:val="none"/>
          <w14:textFill>
            <w14:solidFill>
              <w14:schemeClr w14:val="tx1"/>
            </w14:solidFill>
          </w14:textFill>
        </w:rPr>
        <w:t>“工程量清单”。</w:t>
      </w:r>
    </w:p>
    <w:p w14:paraId="03894F1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 xml:space="preserve"> 招标工程量清单编制范围应与招标文件中明确的工程招标范围一致。</w:t>
      </w:r>
    </w:p>
    <w:p w14:paraId="05C0F29B">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1.6 招标工程量清单中对项目特征的描述，应被认为是准确的和全面的，并且与实际施工要求相符合。</w:t>
      </w:r>
    </w:p>
    <w:p w14:paraId="0FBAE6BE">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1.7 措施项目清单应结合拟建工程的实际情况和常规施工方案进行列项，并结合我省相关规定进行编制。</w:t>
      </w:r>
    </w:p>
    <w:p w14:paraId="0B6D15A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1.8 不可竞争项目清单应按我省建设主管部门颁发的计价文件进行列项，遇有其他应列而未列的不可竞争费，应按实际情况列明计费项目。</w:t>
      </w:r>
    </w:p>
    <w:p w14:paraId="38717EB2">
      <w:pPr>
        <w:pStyle w:val="77"/>
        <w:pageBreakBefore w:val="0"/>
        <w:kinsoku/>
        <w:wordWrap w:val="0"/>
        <w:overflowPunct/>
        <w:bidi w:val="0"/>
        <w:rPr>
          <w:rFonts w:hint="eastAsia" w:ascii="Times New Roman" w:hAnsi="Times New Roman"/>
          <w:b w:val="0"/>
          <w:smallCaps w:val="0"/>
          <w:color w:val="000000" w:themeColor="text1"/>
          <w:highlight w:val="none"/>
          <w:lang w:val="en-US" w:eastAsia="zh-CN"/>
          <w14:textFill>
            <w14:solidFill>
              <w14:schemeClr w14:val="tx1"/>
            </w14:solidFill>
          </w14:textFill>
        </w:rPr>
      </w:pPr>
      <w:bookmarkStart w:id="1370" w:name="_Toc24903"/>
      <w:bookmarkStart w:id="1371" w:name="_Toc29518"/>
      <w:bookmarkStart w:id="1372" w:name="_Toc10418"/>
      <w:r>
        <w:rPr>
          <w:rFonts w:hint="eastAsia" w:ascii="Times New Roman" w:hAnsi="Times New Roman"/>
          <w:b w:val="0"/>
          <w:smallCaps w:val="0"/>
          <w:color w:val="000000" w:themeColor="text1"/>
          <w:highlight w:val="none"/>
          <w:lang w:val="en-US" w:eastAsia="zh-CN"/>
          <w14:textFill>
            <w14:solidFill>
              <w14:schemeClr w14:val="tx1"/>
            </w14:solidFill>
          </w14:textFill>
        </w:rPr>
        <w:t>2. 投标报价</w:t>
      </w:r>
      <w:bookmarkEnd w:id="1370"/>
      <w:bookmarkEnd w:id="1371"/>
      <w:bookmarkEnd w:id="1372"/>
    </w:p>
    <w:p w14:paraId="6644F10C">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2.1 投标人应仔细阅读招标文件，了解拟投标合同段的全部工程内容。投标人的投标报价应是招标文件所确定的招标范围内全部工程内容的价格体现。</w:t>
      </w:r>
    </w:p>
    <w:p w14:paraId="67A02CF1">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2.2 投标人应当根据本企业的具体经营状况、技术装备水平、管理水平，视工程的实际情况、风险程度，自主报价。投标人不得以低于其企业成本的投标报价竞标。</w:t>
      </w:r>
    </w:p>
    <w:p w14:paraId="1E43E3B2">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2.3 投标报价参考下列依据进行编制：</w:t>
      </w:r>
    </w:p>
    <w:p w14:paraId="7370B85E">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（1）现行工程量清单计价计量规范、建设行政主管部门有关计价规定；</w:t>
      </w:r>
    </w:p>
    <w:p w14:paraId="6B083450">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（2）企业定额或参照省建设主管部门颁发的计价依据</w:t>
      </w:r>
    </w:p>
    <w:p w14:paraId="43A15F17">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（3）招标文件及招标工程量清单及其补充通知答疑纪要；</w:t>
      </w:r>
    </w:p>
    <w:p w14:paraId="105884CB">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（4）建设工程设计文件及相关资料；</w:t>
      </w:r>
    </w:p>
    <w:p w14:paraId="0A7D1FED">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（5）与建设项目有关的标准、规范、技术资料；</w:t>
      </w:r>
    </w:p>
    <w:p w14:paraId="52FAC21B">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（6）施工现场情况、工程特点及拟定的投标施工组织设计；</w:t>
      </w:r>
    </w:p>
    <w:p w14:paraId="0D3F9AFD">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（7）市场价格信息或参照工程造价管理机构发布的工程造价信息；</w:t>
      </w:r>
    </w:p>
    <w:p w14:paraId="6D88B8E9">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（8）其他相关材料。</w:t>
      </w:r>
    </w:p>
    <w:p w14:paraId="31986A8E">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2.4 投标人应按招标工程量清单填报价格。项目编码、项目名称、项目特征、计量单位、工程量必须与招标工程量清单相应内容保持一致。</w:t>
      </w:r>
    </w:p>
    <w:p w14:paraId="52BD7136">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2.5 投标人应按招标人提供的招标工程量清单填报综合单价和合价，未填报的综合单价和合价，视为此项费用已含在工程量清单的其他综合单价和合价中。</w:t>
      </w:r>
    </w:p>
    <w:p w14:paraId="7D315CA6">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2.6 分部分项工程费根据招标工程量清单项目及项目特征描述、工程内容等确定综合单价。其中：暂估价中的材料、设备单价应列入相应综合单价。</w:t>
      </w:r>
    </w:p>
    <w:p w14:paraId="6F2E34E2">
      <w:pPr>
        <w:pStyle w:val="79"/>
        <w:pageBreakBefore w:val="0"/>
        <w:kinsoku/>
        <w:wordWrap w:val="0"/>
        <w:overflowPunct/>
        <w:bidi w:val="0"/>
        <w:rPr>
          <w:rFonts w:hint="eastAsia" w:ascii="Times New Roman" w:hAnsi="Times New Roman" w:cs="宋体"/>
          <w:smallCaps w:val="0"/>
          <w:color w:val="000000" w:themeColor="text1"/>
          <w:szCs w:val="2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2.7 措施项目费根据招标文件中的工程量清单措施项目，结合第5.1款编制依据确定。投标人对招标人所列的措施项目可根据工程实际情况结合施工组织设计进行增</w:t>
      </w:r>
      <w:r>
        <w:rPr>
          <w:rFonts w:hint="eastAsia" w:ascii="Times New Roman" w:hAnsi="Times New Roman" w:cs="宋体"/>
          <w:smallCaps w:val="0"/>
          <w:color w:val="000000" w:themeColor="text1"/>
          <w:szCs w:val="21"/>
          <w:highlight w:val="none"/>
          <w14:textFill>
            <w14:solidFill>
              <w14:schemeClr w14:val="tx1"/>
            </w14:solidFill>
          </w14:textFill>
        </w:rPr>
        <w:t>补。</w:t>
      </w:r>
    </w:p>
    <w:p w14:paraId="6CD0B9A3">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2.8 不可竞争费（含安全文明施工费、环境保护税）应根据不可竞争项目清单进行列项，其中不可竞争费中各项费用费率应按照我省建设主管部门颁发的计价文件进行计取，费率不得调整。</w:t>
      </w:r>
    </w:p>
    <w:p w14:paraId="39F0A6F9">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2.9 其他项目费用应按照下列规定计价：</w:t>
      </w:r>
    </w:p>
    <w:p w14:paraId="24E633DC">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（1）暂列金额按招标工程量清单中列出的金额填写，不得更改；</w:t>
      </w:r>
    </w:p>
    <w:p w14:paraId="094E0B08">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（2）专业工程暂估价按招标工程量清单中列出的金额填写，不得更改；</w:t>
      </w:r>
    </w:p>
    <w:p w14:paraId="5C51D8DA">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 xml:space="preserve">（3）计日工按招标人列出项目和数量，结合第2.3款编制依据的要求确定综合单价并计算费用； </w:t>
      </w:r>
    </w:p>
    <w:p w14:paraId="4401C602">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（4）总承包服务费根据招标文件列出的内容和要求计算。</w:t>
      </w:r>
    </w:p>
    <w:p w14:paraId="2C56E853">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2.10 税金（增值税）应按国家或省级建设主管部门的规定计算，不得调整。</w:t>
      </w:r>
    </w:p>
    <w:p w14:paraId="2EDB6625">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2.11 投标人应根据其投标报价情况提供书面报价说明。报价说明的主要内容包括：投标报价的编制依据；对投标工期、质量、安全、材料、施工等方面的承诺；措施项目的依据；其他需要说明的问题。</w:t>
      </w:r>
    </w:p>
    <w:p w14:paraId="56958AE0">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2.12 投标报价编制注意事项</w:t>
      </w:r>
    </w:p>
    <w:p w14:paraId="15A70AD8">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除可调整价格的主要材料和甲供材及实行暂估价的材料及设备以外，其他由投标单位自行采购的材料确定投标报价时应充分考虑材料价格上涨等市场风险因素，中标后不作调整，综合单价中的材料费应包含材料运杂费、采保费等一切应有费用；</w:t>
      </w:r>
    </w:p>
    <w:p w14:paraId="4F33727F">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（2）结算时实行暂估价的材料和设备的价差仅计取税金，不再计取其他费用；</w:t>
      </w:r>
    </w:p>
    <w:p w14:paraId="5F618081">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本招标工程的施工地点为本须知前附表所述，投标人应自行到施工现场踏勘以充分了解工地位置、情况、道路、储存空间、装卸限制及任何其他足以影响投标报价的情况，任何因忽视或误解施工场地情况而导致的索赔或工期延长申请将不被批准。对于受施工现场场地限制，如需要另外寻找场地解决临时住宿、材料及设备堆放，由此所产生的费用应包含在投标报价范围内，招标人不再承担该费用；</w:t>
      </w:r>
    </w:p>
    <w:p w14:paraId="0DF0B22A">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开标前，投标人应认真对照施工设计图纸等文件核对招标人提供的工程量清单，发现工程量存在项目划分误差、计量单位误差、数量误差、遗漏项目的，必须在招标文件规定的时间内向招标人提出异议或修正要求，否则招标人可不予答复；</w:t>
      </w:r>
    </w:p>
    <w:p w14:paraId="34B4016D">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5）招标人对异议或修正要求应进行核实，确认工程量单项子目误差在±3%（含±3%）以内的，招标人可不予调整工程量，投标人应将其误差考虑在综合单价内；若有遗漏项目或单项子目工程量误差超过±3%的，招标人应进行修正并重新公布准确的工程量清单；</w:t>
      </w:r>
    </w:p>
    <w:p w14:paraId="56F5CF0C">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（6）除合同另有约定外，中标人在工程量清单报价书中所报的综合单价在施工图纸和合同约定范围一律不予调整；</w:t>
      </w:r>
    </w:p>
    <w:p w14:paraId="750028BB">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（7）本招标工程不接受恶意不平衡报价，不保证最低价中标。</w:t>
      </w:r>
    </w:p>
    <w:p w14:paraId="4C49E79B">
      <w:pPr>
        <w:pStyle w:val="77"/>
        <w:pageBreakBefore w:val="0"/>
        <w:kinsoku/>
        <w:wordWrap w:val="0"/>
        <w:overflowPunct/>
        <w:bidi w:val="0"/>
        <w:rPr>
          <w:rFonts w:hint="eastAsia" w:ascii="Times New Roman" w:hAnsi="Times New Roman"/>
          <w:b w:val="0"/>
          <w:smallCaps w:val="0"/>
          <w:color w:val="000000" w:themeColor="text1"/>
          <w:highlight w:val="none"/>
          <w:lang w:val="en-US" w:eastAsia="zh-CN"/>
          <w14:textFill>
            <w14:solidFill>
              <w14:schemeClr w14:val="tx1"/>
            </w14:solidFill>
          </w14:textFill>
        </w:rPr>
      </w:pPr>
      <w:bookmarkStart w:id="1373" w:name="_Toc694"/>
      <w:bookmarkStart w:id="1374" w:name="_Toc1839"/>
      <w:bookmarkStart w:id="1375" w:name="_Toc7487"/>
      <w:r>
        <w:rPr>
          <w:rFonts w:hint="eastAsia" w:ascii="Times New Roman" w:hAnsi="Times New Roman"/>
          <w:b w:val="0"/>
          <w:smallCaps w:val="0"/>
          <w:color w:val="000000" w:themeColor="text1"/>
          <w:highlight w:val="none"/>
          <w:lang w:val="en-US" w:eastAsia="zh-CN"/>
          <w14:textFill>
            <w14:solidFill>
              <w14:schemeClr w14:val="tx1"/>
            </w14:solidFill>
          </w14:textFill>
        </w:rPr>
        <w:t>3. 工程量清单</w:t>
      </w:r>
      <w:bookmarkEnd w:id="1373"/>
      <w:bookmarkEnd w:id="1374"/>
      <w:bookmarkEnd w:id="1375"/>
    </w:p>
    <w:p w14:paraId="0FF318B4">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另册。</w:t>
      </w:r>
    </w:p>
    <w:p w14:paraId="5886D903">
      <w:pPr>
        <w:pageBreakBefore w:val="0"/>
        <w:kinsoku/>
        <w:wordWrap w:val="0"/>
        <w:overflowPunct/>
        <w:bidi w:val="0"/>
        <w:rPr>
          <w:rFonts w:hint="eastAsia" w:ascii="Times New Roman" w:hAnsi="Times New Roman" w:cs="宋体"/>
          <w:smallCaps w:val="0"/>
          <w:color w:val="000000" w:themeColor="text1"/>
          <w:highlight w:val="none"/>
          <w14:textFill>
            <w14:solidFill>
              <w14:schemeClr w14:val="tx1"/>
            </w14:solidFill>
          </w14:textFill>
        </w:rPr>
      </w:pPr>
      <w:r>
        <w:rPr>
          <w:rFonts w:hint="eastAsia" w:ascii="Times New Roman" w:hAnsi="Times New Roman" w:cs="宋体"/>
          <w:smallCaps w:val="0"/>
          <w:color w:val="000000" w:themeColor="text1"/>
          <w:highlight w:val="none"/>
          <w14:textFill>
            <w14:solidFill>
              <w14:schemeClr w14:val="tx1"/>
            </w14:solidFill>
          </w14:textFill>
        </w:rPr>
        <w:br w:type="page"/>
      </w:r>
    </w:p>
    <w:p w14:paraId="70C03412">
      <w:pPr>
        <w:pStyle w:val="40"/>
        <w:pageBreakBefore w:val="0"/>
        <w:numPr>
          <w:ilvl w:val="0"/>
          <w:numId w:val="10"/>
        </w:numPr>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 </w:t>
      </w:r>
      <w:bookmarkStart w:id="1376" w:name="_Toc13746"/>
      <w:bookmarkStart w:id="1377" w:name="_Toc24520"/>
      <w:bookmarkStart w:id="1378" w:name="_Toc18829"/>
      <w:r>
        <w:rPr>
          <w:rFonts w:hint="eastAsia" w:ascii="Times New Roman" w:hAnsi="Times New Roman"/>
          <w:smallCaps w:val="0"/>
          <w:color w:val="000000" w:themeColor="text1"/>
          <w:highlight w:val="none"/>
          <w14:textFill>
            <w14:solidFill>
              <w14:schemeClr w14:val="tx1"/>
            </w14:solidFill>
          </w14:textFill>
        </w:rPr>
        <w:t>图  纸</w:t>
      </w:r>
      <w:bookmarkEnd w:id="1376"/>
      <w:bookmarkEnd w:id="1377"/>
      <w:bookmarkEnd w:id="1378"/>
    </w:p>
    <w:p w14:paraId="5449D42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图纸设计深度符合施工要求。技术标准符合国家、行业以及地方标准、规范和规程，具体内容见下表。</w:t>
      </w:r>
    </w:p>
    <w:p w14:paraId="23598189">
      <w:pPr>
        <w:pStyle w:val="77"/>
        <w:pageBreakBefore w:val="0"/>
        <w:kinsoku/>
        <w:wordWrap w:val="0"/>
        <w:overflowPunct/>
        <w:bidi w:val="0"/>
        <w:rPr>
          <w:rFonts w:hint="eastAsia" w:ascii="Times New Roman" w:hAnsi="Times New Roman"/>
          <w:b w:val="0"/>
          <w:smallCaps w:val="0"/>
          <w:color w:val="000000" w:themeColor="text1"/>
          <w:highlight w:val="none"/>
          <w:lang w:val="en-US" w:eastAsia="zh-CN"/>
          <w14:textFill>
            <w14:solidFill>
              <w14:schemeClr w14:val="tx1"/>
            </w14:solidFill>
          </w14:textFill>
        </w:rPr>
      </w:pPr>
      <w:bookmarkStart w:id="1379" w:name="_Toc31905"/>
      <w:r>
        <w:rPr>
          <w:rFonts w:hint="eastAsia" w:ascii="Times New Roman" w:hAnsi="Times New Roman"/>
          <w:b w:val="0"/>
          <w:smallCaps w:val="0"/>
          <w:color w:val="000000" w:themeColor="text1"/>
          <w:highlight w:val="none"/>
          <w:lang w:val="en-US" w:eastAsia="zh-CN"/>
          <w14:textFill>
            <w14:solidFill>
              <w14:schemeClr w14:val="tx1"/>
            </w14:solidFill>
          </w14:textFill>
        </w:rPr>
        <w:t>1.图纸目录（表6-1）</w:t>
      </w:r>
      <w:bookmarkEnd w:id="1379"/>
    </w:p>
    <w:p w14:paraId="0F5269F7">
      <w:pPr>
        <w:pageBreakBefore w:val="0"/>
        <w:kinsoku/>
        <w:wordWrap w:val="0"/>
        <w:overflowPunct/>
        <w:bidi w:val="0"/>
        <w:rPr>
          <w:rFonts w:hint="eastAsia" w:ascii="Times New Roman" w:hAnsi="Times New Roman" w:cs="宋体"/>
          <w:smallCaps w:val="0"/>
          <w:color w:val="000000" w:themeColor="text1"/>
          <w:highlight w:val="none"/>
          <w14:textFill>
            <w14:solidFill>
              <w14:schemeClr w14:val="tx1"/>
            </w14:solidFill>
          </w14:textFill>
        </w:rPr>
      </w:pPr>
    </w:p>
    <w:tbl>
      <w:tblPr>
        <w:tblStyle w:val="22"/>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160"/>
        <w:gridCol w:w="1344"/>
        <w:gridCol w:w="1588"/>
        <w:gridCol w:w="1588"/>
        <w:gridCol w:w="1589"/>
      </w:tblGrid>
      <w:tr w14:paraId="285C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center"/>
          </w:tcPr>
          <w:p w14:paraId="1C9E8E3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2160" w:type="dxa"/>
            <w:noWrap w:val="0"/>
            <w:vAlign w:val="center"/>
          </w:tcPr>
          <w:p w14:paraId="1D8D766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图名</w:t>
            </w:r>
          </w:p>
        </w:tc>
        <w:tc>
          <w:tcPr>
            <w:tcW w:w="1344" w:type="dxa"/>
            <w:noWrap w:val="0"/>
            <w:vAlign w:val="center"/>
          </w:tcPr>
          <w:p w14:paraId="3C768AE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图号</w:t>
            </w:r>
          </w:p>
        </w:tc>
        <w:tc>
          <w:tcPr>
            <w:tcW w:w="1588" w:type="dxa"/>
            <w:noWrap w:val="0"/>
            <w:vAlign w:val="center"/>
          </w:tcPr>
          <w:p w14:paraId="770755B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版本</w:t>
            </w:r>
          </w:p>
        </w:tc>
        <w:tc>
          <w:tcPr>
            <w:tcW w:w="1588" w:type="dxa"/>
            <w:noWrap w:val="0"/>
            <w:vAlign w:val="center"/>
          </w:tcPr>
          <w:p w14:paraId="2278AAC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出图日期</w:t>
            </w:r>
          </w:p>
        </w:tc>
        <w:tc>
          <w:tcPr>
            <w:tcW w:w="1589" w:type="dxa"/>
            <w:noWrap w:val="0"/>
            <w:vAlign w:val="center"/>
          </w:tcPr>
          <w:p w14:paraId="320B089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2ECB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50EFB5B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0B45E58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val="en-US" w:eastAsia="zh-CN"/>
                <w14:textFill>
                  <w14:solidFill>
                    <w14:schemeClr w14:val="tx1"/>
                  </w14:solidFill>
                </w14:textFill>
              </w:rPr>
            </w:pPr>
          </w:p>
        </w:tc>
        <w:tc>
          <w:tcPr>
            <w:tcW w:w="1344" w:type="dxa"/>
            <w:noWrap w:val="0"/>
            <w:vAlign w:val="top"/>
          </w:tcPr>
          <w:p w14:paraId="4F2D954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2BAE126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0DAC0F8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38D155A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3C3A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145FDC0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0F3B3ED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344" w:type="dxa"/>
            <w:noWrap w:val="0"/>
            <w:vAlign w:val="top"/>
          </w:tcPr>
          <w:p w14:paraId="6BA546E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2A7392C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1D8AD34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43749EF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5782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0DAED11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0311E23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344" w:type="dxa"/>
            <w:noWrap w:val="0"/>
            <w:vAlign w:val="top"/>
          </w:tcPr>
          <w:p w14:paraId="5D03399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3597E30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3630933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7984814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31D7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6A6C0E1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3C4BD5B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344" w:type="dxa"/>
            <w:noWrap w:val="0"/>
            <w:vAlign w:val="top"/>
          </w:tcPr>
          <w:p w14:paraId="3FBE56A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1AC5592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08A61C3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30AF724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2541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2D9DB68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37931F7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344" w:type="dxa"/>
            <w:noWrap w:val="0"/>
            <w:vAlign w:val="top"/>
          </w:tcPr>
          <w:p w14:paraId="08D9ABC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22477BE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6AECDD5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53AB593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4407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3E0C067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549C26E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344" w:type="dxa"/>
            <w:noWrap w:val="0"/>
            <w:vAlign w:val="top"/>
          </w:tcPr>
          <w:p w14:paraId="5694917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43FC5CE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6AE1C82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1727A18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77D9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716F4C6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7D858CD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344" w:type="dxa"/>
            <w:noWrap w:val="0"/>
            <w:vAlign w:val="top"/>
          </w:tcPr>
          <w:p w14:paraId="73F1088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063112E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15FC4FF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6BBC890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3F03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5434648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6A6B8CF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344" w:type="dxa"/>
            <w:noWrap w:val="0"/>
            <w:vAlign w:val="top"/>
          </w:tcPr>
          <w:p w14:paraId="2D0888D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231F611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4B79059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350F18C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5F91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3AF4066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46D36FE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344" w:type="dxa"/>
            <w:noWrap w:val="0"/>
            <w:vAlign w:val="top"/>
          </w:tcPr>
          <w:p w14:paraId="40CA729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21F29C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612CEDD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2D67761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7AAC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39B160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160" w:type="dxa"/>
            <w:noWrap w:val="0"/>
            <w:vAlign w:val="top"/>
          </w:tcPr>
          <w:p w14:paraId="781AD9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344" w:type="dxa"/>
            <w:noWrap w:val="0"/>
            <w:vAlign w:val="top"/>
          </w:tcPr>
          <w:p w14:paraId="22200B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42E3622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8" w:type="dxa"/>
            <w:noWrap w:val="0"/>
            <w:vAlign w:val="top"/>
          </w:tcPr>
          <w:p w14:paraId="247009C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89" w:type="dxa"/>
            <w:noWrap w:val="0"/>
            <w:vAlign w:val="top"/>
          </w:tcPr>
          <w:p w14:paraId="274A0A9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bl>
    <w:p w14:paraId="1E582561">
      <w:pPr>
        <w:pStyle w:val="77"/>
        <w:pageBreakBefore w:val="0"/>
        <w:kinsoku/>
        <w:wordWrap w:val="0"/>
        <w:overflowPunct/>
        <w:bidi w:val="0"/>
        <w:rPr>
          <w:rFonts w:hint="eastAsia" w:ascii="Times New Roman" w:hAnsi="Times New Roman"/>
          <w:b w:val="0"/>
          <w:smallCaps w:val="0"/>
          <w:color w:val="000000" w:themeColor="text1"/>
          <w:highlight w:val="none"/>
          <w:lang w:val="en-US" w:eastAsia="zh-CN"/>
          <w14:textFill>
            <w14:solidFill>
              <w14:schemeClr w14:val="tx1"/>
            </w14:solidFill>
          </w14:textFill>
        </w:rPr>
      </w:pPr>
      <w:bookmarkStart w:id="1380" w:name="_Toc21393"/>
      <w:bookmarkStart w:id="1381" w:name="_Toc16370"/>
      <w:bookmarkStart w:id="1382" w:name="_Toc4639"/>
      <w:bookmarkStart w:id="1383" w:name="_Toc24041"/>
      <w:bookmarkStart w:id="1384" w:name="_Toc17312"/>
      <w:bookmarkStart w:id="1385" w:name="_Toc17459"/>
      <w:bookmarkStart w:id="1386" w:name="_Toc24921"/>
      <w:r>
        <w:rPr>
          <w:rFonts w:hint="eastAsia" w:ascii="Times New Roman" w:hAnsi="Times New Roman"/>
          <w:b w:val="0"/>
          <w:smallCaps w:val="0"/>
          <w:color w:val="000000" w:themeColor="text1"/>
          <w:highlight w:val="none"/>
          <w:lang w:val="en-US" w:eastAsia="zh-CN"/>
          <w14:textFill>
            <w14:solidFill>
              <w14:schemeClr w14:val="tx1"/>
            </w14:solidFill>
          </w14:textFill>
        </w:rPr>
        <w:t>2.图纸（另册，在电子交易系统下载）</w:t>
      </w:r>
      <w:bookmarkEnd w:id="1380"/>
      <w:bookmarkEnd w:id="1381"/>
      <w:bookmarkEnd w:id="1382"/>
      <w:bookmarkEnd w:id="1383"/>
      <w:bookmarkEnd w:id="1384"/>
      <w:bookmarkEnd w:id="1385"/>
      <w:bookmarkEnd w:id="1386"/>
    </w:p>
    <w:p w14:paraId="3E6BFBAA">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p>
    <w:p w14:paraId="52F7FEED">
      <w:pPr>
        <w:pStyle w:val="40"/>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387" w:name="_Toc271"/>
      <w:bookmarkStart w:id="1388" w:name="_Toc15128"/>
      <w:bookmarkStart w:id="1389" w:name="_Toc16854"/>
      <w:r>
        <w:rPr>
          <w:rFonts w:hint="eastAsia" w:ascii="Times New Roman" w:hAnsi="Times New Roman"/>
          <w:smallCaps w:val="0"/>
          <w:color w:val="000000" w:themeColor="text1"/>
          <w:highlight w:val="none"/>
          <w14:textFill>
            <w14:solidFill>
              <w14:schemeClr w14:val="tx1"/>
            </w14:solidFill>
          </w14:textFill>
        </w:rPr>
        <w:t>第七章  技术标准和要求</w:t>
      </w:r>
      <w:r>
        <w:rPr>
          <w:rStyle w:val="28"/>
          <w:rFonts w:hint="eastAsia" w:ascii="Times New Roman" w:hAnsi="Times New Roman" w:cs="宋体"/>
          <w:smallCaps w:val="0"/>
          <w:snapToGrid w:val="0"/>
          <w:color w:val="000000" w:themeColor="text1"/>
          <w:kern w:val="0"/>
          <w:szCs w:val="28"/>
          <w:highlight w:val="none"/>
          <w14:textFill>
            <w14:solidFill>
              <w14:schemeClr w14:val="tx1"/>
            </w14:solidFill>
          </w14:textFill>
        </w:rPr>
        <w:footnoteReference w:id="66"/>
      </w:r>
      <w:bookmarkEnd w:id="1387"/>
      <w:bookmarkEnd w:id="1388"/>
      <w:bookmarkEnd w:id="1389"/>
    </w:p>
    <w:p w14:paraId="15C9F8A8">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390" w:name="_Toc10516"/>
      <w:bookmarkStart w:id="1391" w:name="_Toc402"/>
      <w:bookmarkStart w:id="1392" w:name="_Toc12825"/>
      <w:r>
        <w:rPr>
          <w:rFonts w:hint="eastAsia" w:ascii="Times New Roman" w:hAnsi="Times New Roman"/>
          <w:smallCaps w:val="0"/>
          <w:color w:val="000000" w:themeColor="text1"/>
          <w:highlight w:val="none"/>
          <w14:textFill>
            <w14:solidFill>
              <w14:schemeClr w14:val="tx1"/>
            </w14:solidFill>
          </w14:textFill>
        </w:rPr>
        <w:t>1. 一般要求</w:t>
      </w:r>
      <w:bookmarkEnd w:id="1390"/>
      <w:bookmarkEnd w:id="1391"/>
      <w:bookmarkEnd w:id="1392"/>
    </w:p>
    <w:p w14:paraId="0654B887">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051CD611">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69C0496C">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393" w:name="_Toc29862"/>
      <w:bookmarkStart w:id="1394" w:name="_Toc20495"/>
      <w:bookmarkStart w:id="1395" w:name="_Toc19000"/>
      <w:r>
        <w:rPr>
          <w:rFonts w:hint="eastAsia" w:ascii="Times New Roman" w:hAnsi="Times New Roman"/>
          <w:smallCaps w:val="0"/>
          <w:color w:val="000000" w:themeColor="text1"/>
          <w:highlight w:val="none"/>
          <w14:textFill>
            <w14:solidFill>
              <w14:schemeClr w14:val="tx1"/>
            </w14:solidFill>
          </w14:textFill>
        </w:rPr>
        <w:t>2. 特殊技术标准和要求</w:t>
      </w:r>
      <w:bookmarkEnd w:id="1393"/>
      <w:bookmarkEnd w:id="1394"/>
      <w:bookmarkEnd w:id="1395"/>
    </w:p>
    <w:p w14:paraId="4967E8C2">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7F3EE2EA">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20AA64E8">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396" w:name="_Toc31689"/>
      <w:bookmarkStart w:id="1397" w:name="_Toc868"/>
      <w:bookmarkStart w:id="1398" w:name="_Toc23451"/>
      <w:r>
        <w:rPr>
          <w:rFonts w:hint="eastAsia" w:ascii="Times New Roman" w:hAnsi="Times New Roman"/>
          <w:smallCaps w:val="0"/>
          <w:color w:val="000000" w:themeColor="text1"/>
          <w:highlight w:val="none"/>
          <w14:textFill>
            <w14:solidFill>
              <w14:schemeClr w14:val="tx1"/>
            </w14:solidFill>
          </w14:textFill>
        </w:rPr>
        <w:t>3. 适用的国家、行业以及地方标准、规范和规程</w:t>
      </w:r>
      <w:bookmarkEnd w:id="1396"/>
      <w:bookmarkEnd w:id="1397"/>
      <w:bookmarkEnd w:id="1398"/>
    </w:p>
    <w:p w14:paraId="2C43A31D">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08A8A8DC">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74BDAB38">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399" w:name="_Toc27016"/>
      <w:bookmarkStart w:id="1400" w:name="_Toc13214"/>
      <w:bookmarkStart w:id="1401" w:name="_Toc2421"/>
      <w:r>
        <w:rPr>
          <w:rFonts w:hint="eastAsia" w:ascii="Times New Roman" w:hAnsi="Times New Roman"/>
          <w:smallCaps w:val="0"/>
          <w:color w:val="000000" w:themeColor="text1"/>
          <w:highlight w:val="none"/>
          <w14:textFill>
            <w14:solidFill>
              <w14:schemeClr w14:val="tx1"/>
            </w14:solidFill>
          </w14:textFill>
        </w:rPr>
        <w:t>4. 招标人推荐品牌</w:t>
      </w:r>
      <w:bookmarkEnd w:id="1399"/>
      <w:bookmarkEnd w:id="1400"/>
      <w:bookmarkEnd w:id="1401"/>
    </w:p>
    <w:p w14:paraId="1AF74C02">
      <w:pPr>
        <w:pStyle w:val="66"/>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402" w:name="_Toc11347"/>
      <w:r>
        <w:rPr>
          <w:rFonts w:hint="eastAsia" w:ascii="Times New Roman" w:hAnsi="Times New Roman"/>
          <w:smallCaps w:val="0"/>
          <w:color w:val="000000" w:themeColor="text1"/>
          <w:highlight w:val="none"/>
          <w14:textFill>
            <w14:solidFill>
              <w14:schemeClr w14:val="tx1"/>
            </w14:solidFill>
          </w14:textFill>
        </w:rPr>
        <w:t>品牌推荐表（如要求）</w:t>
      </w:r>
      <w:bookmarkEnd w:id="1402"/>
    </w:p>
    <w:tbl>
      <w:tblPr>
        <w:tblStyle w:val="22"/>
        <w:tblW w:w="5000" w:type="pct"/>
        <w:jc w:val="center"/>
        <w:tblLayout w:type="autofit"/>
        <w:tblCellMar>
          <w:top w:w="0" w:type="dxa"/>
          <w:left w:w="108" w:type="dxa"/>
          <w:bottom w:w="0" w:type="dxa"/>
          <w:right w:w="108" w:type="dxa"/>
        </w:tblCellMar>
      </w:tblPr>
      <w:tblGrid>
        <w:gridCol w:w="674"/>
        <w:gridCol w:w="2151"/>
        <w:gridCol w:w="1322"/>
        <w:gridCol w:w="1322"/>
        <w:gridCol w:w="1322"/>
        <w:gridCol w:w="1323"/>
        <w:gridCol w:w="1061"/>
      </w:tblGrid>
      <w:tr w14:paraId="463F2DFC">
        <w:tblPrEx>
          <w:tblCellMar>
            <w:top w:w="0" w:type="dxa"/>
            <w:left w:w="108" w:type="dxa"/>
            <w:bottom w:w="0" w:type="dxa"/>
            <w:right w:w="108" w:type="dxa"/>
          </w:tblCellMar>
        </w:tblPrEx>
        <w:trPr>
          <w:trHeight w:val="463" w:hRule="atLeast"/>
          <w:jc w:val="center"/>
        </w:trPr>
        <w:tc>
          <w:tcPr>
            <w:tcW w:w="367" w:type="pct"/>
            <w:tcBorders>
              <w:top w:val="single" w:color="auto" w:sz="4" w:space="0"/>
              <w:left w:val="single" w:color="auto" w:sz="4" w:space="0"/>
              <w:bottom w:val="single" w:color="auto" w:sz="4" w:space="0"/>
              <w:right w:val="single" w:color="auto" w:sz="4" w:space="0"/>
            </w:tcBorders>
            <w:noWrap w:val="0"/>
            <w:vAlign w:val="center"/>
          </w:tcPr>
          <w:p w14:paraId="40E6EE4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171" w:type="pct"/>
            <w:tcBorders>
              <w:top w:val="single" w:color="auto" w:sz="4" w:space="0"/>
              <w:left w:val="nil"/>
              <w:bottom w:val="single" w:color="auto" w:sz="4" w:space="0"/>
              <w:right w:val="single" w:color="auto" w:sz="4" w:space="0"/>
            </w:tcBorders>
            <w:noWrap w:val="0"/>
            <w:vAlign w:val="center"/>
          </w:tcPr>
          <w:p w14:paraId="2F29236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材料、设备名称</w:t>
            </w:r>
          </w:p>
        </w:tc>
        <w:tc>
          <w:tcPr>
            <w:tcW w:w="720" w:type="pct"/>
            <w:tcBorders>
              <w:top w:val="single" w:color="auto" w:sz="4" w:space="0"/>
              <w:left w:val="nil"/>
              <w:bottom w:val="single" w:color="auto" w:sz="4" w:space="0"/>
              <w:right w:val="single" w:color="auto" w:sz="4" w:space="0"/>
            </w:tcBorders>
            <w:noWrap w:val="0"/>
            <w:vAlign w:val="center"/>
          </w:tcPr>
          <w:p w14:paraId="555633F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品牌1</w:t>
            </w:r>
          </w:p>
        </w:tc>
        <w:tc>
          <w:tcPr>
            <w:tcW w:w="720" w:type="pct"/>
            <w:tcBorders>
              <w:top w:val="single" w:color="auto" w:sz="4" w:space="0"/>
              <w:left w:val="nil"/>
              <w:bottom w:val="single" w:color="auto" w:sz="4" w:space="0"/>
              <w:right w:val="single" w:color="auto" w:sz="4" w:space="0"/>
            </w:tcBorders>
            <w:noWrap w:val="0"/>
            <w:vAlign w:val="center"/>
          </w:tcPr>
          <w:p w14:paraId="61ECE02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品牌2</w:t>
            </w:r>
          </w:p>
        </w:tc>
        <w:tc>
          <w:tcPr>
            <w:tcW w:w="720" w:type="pct"/>
            <w:tcBorders>
              <w:top w:val="single" w:color="auto" w:sz="4" w:space="0"/>
              <w:left w:val="nil"/>
              <w:bottom w:val="single" w:color="auto" w:sz="4" w:space="0"/>
              <w:right w:val="single" w:color="auto" w:sz="4" w:space="0"/>
            </w:tcBorders>
            <w:noWrap w:val="0"/>
            <w:vAlign w:val="center"/>
          </w:tcPr>
          <w:p w14:paraId="06D2AA1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品牌3</w:t>
            </w:r>
          </w:p>
        </w:tc>
        <w:tc>
          <w:tcPr>
            <w:tcW w:w="720" w:type="pct"/>
            <w:tcBorders>
              <w:top w:val="single" w:color="auto" w:sz="4" w:space="0"/>
              <w:left w:val="nil"/>
              <w:bottom w:val="single" w:color="auto" w:sz="4" w:space="0"/>
              <w:right w:val="single" w:color="auto" w:sz="4" w:space="0"/>
            </w:tcBorders>
            <w:noWrap w:val="0"/>
            <w:vAlign w:val="center"/>
          </w:tcPr>
          <w:p w14:paraId="239F6E8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品牌4</w:t>
            </w:r>
          </w:p>
        </w:tc>
        <w:tc>
          <w:tcPr>
            <w:tcW w:w="577" w:type="pct"/>
            <w:tcBorders>
              <w:top w:val="single" w:color="auto" w:sz="4" w:space="0"/>
              <w:left w:val="nil"/>
              <w:bottom w:val="single" w:color="auto" w:sz="4" w:space="0"/>
              <w:right w:val="single" w:color="auto" w:sz="4" w:space="0"/>
            </w:tcBorders>
            <w:noWrap w:val="0"/>
            <w:vAlign w:val="center"/>
          </w:tcPr>
          <w:p w14:paraId="52408B0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748C1DE2">
        <w:tblPrEx>
          <w:tblCellMar>
            <w:top w:w="0" w:type="dxa"/>
            <w:left w:w="108" w:type="dxa"/>
            <w:bottom w:w="0" w:type="dxa"/>
            <w:right w:w="108" w:type="dxa"/>
          </w:tblCellMar>
        </w:tblPrEx>
        <w:trPr>
          <w:trHeight w:val="487" w:hRule="atLeast"/>
          <w:jc w:val="center"/>
        </w:trPr>
        <w:tc>
          <w:tcPr>
            <w:tcW w:w="367" w:type="pct"/>
            <w:tcBorders>
              <w:top w:val="nil"/>
              <w:left w:val="single" w:color="auto" w:sz="4" w:space="0"/>
              <w:bottom w:val="single" w:color="auto" w:sz="4" w:space="0"/>
              <w:right w:val="single" w:color="auto" w:sz="4" w:space="0"/>
            </w:tcBorders>
            <w:noWrap w:val="0"/>
            <w:vAlign w:val="center"/>
          </w:tcPr>
          <w:p w14:paraId="78D9C8E9">
            <w:pPr>
              <w:pStyle w:val="79"/>
              <w:keepNext w:val="0"/>
              <w:keepLines w:val="0"/>
              <w:pageBreakBefore w:val="0"/>
              <w:suppressLineNumbers w:val="0"/>
              <w:kinsoku/>
              <w:wordWrap w:val="0"/>
              <w:overflowPunct/>
              <w:bidi w:val="0"/>
              <w:spacing w:before="0" w:beforeAutospacing="0" w:after="0" w:afterAutospacing="0"/>
              <w:ind w:left="0" w:leftChars="0" w:right="0" w:firstLine="0" w:firstLineChars="0"/>
              <w:jc w:val="center"/>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1171" w:type="pct"/>
            <w:tcBorders>
              <w:top w:val="nil"/>
              <w:left w:val="nil"/>
              <w:bottom w:val="single" w:color="auto" w:sz="4" w:space="0"/>
              <w:right w:val="single" w:color="auto" w:sz="4" w:space="0"/>
            </w:tcBorders>
            <w:noWrap w:val="0"/>
            <w:vAlign w:val="center"/>
          </w:tcPr>
          <w:p w14:paraId="7F7A79C3">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0226CED5">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0AEF7E49">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5F388552">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0E4125E9">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7" w:type="pct"/>
            <w:tcBorders>
              <w:top w:val="nil"/>
              <w:left w:val="nil"/>
              <w:bottom w:val="single" w:color="auto" w:sz="4" w:space="0"/>
              <w:right w:val="single" w:color="auto" w:sz="4" w:space="0"/>
            </w:tcBorders>
            <w:noWrap w:val="0"/>
            <w:vAlign w:val="center"/>
          </w:tcPr>
          <w:p w14:paraId="4C950DFA">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41BD973F">
        <w:tblPrEx>
          <w:tblCellMar>
            <w:top w:w="0" w:type="dxa"/>
            <w:left w:w="108" w:type="dxa"/>
            <w:bottom w:w="0" w:type="dxa"/>
            <w:right w:w="108" w:type="dxa"/>
          </w:tblCellMar>
        </w:tblPrEx>
        <w:trPr>
          <w:trHeight w:val="487" w:hRule="atLeast"/>
          <w:jc w:val="center"/>
        </w:trPr>
        <w:tc>
          <w:tcPr>
            <w:tcW w:w="367" w:type="pct"/>
            <w:tcBorders>
              <w:top w:val="nil"/>
              <w:left w:val="single" w:color="auto" w:sz="4" w:space="0"/>
              <w:bottom w:val="single" w:color="auto" w:sz="4" w:space="0"/>
              <w:right w:val="single" w:color="auto" w:sz="4" w:space="0"/>
            </w:tcBorders>
            <w:noWrap w:val="0"/>
            <w:vAlign w:val="center"/>
          </w:tcPr>
          <w:p w14:paraId="3D0D7160">
            <w:pPr>
              <w:pStyle w:val="79"/>
              <w:keepNext w:val="0"/>
              <w:keepLines w:val="0"/>
              <w:pageBreakBefore w:val="0"/>
              <w:suppressLineNumbers w:val="0"/>
              <w:kinsoku/>
              <w:wordWrap w:val="0"/>
              <w:overflowPunct/>
              <w:bidi w:val="0"/>
              <w:spacing w:before="0" w:beforeAutospacing="0" w:after="0" w:afterAutospacing="0"/>
              <w:ind w:left="0" w:leftChars="0" w:right="0" w:firstLine="0" w:firstLineChars="0"/>
              <w:jc w:val="center"/>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p>
        </w:tc>
        <w:tc>
          <w:tcPr>
            <w:tcW w:w="1171" w:type="pct"/>
            <w:tcBorders>
              <w:top w:val="nil"/>
              <w:left w:val="nil"/>
              <w:bottom w:val="single" w:color="auto" w:sz="4" w:space="0"/>
              <w:right w:val="single" w:color="auto" w:sz="4" w:space="0"/>
            </w:tcBorders>
            <w:noWrap w:val="0"/>
            <w:vAlign w:val="center"/>
          </w:tcPr>
          <w:p w14:paraId="3F857BFA">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57D24F2D">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4171899A">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69E9A21F">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67A25241">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7" w:type="pct"/>
            <w:tcBorders>
              <w:top w:val="nil"/>
              <w:left w:val="nil"/>
              <w:bottom w:val="single" w:color="auto" w:sz="4" w:space="0"/>
              <w:right w:val="single" w:color="auto" w:sz="4" w:space="0"/>
            </w:tcBorders>
            <w:noWrap w:val="0"/>
            <w:vAlign w:val="center"/>
          </w:tcPr>
          <w:p w14:paraId="7EF25CC5">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0E333F1">
        <w:tblPrEx>
          <w:tblCellMar>
            <w:top w:w="0" w:type="dxa"/>
            <w:left w:w="108" w:type="dxa"/>
            <w:bottom w:w="0" w:type="dxa"/>
            <w:right w:w="108" w:type="dxa"/>
          </w:tblCellMar>
        </w:tblPrEx>
        <w:trPr>
          <w:trHeight w:val="487" w:hRule="atLeast"/>
          <w:jc w:val="center"/>
        </w:trPr>
        <w:tc>
          <w:tcPr>
            <w:tcW w:w="367" w:type="pct"/>
            <w:tcBorders>
              <w:top w:val="nil"/>
              <w:left w:val="single" w:color="auto" w:sz="4" w:space="0"/>
              <w:bottom w:val="single" w:color="auto" w:sz="4" w:space="0"/>
              <w:right w:val="single" w:color="auto" w:sz="4" w:space="0"/>
            </w:tcBorders>
            <w:noWrap w:val="0"/>
            <w:vAlign w:val="center"/>
          </w:tcPr>
          <w:p w14:paraId="49B4FE37">
            <w:pPr>
              <w:pStyle w:val="79"/>
              <w:keepNext w:val="0"/>
              <w:keepLines w:val="0"/>
              <w:pageBreakBefore w:val="0"/>
              <w:suppressLineNumbers w:val="0"/>
              <w:kinsoku/>
              <w:wordWrap w:val="0"/>
              <w:overflowPunct/>
              <w:bidi w:val="0"/>
              <w:spacing w:before="0" w:beforeAutospacing="0" w:after="0" w:afterAutospacing="0"/>
              <w:ind w:left="0" w:leftChars="0" w:right="0" w:firstLine="0" w:firstLineChars="0"/>
              <w:jc w:val="center"/>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p>
        </w:tc>
        <w:tc>
          <w:tcPr>
            <w:tcW w:w="1171" w:type="pct"/>
            <w:tcBorders>
              <w:top w:val="nil"/>
              <w:left w:val="nil"/>
              <w:bottom w:val="single" w:color="auto" w:sz="4" w:space="0"/>
              <w:right w:val="single" w:color="auto" w:sz="4" w:space="0"/>
            </w:tcBorders>
            <w:noWrap w:val="0"/>
            <w:vAlign w:val="center"/>
          </w:tcPr>
          <w:p w14:paraId="0559D781">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220AEE35">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779720F3">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13516049">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50768690">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7" w:type="pct"/>
            <w:tcBorders>
              <w:top w:val="nil"/>
              <w:left w:val="nil"/>
              <w:bottom w:val="single" w:color="auto" w:sz="4" w:space="0"/>
              <w:right w:val="single" w:color="auto" w:sz="4" w:space="0"/>
            </w:tcBorders>
            <w:noWrap w:val="0"/>
            <w:vAlign w:val="center"/>
          </w:tcPr>
          <w:p w14:paraId="5900AAC7">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4D10AA26">
        <w:tblPrEx>
          <w:tblCellMar>
            <w:top w:w="0" w:type="dxa"/>
            <w:left w:w="108" w:type="dxa"/>
            <w:bottom w:w="0" w:type="dxa"/>
            <w:right w:w="108" w:type="dxa"/>
          </w:tblCellMar>
        </w:tblPrEx>
        <w:trPr>
          <w:trHeight w:val="487" w:hRule="atLeast"/>
          <w:jc w:val="center"/>
        </w:trPr>
        <w:tc>
          <w:tcPr>
            <w:tcW w:w="367" w:type="pct"/>
            <w:tcBorders>
              <w:top w:val="nil"/>
              <w:left w:val="single" w:color="auto" w:sz="4" w:space="0"/>
              <w:bottom w:val="single" w:color="auto" w:sz="4" w:space="0"/>
              <w:right w:val="single" w:color="auto" w:sz="4" w:space="0"/>
            </w:tcBorders>
            <w:noWrap w:val="0"/>
            <w:vAlign w:val="center"/>
          </w:tcPr>
          <w:p w14:paraId="5F9CE191">
            <w:pPr>
              <w:pStyle w:val="79"/>
              <w:keepNext w:val="0"/>
              <w:keepLines w:val="0"/>
              <w:pageBreakBefore w:val="0"/>
              <w:suppressLineNumbers w:val="0"/>
              <w:kinsoku/>
              <w:wordWrap w:val="0"/>
              <w:overflowPunct/>
              <w:bidi w:val="0"/>
              <w:spacing w:before="0" w:beforeAutospacing="0" w:after="0" w:afterAutospacing="0"/>
              <w:ind w:left="0" w:leftChars="0" w:right="0" w:firstLine="0" w:firstLineChars="0"/>
              <w:jc w:val="center"/>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w:t>
            </w:r>
          </w:p>
        </w:tc>
        <w:tc>
          <w:tcPr>
            <w:tcW w:w="1171" w:type="pct"/>
            <w:tcBorders>
              <w:top w:val="nil"/>
              <w:left w:val="nil"/>
              <w:bottom w:val="single" w:color="auto" w:sz="4" w:space="0"/>
              <w:right w:val="single" w:color="auto" w:sz="4" w:space="0"/>
            </w:tcBorders>
            <w:noWrap w:val="0"/>
            <w:vAlign w:val="center"/>
          </w:tcPr>
          <w:p w14:paraId="3E40E48B">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6AB26B49">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15E42D7D">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3455CDAD">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7589B9DA">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7" w:type="pct"/>
            <w:tcBorders>
              <w:top w:val="nil"/>
              <w:left w:val="nil"/>
              <w:bottom w:val="single" w:color="auto" w:sz="4" w:space="0"/>
              <w:right w:val="single" w:color="auto" w:sz="4" w:space="0"/>
            </w:tcBorders>
            <w:noWrap w:val="0"/>
            <w:vAlign w:val="center"/>
          </w:tcPr>
          <w:p w14:paraId="4487AF59">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825342B">
        <w:tblPrEx>
          <w:tblCellMar>
            <w:top w:w="0" w:type="dxa"/>
            <w:left w:w="108" w:type="dxa"/>
            <w:bottom w:w="0" w:type="dxa"/>
            <w:right w:w="108" w:type="dxa"/>
          </w:tblCellMar>
        </w:tblPrEx>
        <w:trPr>
          <w:trHeight w:val="487" w:hRule="atLeast"/>
          <w:jc w:val="center"/>
        </w:trPr>
        <w:tc>
          <w:tcPr>
            <w:tcW w:w="367" w:type="pct"/>
            <w:tcBorders>
              <w:top w:val="nil"/>
              <w:left w:val="single" w:color="auto" w:sz="4" w:space="0"/>
              <w:bottom w:val="single" w:color="auto" w:sz="4" w:space="0"/>
              <w:right w:val="single" w:color="auto" w:sz="4" w:space="0"/>
            </w:tcBorders>
            <w:noWrap w:val="0"/>
            <w:vAlign w:val="center"/>
          </w:tcPr>
          <w:p w14:paraId="2F712398">
            <w:pPr>
              <w:pStyle w:val="79"/>
              <w:keepNext w:val="0"/>
              <w:keepLines w:val="0"/>
              <w:pageBreakBefore w:val="0"/>
              <w:suppressLineNumbers w:val="0"/>
              <w:kinsoku/>
              <w:wordWrap w:val="0"/>
              <w:overflowPunct/>
              <w:bidi w:val="0"/>
              <w:spacing w:before="0" w:beforeAutospacing="0" w:after="0" w:afterAutospacing="0"/>
              <w:ind w:left="0" w:leftChars="0" w:right="0" w:firstLine="0" w:firstLineChars="0"/>
              <w:jc w:val="center"/>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w:t>
            </w:r>
          </w:p>
        </w:tc>
        <w:tc>
          <w:tcPr>
            <w:tcW w:w="1171" w:type="pct"/>
            <w:tcBorders>
              <w:top w:val="nil"/>
              <w:left w:val="nil"/>
              <w:bottom w:val="single" w:color="auto" w:sz="4" w:space="0"/>
              <w:right w:val="single" w:color="auto" w:sz="4" w:space="0"/>
            </w:tcBorders>
            <w:noWrap w:val="0"/>
            <w:vAlign w:val="center"/>
          </w:tcPr>
          <w:p w14:paraId="6E1C6CBD">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25078893">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1CD6C62D">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10B874F5">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11F83201">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7" w:type="pct"/>
            <w:tcBorders>
              <w:top w:val="nil"/>
              <w:left w:val="nil"/>
              <w:bottom w:val="single" w:color="auto" w:sz="4" w:space="0"/>
              <w:right w:val="single" w:color="auto" w:sz="4" w:space="0"/>
            </w:tcBorders>
            <w:noWrap w:val="0"/>
            <w:vAlign w:val="center"/>
          </w:tcPr>
          <w:p w14:paraId="47504C95">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23400224">
        <w:tblPrEx>
          <w:tblCellMar>
            <w:top w:w="0" w:type="dxa"/>
            <w:left w:w="108" w:type="dxa"/>
            <w:bottom w:w="0" w:type="dxa"/>
            <w:right w:w="108" w:type="dxa"/>
          </w:tblCellMar>
        </w:tblPrEx>
        <w:trPr>
          <w:trHeight w:val="487" w:hRule="atLeast"/>
          <w:jc w:val="center"/>
        </w:trPr>
        <w:tc>
          <w:tcPr>
            <w:tcW w:w="367" w:type="pct"/>
            <w:tcBorders>
              <w:top w:val="nil"/>
              <w:left w:val="single" w:color="auto" w:sz="4" w:space="0"/>
              <w:bottom w:val="single" w:color="auto" w:sz="4" w:space="0"/>
              <w:right w:val="single" w:color="auto" w:sz="4" w:space="0"/>
            </w:tcBorders>
            <w:noWrap w:val="0"/>
            <w:vAlign w:val="center"/>
          </w:tcPr>
          <w:p w14:paraId="10F507DF">
            <w:pPr>
              <w:pStyle w:val="79"/>
              <w:keepNext w:val="0"/>
              <w:keepLines w:val="0"/>
              <w:pageBreakBefore w:val="0"/>
              <w:suppressLineNumbers w:val="0"/>
              <w:kinsoku/>
              <w:wordWrap w:val="0"/>
              <w:overflowPunct/>
              <w:bidi w:val="0"/>
              <w:spacing w:before="0" w:beforeAutospacing="0" w:after="0" w:afterAutospacing="0"/>
              <w:ind w:left="0" w:leftChars="0" w:right="0" w:firstLine="0" w:firstLineChars="0"/>
              <w:jc w:val="center"/>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w:t>
            </w:r>
          </w:p>
        </w:tc>
        <w:tc>
          <w:tcPr>
            <w:tcW w:w="1171" w:type="pct"/>
            <w:tcBorders>
              <w:top w:val="nil"/>
              <w:left w:val="nil"/>
              <w:bottom w:val="single" w:color="auto" w:sz="4" w:space="0"/>
              <w:right w:val="single" w:color="auto" w:sz="4" w:space="0"/>
            </w:tcBorders>
            <w:noWrap w:val="0"/>
            <w:vAlign w:val="center"/>
          </w:tcPr>
          <w:p w14:paraId="667FA577">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1280DA30">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0D84F75D">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4DDF0B92">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0" w:type="pct"/>
            <w:tcBorders>
              <w:top w:val="single" w:color="auto" w:sz="4" w:space="0"/>
              <w:left w:val="nil"/>
              <w:bottom w:val="single" w:color="auto" w:sz="4" w:space="0"/>
              <w:right w:val="single" w:color="auto" w:sz="4" w:space="0"/>
            </w:tcBorders>
            <w:noWrap w:val="0"/>
            <w:vAlign w:val="center"/>
          </w:tcPr>
          <w:p w14:paraId="28694DEE">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7" w:type="pct"/>
            <w:tcBorders>
              <w:top w:val="nil"/>
              <w:left w:val="nil"/>
              <w:bottom w:val="single" w:color="auto" w:sz="4" w:space="0"/>
              <w:right w:val="single" w:color="auto" w:sz="4" w:space="0"/>
            </w:tcBorders>
            <w:noWrap w:val="0"/>
            <w:vAlign w:val="center"/>
          </w:tcPr>
          <w:p w14:paraId="08E2E539">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bl>
    <w:p w14:paraId="49A7BB05">
      <w:pPr>
        <w:pStyle w:val="77"/>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403" w:name="_Toc5320"/>
      <w:r>
        <w:rPr>
          <w:rFonts w:hint="eastAsia" w:ascii="Times New Roman" w:hAnsi="Times New Roman"/>
          <w:smallCaps w:val="0"/>
          <w:color w:val="000000" w:themeColor="text1"/>
          <w:highlight w:val="none"/>
          <w:lang w:val="en-US" w:eastAsia="zh-CN"/>
          <w14:textFill>
            <w14:solidFill>
              <w14:schemeClr w14:val="tx1"/>
            </w14:solidFill>
          </w14:textFill>
        </w:rPr>
        <w:t xml:space="preserve">5. </w:t>
      </w:r>
      <w:r>
        <w:rPr>
          <w:rFonts w:hint="eastAsia" w:ascii="Times New Roman" w:hAnsi="Times New Roman"/>
          <w:smallCaps w:val="0"/>
          <w:color w:val="000000" w:themeColor="text1"/>
          <w:highlight w:val="none"/>
          <w14:textFill>
            <w14:solidFill>
              <w14:schemeClr w14:val="tx1"/>
            </w14:solidFill>
          </w14:textFill>
        </w:rPr>
        <w:t>BIM 技术工作要求</w:t>
      </w:r>
      <w:bookmarkEnd w:id="1403"/>
    </w:p>
    <w:p w14:paraId="283179BA">
      <w:pPr>
        <w:pageBreakBefore w:val="0"/>
        <w:numPr>
          <w:ilvl w:val="0"/>
          <w:numId w:val="0"/>
        </w:numPr>
        <w:kinsoku/>
        <w:wordWrap w:val="0"/>
        <w:overflowPunct/>
        <w:bidi w:val="0"/>
        <w:ind w:left="0" w:firstLine="420"/>
        <w:rPr>
          <w:rFonts w:hint="default" w:eastAsia="宋体"/>
          <w:color w:val="000000" w:themeColor="text1"/>
          <w:highlight w:val="none"/>
          <w:lang w:val="en-US" w:eastAsia="zh-CN"/>
          <w14:textFill>
            <w14:solidFill>
              <w14:schemeClr w14:val="tx1"/>
            </w14:solidFill>
          </w14:textFill>
        </w:rPr>
        <w:sectPr>
          <w:footerReference r:id="rId14" w:type="default"/>
          <w:headerReference r:id="rId13" w:type="even"/>
          <w:footerReference r:id="rId15" w:type="even"/>
          <w:footnotePr>
            <w:numFmt w:val="decimalEnclosedCircleChinese"/>
            <w:numRestart w:val="eachPage"/>
          </w:footnotePr>
          <w:pgSz w:w="11907" w:h="16840"/>
          <w:pgMar w:top="1474" w:right="1474" w:bottom="1474" w:left="1474" w:header="799" w:footer="907" w:gutter="0"/>
          <w:pgNumType w:fmt="decimal"/>
          <w:cols w:space="720" w:num="1"/>
          <w:docGrid w:linePitch="271" w:charSpace="0"/>
        </w:sectPr>
      </w:pPr>
      <w:r>
        <w:rPr>
          <w:rFonts w:hint="eastAsia"/>
          <w:color w:val="000000" w:themeColor="text1"/>
          <w:highlight w:val="none"/>
          <w:lang w:val="en-US" w:eastAsia="zh-CN"/>
          <w14:textFill>
            <w14:solidFill>
              <w14:schemeClr w14:val="tx1"/>
            </w14:solidFill>
          </w14:textFill>
        </w:rPr>
        <w:t>参照</w:t>
      </w:r>
      <w:r>
        <w:rPr>
          <w:rFonts w:hint="eastAsia"/>
          <w:color w:val="000000" w:themeColor="text1"/>
          <w:highlight w:val="none"/>
          <w14:textFill>
            <w14:solidFill>
              <w14:schemeClr w14:val="tx1"/>
            </w14:solidFill>
          </w14:textFill>
        </w:rPr>
        <w:t>《安徽省房屋建筑和市政基础设施工程施工应用BIM技术招标投标评标办法实施导则》</w:t>
      </w:r>
      <w:r>
        <w:rPr>
          <w:rFonts w:hint="eastAsia"/>
          <w:color w:val="000000" w:themeColor="text1"/>
          <w:highlight w:val="none"/>
          <w:lang w:val="en-US" w:eastAsia="zh-CN"/>
          <w14:textFill>
            <w14:solidFill>
              <w14:schemeClr w14:val="tx1"/>
            </w14:solidFill>
          </w14:textFill>
        </w:rPr>
        <w:t>编制招标文件。</w:t>
      </w:r>
    </w:p>
    <w:p w14:paraId="45BEAD58">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26E8320A">
      <w:pPr>
        <w:pStyle w:val="40"/>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404" w:name="_Toc31683"/>
      <w:bookmarkStart w:id="1405" w:name="_Toc14831"/>
      <w:bookmarkStart w:id="1406" w:name="_Toc23588"/>
      <w:r>
        <w:rPr>
          <w:rFonts w:hint="eastAsia" w:ascii="Times New Roman" w:hAnsi="Times New Roman"/>
          <w:smallCaps w:val="0"/>
          <w:color w:val="000000" w:themeColor="text1"/>
          <w:highlight w:val="none"/>
          <w14:textFill>
            <w14:solidFill>
              <w14:schemeClr w14:val="tx1"/>
            </w14:solidFill>
          </w14:textFill>
        </w:rPr>
        <w:t>第八章  投标文件格式</w:t>
      </w:r>
      <w:r>
        <w:rPr>
          <w:rFonts w:hint="eastAsia" w:ascii="Times New Roman" w:hAnsi="Times New Roman"/>
          <w:smallCaps w:val="0"/>
          <w:color w:val="000000" w:themeColor="text1"/>
          <w:highlight w:val="none"/>
          <w:vertAlign w:val="superscript"/>
          <w:lang w:val="en-US" w:eastAsia="zh-CN"/>
          <w14:textFill>
            <w14:solidFill>
              <w14:schemeClr w14:val="tx1"/>
            </w14:solidFill>
          </w14:textFill>
        </w:rPr>
        <w:footnoteReference w:id="67"/>
      </w:r>
      <w:bookmarkEnd w:id="1404"/>
    </w:p>
    <w:p w14:paraId="388DD834">
      <w:pPr>
        <w:pStyle w:val="77"/>
        <w:pageBreakBefore w:val="0"/>
        <w:kinsoku/>
        <w:wordWrap w:val="0"/>
        <w:overflowPunct/>
        <w:bidi w:val="0"/>
        <w:jc w:val="center"/>
        <w:outlineLvl w:val="9"/>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投标文件（商务文件）</w:t>
      </w:r>
    </w:p>
    <w:p w14:paraId="78854771">
      <w:pPr>
        <w:pStyle w:val="77"/>
        <w:pageBreakBefore w:val="0"/>
        <w:kinsoku/>
        <w:wordWrap w:val="0"/>
        <w:overflowPunct/>
        <w:bidi w:val="0"/>
        <w:jc w:val="center"/>
        <w:outlineLvl w:val="9"/>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投标文件（报价文件）</w:t>
      </w:r>
    </w:p>
    <w:p w14:paraId="6824A20E">
      <w:pPr>
        <w:pStyle w:val="77"/>
        <w:pageBreakBefore w:val="0"/>
        <w:kinsoku/>
        <w:wordWrap w:val="0"/>
        <w:overflowPunct/>
        <w:bidi w:val="0"/>
        <w:jc w:val="center"/>
        <w:outlineLvl w:val="9"/>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投标文件（技术文件）</w:t>
      </w:r>
    </w:p>
    <w:bookmarkEnd w:id="1405"/>
    <w:bookmarkEnd w:id="1406"/>
    <w:p w14:paraId="67D1A686">
      <w:pPr>
        <w:pageBreakBefore w:val="0"/>
        <w:kinsoku/>
        <w:wordWrap w:val="0"/>
        <w:overflowPunct/>
        <w:bidi w:val="0"/>
        <w:rPr>
          <w:rFonts w:hint="eastAsia" w:ascii="Times New Roman" w:hAnsi="Times New Roman" w:cs="宋体"/>
          <w:smallCaps w:val="0"/>
          <w:color w:val="000000" w:themeColor="text1"/>
          <w:sz w:val="32"/>
          <w:szCs w:val="32"/>
          <w:highlight w:val="none"/>
          <w14:textFill>
            <w14:solidFill>
              <w14:schemeClr w14:val="tx1"/>
            </w14:solidFill>
          </w14:textFill>
        </w:rPr>
      </w:pPr>
      <w:r>
        <w:rPr>
          <w:rFonts w:hint="eastAsia" w:ascii="Times New Roman" w:hAnsi="Times New Roman" w:cs="宋体"/>
          <w:smallCaps w:val="0"/>
          <w:color w:val="000000" w:themeColor="text1"/>
          <w:sz w:val="32"/>
          <w:szCs w:val="32"/>
          <w:highlight w:val="none"/>
          <w14:textFill>
            <w14:solidFill>
              <w14:schemeClr w14:val="tx1"/>
            </w14:solidFill>
          </w14:textFill>
        </w:rPr>
        <w:br w:type="page"/>
      </w:r>
    </w:p>
    <w:p w14:paraId="6EA4AAC7">
      <w:pPr>
        <w:pageBreakBefore w:val="0"/>
        <w:kinsoku/>
        <w:wordWrap w:val="0"/>
        <w:overflowPunct/>
        <w:bidi w:val="0"/>
        <w:rPr>
          <w:rFonts w:hint="eastAsia" w:ascii="Times New Roman" w:hAnsi="Times New Roman" w:cs="宋体"/>
          <w:smallCaps w:val="0"/>
          <w:color w:val="000000" w:themeColor="text1"/>
          <w:sz w:val="32"/>
          <w:szCs w:val="32"/>
          <w:highlight w:val="none"/>
          <w14:textFill>
            <w14:solidFill>
              <w14:schemeClr w14:val="tx1"/>
            </w14:solidFill>
          </w14:textFill>
        </w:rPr>
      </w:pPr>
    </w:p>
    <w:p w14:paraId="5F19C69D">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49FC08ED">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（招标项目名称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标段施工招标</w:t>
      </w:r>
    </w:p>
    <w:p w14:paraId="220150CE">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p>
    <w:p w14:paraId="277B8CD1">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p>
    <w:p w14:paraId="73FA18C4">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p>
    <w:p w14:paraId="2A0C8F76">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p>
    <w:p w14:paraId="414BBF4F">
      <w:pPr>
        <w:pStyle w:val="77"/>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p>
    <w:p w14:paraId="7FBDA4A4">
      <w:pPr>
        <w:pStyle w:val="77"/>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bookmarkStart w:id="1407" w:name="_Toc31244"/>
      <w:bookmarkStart w:id="1408" w:name="_Toc25749"/>
      <w:bookmarkStart w:id="1409" w:name="_Toc26063"/>
      <w:r>
        <w:rPr>
          <w:rFonts w:hint="eastAsia" w:ascii="Times New Roman" w:hAnsi="Times New Roman"/>
          <w:smallCaps w:val="0"/>
          <w:color w:val="000000" w:themeColor="text1"/>
          <w:highlight w:val="none"/>
          <w14:textFill>
            <w14:solidFill>
              <w14:schemeClr w14:val="tx1"/>
            </w14:solidFill>
          </w14:textFill>
        </w:rPr>
        <w:t>投  标  文  件</w:t>
      </w:r>
      <w:bookmarkEnd w:id="1407"/>
    </w:p>
    <w:p w14:paraId="76C00BD0">
      <w:pPr>
        <w:pStyle w:val="77"/>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bookmarkStart w:id="1410" w:name="_Toc23860"/>
      <w:bookmarkStart w:id="1411" w:name="_Toc12865"/>
      <w:r>
        <w:rPr>
          <w:rFonts w:hint="eastAsia" w:ascii="Times New Roman" w:hAnsi="Times New Roman"/>
          <w:smallCaps w:val="0"/>
          <w:color w:val="000000" w:themeColor="text1"/>
          <w:highlight w:val="none"/>
          <w14:textFill>
            <w14:solidFill>
              <w14:schemeClr w14:val="tx1"/>
            </w14:solidFill>
          </w14:textFill>
        </w:rPr>
        <w:t>（商务文件）</w:t>
      </w:r>
      <w:bookmarkEnd w:id="1408"/>
      <w:bookmarkEnd w:id="1409"/>
      <w:bookmarkEnd w:id="1410"/>
      <w:bookmarkEnd w:id="1411"/>
    </w:p>
    <w:p w14:paraId="649B7E58">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3C69F22F">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0FE340BD">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53F69CEE">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28A4D5E0">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6C9CCE7D">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70959CC6">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3F3F887E">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6E0E1348">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60E90AAD">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4504E89A">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561C7B87">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779B5CCC">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5B913660">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73CEBBCA">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559864A4">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6F5115CE">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777129A9">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7CFCA635">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p>
    <w:p w14:paraId="5BA28181">
      <w:pPr>
        <w:pStyle w:val="6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26BB21D9">
      <w:pPr>
        <w:pStyle w:val="6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1EBDA18B">
      <w:pPr>
        <w:pageBreakBefore w:val="0"/>
        <w:kinsoku/>
        <w:wordWrap w:val="0"/>
        <w:overflowPunct/>
        <w:bidi w:val="0"/>
        <w:rPr>
          <w:rFonts w:hint="eastAsia" w:ascii="Times New Roman" w:hAnsi="Times New Roman" w:cs="宋体"/>
          <w:smallCaps w:val="0"/>
          <w:color w:val="000000" w:themeColor="text1"/>
          <w:sz w:val="28"/>
          <w:szCs w:val="28"/>
          <w:highlight w:val="none"/>
          <w14:textFill>
            <w14:solidFill>
              <w14:schemeClr w14:val="tx1"/>
            </w14:solidFill>
          </w14:textFill>
        </w:rPr>
      </w:pPr>
      <w:r>
        <w:rPr>
          <w:rFonts w:hint="eastAsia" w:ascii="Times New Roman" w:hAnsi="Times New Roman" w:cs="宋体"/>
          <w:smallCaps w:val="0"/>
          <w:color w:val="000000" w:themeColor="text1"/>
          <w:sz w:val="28"/>
          <w:szCs w:val="28"/>
          <w:highlight w:val="none"/>
          <w14:textFill>
            <w14:solidFill>
              <w14:schemeClr w14:val="tx1"/>
            </w14:solidFill>
          </w14:textFill>
        </w:rPr>
        <w:br w:type="page"/>
      </w:r>
    </w:p>
    <w:p w14:paraId="0618AADE">
      <w:pPr>
        <w:pageBreakBefore w:val="0"/>
        <w:kinsoku/>
        <w:wordWrap w:val="0"/>
        <w:overflowPunct/>
        <w:bidi w:val="0"/>
        <w:spacing w:line="400" w:lineRule="exact"/>
        <w:rPr>
          <w:rFonts w:hint="eastAsia" w:ascii="Times New Roman" w:hAnsi="Times New Roman"/>
          <w:smallCaps w:val="0"/>
          <w:color w:val="000000" w:themeColor="text1"/>
          <w:highlight w:val="none"/>
          <w14:textFill>
            <w14:solidFill>
              <w14:schemeClr w14:val="tx1"/>
            </w14:solidFill>
          </w14:textFill>
        </w:rPr>
      </w:pPr>
    </w:p>
    <w:p w14:paraId="6F569A3A">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412" w:name="_Toc152042576"/>
      <w:bookmarkStart w:id="1413" w:name="_Toc152045787"/>
      <w:bookmarkStart w:id="1414" w:name="_Toc144974856"/>
      <w:bookmarkStart w:id="1415" w:name="_Toc179632807"/>
      <w:r>
        <w:rPr>
          <w:rFonts w:hint="eastAsia" w:ascii="Times New Roman" w:hAnsi="Times New Roman"/>
          <w:smallCaps w:val="0"/>
          <w:color w:val="000000" w:themeColor="text1"/>
          <w:highlight w:val="none"/>
          <w14:textFill>
            <w14:solidFill>
              <w14:schemeClr w14:val="tx1"/>
            </w14:solidFill>
          </w14:textFill>
        </w:rPr>
        <w:t>目    录</w:t>
      </w:r>
      <w:bookmarkEnd w:id="1412"/>
      <w:bookmarkEnd w:id="1413"/>
      <w:bookmarkEnd w:id="1414"/>
      <w:bookmarkEnd w:id="1415"/>
    </w:p>
    <w:p w14:paraId="71D9B9E6">
      <w:pPr>
        <w:pageBreakBefore w:val="0"/>
        <w:kinsoku/>
        <w:wordWrap w:val="0"/>
        <w:overflowPunct/>
        <w:bidi w:val="0"/>
        <w:spacing w:line="540" w:lineRule="exact"/>
        <w:rPr>
          <w:rFonts w:ascii="Times New Roman" w:hAnsi="Times New Roman"/>
          <w:smallCaps w:val="0"/>
          <w:color w:val="000000" w:themeColor="text1"/>
          <w:highlight w:val="none"/>
          <w14:textFill>
            <w14:solidFill>
              <w14:schemeClr w14:val="tx1"/>
            </w14:solidFill>
          </w14:textFill>
        </w:rPr>
      </w:pPr>
    </w:p>
    <w:p w14:paraId="45E1D428">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14:textFill>
            <w14:solidFill>
              <w14:schemeClr w14:val="tx1"/>
            </w14:solidFill>
          </w14:textFill>
        </w:rPr>
      </w:pPr>
      <w:r>
        <w:rPr>
          <w:rFonts w:hint="eastAsia" w:ascii="Times New Roman" w:hAnsi="Times New Roman"/>
          <w:smallCaps w:val="0"/>
          <w:color w:val="000000" w:themeColor="text1"/>
          <w:sz w:val="21"/>
          <w:szCs w:val="24"/>
          <w:highlight w:val="none"/>
          <w14:textFill>
            <w14:solidFill>
              <w14:schemeClr w14:val="tx1"/>
            </w14:solidFill>
          </w14:textFill>
        </w:rPr>
        <w:t>一、投标函（不含报价）</w:t>
      </w:r>
    </w:p>
    <w:p w14:paraId="5B75A6AC">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14:textFill>
            <w14:solidFill>
              <w14:schemeClr w14:val="tx1"/>
            </w14:solidFill>
          </w14:textFill>
        </w:rPr>
      </w:pPr>
      <w:r>
        <w:rPr>
          <w:rFonts w:hint="eastAsia" w:ascii="Times New Roman" w:hAnsi="Times New Roman"/>
          <w:smallCaps w:val="0"/>
          <w:color w:val="000000" w:themeColor="text1"/>
          <w:sz w:val="21"/>
          <w:szCs w:val="24"/>
          <w:highlight w:val="none"/>
          <w14:textFill>
            <w14:solidFill>
              <w14:schemeClr w14:val="tx1"/>
            </w14:solidFill>
          </w14:textFill>
        </w:rPr>
        <w:t>二、法定代表人身份证明或授权委托书</w:t>
      </w:r>
    </w:p>
    <w:p w14:paraId="360A33D5">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eastAsia="zh-CN"/>
          <w14:textFill>
            <w14:solidFill>
              <w14:schemeClr w14:val="tx1"/>
            </w14:solidFill>
          </w14:textFill>
        </w:rPr>
      </w:pPr>
      <w:r>
        <w:rPr>
          <w:rFonts w:hint="eastAsia" w:ascii="Times New Roman" w:hAnsi="Times New Roman"/>
          <w:smallCaps w:val="0"/>
          <w:color w:val="000000" w:themeColor="text1"/>
          <w:sz w:val="21"/>
          <w:szCs w:val="24"/>
          <w:highlight w:val="none"/>
          <w14:textFill>
            <w14:solidFill>
              <w14:schemeClr w14:val="tx1"/>
            </w14:solidFill>
          </w14:textFill>
        </w:rPr>
        <w:t>三、联合体协议书</w:t>
      </w:r>
      <w:r>
        <w:rPr>
          <w:rFonts w:hint="eastAsia" w:ascii="Times New Roman" w:hAnsi="Times New Roman"/>
          <w:smallCaps w:val="0"/>
          <w:color w:val="000000" w:themeColor="text1"/>
          <w:sz w:val="21"/>
          <w:szCs w:val="24"/>
          <w:highlight w:val="none"/>
          <w:lang w:eastAsia="zh-CN"/>
          <w14:textFill>
            <w14:solidFill>
              <w14:schemeClr w14:val="tx1"/>
            </w14:solidFill>
          </w14:textFill>
        </w:rPr>
        <w:t>（</w:t>
      </w: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如有</w:t>
      </w:r>
      <w:r>
        <w:rPr>
          <w:rFonts w:hint="eastAsia" w:ascii="Times New Roman" w:hAnsi="Times New Roman"/>
          <w:smallCaps w:val="0"/>
          <w:color w:val="000000" w:themeColor="text1"/>
          <w:sz w:val="21"/>
          <w:szCs w:val="24"/>
          <w:highlight w:val="none"/>
          <w:lang w:eastAsia="zh-CN"/>
          <w14:textFill>
            <w14:solidFill>
              <w14:schemeClr w14:val="tx1"/>
            </w14:solidFill>
          </w14:textFill>
        </w:rPr>
        <w:t>）</w:t>
      </w:r>
    </w:p>
    <w:p w14:paraId="2EC30FBC">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14:textFill>
            <w14:solidFill>
              <w14:schemeClr w14:val="tx1"/>
            </w14:solidFill>
          </w14:textFill>
        </w:rPr>
      </w:pPr>
      <w:r>
        <w:rPr>
          <w:rFonts w:hint="eastAsia" w:ascii="Times New Roman" w:hAnsi="Times New Roman"/>
          <w:smallCaps w:val="0"/>
          <w:color w:val="000000" w:themeColor="text1"/>
          <w:sz w:val="21"/>
          <w:szCs w:val="24"/>
          <w:highlight w:val="none"/>
          <w14:textFill>
            <w14:solidFill>
              <w14:schemeClr w14:val="tx1"/>
            </w14:solidFill>
          </w14:textFill>
        </w:rPr>
        <w:t>四、投标保证金</w:t>
      </w:r>
    </w:p>
    <w:p w14:paraId="3B294D94">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14:textFill>
            <w14:solidFill>
              <w14:schemeClr w14:val="tx1"/>
            </w14:solidFill>
          </w14:textFill>
        </w:rPr>
      </w:pPr>
      <w:r>
        <w:rPr>
          <w:rFonts w:hint="eastAsia" w:ascii="Times New Roman" w:hAnsi="Times New Roman"/>
          <w:smallCaps w:val="0"/>
          <w:color w:val="000000" w:themeColor="text1"/>
          <w:sz w:val="21"/>
          <w:szCs w:val="24"/>
          <w:highlight w:val="none"/>
          <w14:textFill>
            <w14:solidFill>
              <w14:schemeClr w14:val="tx1"/>
            </w14:solidFill>
          </w14:textFill>
        </w:rPr>
        <w:t>五、项目管理机构</w:t>
      </w:r>
    </w:p>
    <w:p w14:paraId="1F04BD44">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14:textFill>
            <w14:solidFill>
              <w14:schemeClr w14:val="tx1"/>
            </w14:solidFill>
          </w14:textFill>
        </w:rPr>
      </w:pPr>
      <w:r>
        <w:rPr>
          <w:rFonts w:hint="eastAsia" w:ascii="Times New Roman" w:hAnsi="Times New Roman"/>
          <w:smallCaps w:val="0"/>
          <w:color w:val="000000" w:themeColor="text1"/>
          <w:sz w:val="21"/>
          <w:szCs w:val="24"/>
          <w:highlight w:val="none"/>
          <w14:textFill>
            <w14:solidFill>
              <w14:schemeClr w14:val="tx1"/>
            </w14:solidFill>
          </w14:textFill>
        </w:rPr>
        <w:t>六、拟分包项目情况表</w:t>
      </w:r>
    </w:p>
    <w:p w14:paraId="1BCCAA14">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14:textFill>
            <w14:solidFill>
              <w14:schemeClr w14:val="tx1"/>
            </w14:solidFill>
          </w14:textFill>
        </w:rPr>
      </w:pPr>
      <w:r>
        <w:rPr>
          <w:rFonts w:hint="eastAsia" w:ascii="Times New Roman" w:hAnsi="Times New Roman"/>
          <w:smallCaps w:val="0"/>
          <w:color w:val="000000" w:themeColor="text1"/>
          <w:sz w:val="21"/>
          <w:szCs w:val="24"/>
          <w:highlight w:val="none"/>
          <w14:textFill>
            <w14:solidFill>
              <w14:schemeClr w14:val="tx1"/>
            </w14:solidFill>
          </w14:textFill>
        </w:rPr>
        <w:t>七、资格审查资料</w:t>
      </w:r>
    </w:p>
    <w:p w14:paraId="57ED4151">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（一）投标人基本情况表</w:t>
      </w:r>
    </w:p>
    <w:p w14:paraId="1FD88CC7">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（二）近年财务状况</w:t>
      </w:r>
    </w:p>
    <w:p w14:paraId="4CD2C273">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（三）投标人业绩基本情况表</w:t>
      </w:r>
    </w:p>
    <w:p w14:paraId="14EEFAD7">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Style w:val="80"/>
          <w:rFonts w:hint="eastAsia" w:ascii="Times New Roman" w:hAnsi="Times New Roman"/>
          <w:smallCaps w:val="0"/>
          <w:color w:val="000000" w:themeColor="text1"/>
          <w:highlight w:val="none"/>
          <w:lang w:val="en-US" w:eastAsia="zh-CN"/>
          <w14:textFill>
            <w14:solidFill>
              <w14:schemeClr w14:val="tx1"/>
            </w14:solidFill>
          </w14:textFill>
        </w:rPr>
        <w:t xml:space="preserve">      </w:t>
      </w: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投标人近年完成的类似项目情况表</w:t>
      </w:r>
    </w:p>
    <w:p w14:paraId="4F7850F8">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（四）项目经理业绩基本情况表</w:t>
      </w:r>
    </w:p>
    <w:p w14:paraId="6D40B530">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 xml:space="preserve">       项目经理近年完成的类似项目情况表</w:t>
      </w:r>
    </w:p>
    <w:p w14:paraId="769CDCEB">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（五）投标人信誉情况</w:t>
      </w:r>
    </w:p>
    <w:p w14:paraId="1BC37C60">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（六）拟委任的项目经理（项目技术负责人）简历</w:t>
      </w:r>
    </w:p>
    <w:p w14:paraId="581AD7A2">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（七）项目经理承诺</w:t>
      </w:r>
    </w:p>
    <w:p w14:paraId="036909A0">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八、商务文件详细评审资料</w:t>
      </w:r>
    </w:p>
    <w:p w14:paraId="1151292F">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（一）投标人业绩基本情况表</w:t>
      </w:r>
    </w:p>
    <w:p w14:paraId="278B8169">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 xml:space="preserve">      投标人近年完成的类似项目情况表</w:t>
      </w:r>
    </w:p>
    <w:p w14:paraId="7BE6A6B3">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（二）项目经理业绩基本情况表</w:t>
      </w:r>
    </w:p>
    <w:p w14:paraId="78A50BD2">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 xml:space="preserve">      项目经理近年完成的类似项目情况表</w:t>
      </w:r>
    </w:p>
    <w:p w14:paraId="67B385BE">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（三）投标人和主要管理人员近年获得奖项/荣誉情况表</w:t>
      </w:r>
    </w:p>
    <w:p w14:paraId="1C51B066">
      <w:pPr>
        <w:pageBreakBefore w:val="0"/>
        <w:kinsoku/>
        <w:wordWrap w:val="0"/>
        <w:overflowPunct/>
        <w:bidi w:val="0"/>
        <w:adjustRightInd/>
        <w:spacing w:line="540" w:lineRule="exact"/>
        <w:rPr>
          <w:rFonts w:hint="eastAsia" w:ascii="Times New Roman" w:hAnsi="Times New Roman"/>
          <w:smallCaps w:val="0"/>
          <w:color w:val="000000" w:themeColor="text1"/>
          <w:sz w:val="21"/>
          <w:szCs w:val="24"/>
          <w:highlight w:val="none"/>
          <w:lang w:val="en-US" w:eastAsia="zh-CN"/>
          <w14:textFill>
            <w14:solidFill>
              <w14:schemeClr w14:val="tx1"/>
            </w14:solidFill>
          </w14:textFill>
        </w:rPr>
      </w:pPr>
      <w:r>
        <w:rPr>
          <w:rFonts w:hint="eastAsia" w:ascii="Times New Roman" w:hAnsi="Times New Roman"/>
          <w:smallCaps w:val="0"/>
          <w:color w:val="000000" w:themeColor="text1"/>
          <w:sz w:val="21"/>
          <w:szCs w:val="24"/>
          <w:highlight w:val="none"/>
          <w:lang w:val="en-US" w:eastAsia="zh-CN"/>
          <w14:textFill>
            <w14:solidFill>
              <w14:schemeClr w14:val="tx1"/>
            </w14:solidFill>
          </w14:textFill>
        </w:rPr>
        <w:t>九、其他资料</w:t>
      </w:r>
    </w:p>
    <w:p w14:paraId="01D45669">
      <w:pPr>
        <w:pageBreakBefore w:val="0"/>
        <w:kinsoku/>
        <w:wordWrap w:val="0"/>
        <w:overflowPunct/>
        <w:bidi w:val="0"/>
        <w:rPr>
          <w:rFonts w:hint="eastAsia" w:ascii="Times New Roman" w:hAnsi="Times New Roman" w:eastAsia="宋体" w:cs="宋体"/>
          <w:smallCaps w:val="0"/>
          <w:color w:val="000000" w:themeColor="text1"/>
          <w:highlight w:val="none"/>
          <w14:textFill>
            <w14:solidFill>
              <w14:schemeClr w14:val="tx1"/>
            </w14:solidFill>
          </w14:textFill>
        </w:rPr>
      </w:pPr>
      <w:bookmarkStart w:id="1416" w:name="_Toc421917001"/>
      <w:bookmarkStart w:id="1417" w:name="_Toc460660223"/>
      <w:bookmarkStart w:id="1418" w:name="_Toc390411621"/>
      <w:bookmarkStart w:id="1419" w:name="_Toc460227108"/>
      <w:bookmarkStart w:id="1420" w:name="_Toc224103496"/>
      <w:r>
        <w:rPr>
          <w:rFonts w:hint="eastAsia" w:ascii="Times New Roman" w:hAnsi="Times New Roman" w:eastAsia="宋体" w:cs="宋体"/>
          <w:smallCaps w:val="0"/>
          <w:color w:val="000000" w:themeColor="text1"/>
          <w:highlight w:val="none"/>
          <w14:textFill>
            <w14:solidFill>
              <w14:schemeClr w14:val="tx1"/>
            </w14:solidFill>
          </w14:textFill>
        </w:rPr>
        <w:br w:type="page"/>
      </w:r>
    </w:p>
    <w:p w14:paraId="16EE0052">
      <w:pPr>
        <w:pStyle w:val="40"/>
        <w:pageBreakBefore w:val="0"/>
        <w:kinsoku/>
        <w:wordWrap w:val="0"/>
        <w:overflowPunct/>
        <w:bidi w:val="0"/>
        <w:outlineLvl w:val="1"/>
        <w:rPr>
          <w:rFonts w:hint="eastAsia" w:ascii="Times New Roman" w:hAnsi="Times New Roman"/>
          <w:smallCaps w:val="0"/>
          <w:color w:val="000000" w:themeColor="text1"/>
          <w:highlight w:val="none"/>
          <w14:textFill>
            <w14:solidFill>
              <w14:schemeClr w14:val="tx1"/>
            </w14:solidFill>
          </w14:textFill>
        </w:rPr>
      </w:pPr>
      <w:bookmarkStart w:id="1421" w:name="_Toc29349"/>
      <w:r>
        <w:rPr>
          <w:rFonts w:hint="eastAsia" w:ascii="Times New Roman" w:hAnsi="Times New Roman"/>
          <w:smallCaps w:val="0"/>
          <w:color w:val="000000" w:themeColor="text1"/>
          <w:highlight w:val="none"/>
          <w14:textFill>
            <w14:solidFill>
              <w14:schemeClr w14:val="tx1"/>
            </w14:solidFill>
          </w14:textFill>
        </w:rPr>
        <w:t>一、投标函</w:t>
      </w:r>
      <w:r>
        <w:rPr>
          <w:rStyle w:val="28"/>
          <w:rFonts w:hint="eastAsia" w:ascii="Times New Roman" w:hAnsi="Times New Roman" w:cs="宋体"/>
          <w:smallCaps w:val="0"/>
          <w:color w:val="000000" w:themeColor="text1"/>
          <w:szCs w:val="20"/>
          <w:highlight w:val="none"/>
          <w:u w:val="none"/>
          <w:lang w:val="en-US" w:eastAsia="zh-CN"/>
          <w14:textFill>
            <w14:solidFill>
              <w14:schemeClr w14:val="tx1"/>
            </w14:solidFill>
          </w14:textFill>
        </w:rPr>
        <w:footnoteReference w:id="68"/>
      </w:r>
      <w:bookmarkEnd w:id="1421"/>
    </w:p>
    <w:p w14:paraId="51E5C6E4">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13EA5CEF">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（招标人名称）</w:t>
      </w:r>
      <w:r>
        <w:rPr>
          <w:rFonts w:hint="eastAsia" w:ascii="Times New Roman" w:hAnsi="Times New Roman"/>
          <w:smallCaps w:val="0"/>
          <w:color w:val="000000" w:themeColor="text1"/>
          <w:highlight w:val="none"/>
          <w:lang w:eastAsia="zh-CN"/>
          <w14:textFill>
            <w14:solidFill>
              <w14:schemeClr w14:val="tx1"/>
            </w14:solidFill>
          </w14:textFill>
        </w:rPr>
        <w:t>：</w:t>
      </w:r>
    </w:p>
    <w:p w14:paraId="5B2AFF26">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3F00D63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我方已仔细研究</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（招标项目名称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标段招标文件的全部内容，在考察工程现场后，愿以报价文件投标函中的投标总报价，按合同约定实施和完成承包工程，修补工程中的任何缺陷。</w:t>
      </w:r>
    </w:p>
    <w:p w14:paraId="6D587A0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我方承诺在招标文件规定的投标有效期内不撤销投标文件。</w:t>
      </w:r>
    </w:p>
    <w:p w14:paraId="3B04806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 工程质量</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日历天。</w:t>
      </w:r>
    </w:p>
    <w:p w14:paraId="6F508AD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4.招标文件要求提交投标保证金的，我方将与本投标函一起提交相应金额的投标保证金，且承诺投标保证金真实有效，如采用银行转账、银行电汇形式，投标保证金是从我单位基本账户转出。</w:t>
      </w:r>
    </w:p>
    <w:p w14:paraId="3BAC07BA">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 如我方中标，我方承诺</w:t>
      </w:r>
      <w:r>
        <w:rPr>
          <w:rFonts w:hint="eastAsia" w:ascii="Times New Roman" w:hAnsi="Times New Roman"/>
          <w:smallCaps w:val="0"/>
          <w:color w:val="000000" w:themeColor="text1"/>
          <w:highlight w:val="none"/>
          <w:lang w:eastAsia="zh-CN"/>
          <w14:textFill>
            <w14:solidFill>
              <w14:schemeClr w14:val="tx1"/>
            </w14:solidFill>
          </w14:textFill>
        </w:rPr>
        <w:t>：</w:t>
      </w:r>
    </w:p>
    <w:p w14:paraId="1FC5963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（1）在收到中标通知书后，在中标通知书规定的期限内与你方签订合同；</w:t>
      </w:r>
    </w:p>
    <w:p w14:paraId="0759D11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（2）在签订合同时不向你方提出附加条件；</w:t>
      </w:r>
    </w:p>
    <w:p w14:paraId="08A62B3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（3）按照招标文件要求提交履约保证金；</w:t>
      </w:r>
    </w:p>
    <w:p w14:paraId="4FFAB2C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（4）在合同约定的期限内完成合同规定的全部义务；</w:t>
      </w:r>
    </w:p>
    <w:p w14:paraId="391EB25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在你方和我方进行合同谈判之前，我方将按照投标文件中填报人员及招标文件提出的最低要求填报派驻本标段的其他管理和技术人员及主要机械设备，经你方审批后作为派驻本标段的项目管理机构主要人员和主要设备且不进行更换。如我方拟派驻的人员和设备不满足合同附件要求，你方有权取消我方中标资格；</w:t>
      </w:r>
    </w:p>
    <w:p w14:paraId="3137CFD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（6）投标报价中已包含招标文件公布的施工扬尘污染防治费用和建筑工人实名制管理费用。我方将按照招标文件要求对农民工工资、扬尘污染防治进行办理专户设立、工资支付等事宜；</w:t>
      </w:r>
    </w:p>
    <w:p w14:paraId="35DF6C3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 我方在此声明，所</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的投标文件及有关资料内容完整、真实和准确，符合资格审查条件</w:t>
      </w:r>
      <w:r>
        <w:rPr>
          <w:rFonts w:hint="eastAsia" w:ascii="Times New Roman" w:hAnsi="Times New Roman"/>
          <w:smallCaps w:val="0"/>
          <w:color w:val="000000" w:themeColor="text1"/>
          <w:highlight w:val="none"/>
          <w:lang w:val="en-US" w:eastAsia="zh-CN"/>
          <w14:textFill>
            <w14:solidFill>
              <w14:schemeClr w14:val="tx1"/>
            </w14:solidFill>
          </w14:textFill>
        </w:rPr>
        <w:t>和</w:t>
      </w:r>
      <w:r>
        <w:rPr>
          <w:rFonts w:hint="eastAsia" w:ascii="Times New Roman" w:hAnsi="Times New Roman"/>
          <w:smallCaps w:val="0"/>
          <w:color w:val="000000" w:themeColor="text1"/>
          <w:highlight w:val="none"/>
          <w14:textFill>
            <w14:solidFill>
              <w14:schemeClr w14:val="tx1"/>
            </w14:solidFill>
          </w14:textFill>
        </w:rPr>
        <w:t>信誉要求，且不存在第二章“投标人须知”第1.4.3项、第1.4.4项规定的任何一种情形。</w:t>
      </w:r>
    </w:p>
    <w:p w14:paraId="2AC08B7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 除非另外达成协议并生效，你方的中标通知书和本投标文件以及招标文件、招标文件澄清、修改、补充文件将成为约束双方的合同文件的组成部分。</w:t>
      </w:r>
    </w:p>
    <w:p w14:paraId="7832EB3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（其他补充说明）。</w:t>
      </w:r>
    </w:p>
    <w:p w14:paraId="0667863A">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42FAB5D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 标 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61709C8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（签字或盖章）</w:t>
      </w:r>
    </w:p>
    <w:p w14:paraId="448F068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57767AEA">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电话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传真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电子邮箱：</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1336962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50210DEB">
      <w:pPr>
        <w:pageBreakBefore w:val="0"/>
        <w:kinsoku/>
        <w:wordWrap w:val="0"/>
        <w:overflowPunct/>
        <w:bidi w:val="0"/>
        <w:adjustRightInd w:val="0"/>
        <w:snapToGrid w:val="0"/>
        <w:spacing w:line="420" w:lineRule="auto"/>
        <w:jc w:val="center"/>
        <w:rPr>
          <w:rFonts w:hint="eastAsia" w:ascii="Times New Roman" w:hAnsi="Times New Roman" w:cs="宋体"/>
          <w:smallCaps w:val="0"/>
          <w:color w:val="000000" w:themeColor="text1"/>
          <w:sz w:val="28"/>
          <w:szCs w:val="28"/>
          <w:highlight w:val="none"/>
          <w14:textFill>
            <w14:solidFill>
              <w14:schemeClr w14:val="tx1"/>
            </w14:solidFill>
          </w14:textFill>
        </w:rPr>
      </w:pPr>
      <w:r>
        <w:rPr>
          <w:rFonts w:hint="eastAsia" w:ascii="Times New Roman" w:hAnsi="Times New Roman" w:cs="宋体"/>
          <w:smallCaps w:val="0"/>
          <w:color w:val="000000" w:themeColor="text1"/>
          <w:sz w:val="28"/>
          <w:szCs w:val="28"/>
          <w:highlight w:val="none"/>
          <w14:textFill>
            <w14:solidFill>
              <w14:schemeClr w14:val="tx1"/>
            </w14:solidFill>
          </w14:textFill>
        </w:rPr>
        <w:br w:type="page"/>
      </w:r>
    </w:p>
    <w:p w14:paraId="5F308CA9">
      <w:pPr>
        <w:pStyle w:val="40"/>
        <w:pageBreakBefore w:val="0"/>
        <w:kinsoku/>
        <w:wordWrap w:val="0"/>
        <w:overflowPunct/>
        <w:bidi w:val="0"/>
        <w:outlineLvl w:val="1"/>
        <w:rPr>
          <w:rFonts w:hint="eastAsia"/>
          <w:color w:val="000000" w:themeColor="text1"/>
          <w:highlight w:val="none"/>
          <w14:textFill>
            <w14:solidFill>
              <w14:schemeClr w14:val="tx1"/>
            </w14:solidFill>
          </w14:textFill>
        </w:rPr>
      </w:pPr>
      <w:bookmarkStart w:id="1422" w:name="_Toc10943"/>
      <w:r>
        <w:rPr>
          <w:rFonts w:hint="eastAsia"/>
          <w:color w:val="000000" w:themeColor="text1"/>
          <w:highlight w:val="none"/>
          <w14:textFill>
            <w14:solidFill>
              <w14:schemeClr w14:val="tx1"/>
            </w14:solidFill>
          </w14:textFill>
        </w:rPr>
        <w:t>二、法定代表人身份证明或授权委托书</w:t>
      </w:r>
      <w:bookmarkEnd w:id="1416"/>
      <w:bookmarkEnd w:id="1417"/>
      <w:bookmarkEnd w:id="1418"/>
      <w:bookmarkEnd w:id="1419"/>
      <w:bookmarkEnd w:id="1422"/>
    </w:p>
    <w:p w14:paraId="4D6FDAD7">
      <w:pPr>
        <w:pageBreakBefore w:val="0"/>
        <w:kinsoku/>
        <w:wordWrap w:val="0"/>
        <w:overflowPunct/>
        <w:bidi w:val="0"/>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22BBF3FF">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法定代表人身份证明</w:t>
      </w:r>
    </w:p>
    <w:p w14:paraId="37BC5009">
      <w:pPr>
        <w:pageBreakBefore w:val="0"/>
        <w:kinsoku/>
        <w:wordWrap w:val="0"/>
        <w:overflowPunct/>
        <w:bidi w:val="0"/>
        <w:rPr>
          <w:rFonts w:hint="eastAsia" w:ascii="Times New Roman" w:hAnsi="Times New Roman" w:cs="宋体"/>
          <w:smallCaps w:val="0"/>
          <w:color w:val="000000" w:themeColor="text1"/>
          <w:szCs w:val="22"/>
          <w:highlight w:val="none"/>
          <w14:textFill>
            <w14:solidFill>
              <w14:schemeClr w14:val="tx1"/>
            </w14:solidFill>
          </w14:textFill>
        </w:rPr>
      </w:pPr>
    </w:p>
    <w:p w14:paraId="13DF86A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 标 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3770E4C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单位性质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7953EF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6650FD4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成立时间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15471DE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经营期限</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1D86AA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姓</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名</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性</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别</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E5DA8D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龄</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职</w:t>
      </w:r>
      <w:r>
        <w:rPr>
          <w:rFonts w:hint="eastAsia" w:ascii="Times New Roman" w:hAnsi="Times New Roman"/>
          <w:smallCaps w:val="0"/>
          <w:color w:val="000000" w:themeColor="text1"/>
          <w:highlight w:val="none"/>
          <w:u w:val="non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务</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5DA23CF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系</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（投标人名称）的法定代表人。</w:t>
      </w:r>
    </w:p>
    <w:p w14:paraId="35291CE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特此证明。</w:t>
      </w:r>
    </w:p>
    <w:p w14:paraId="60AEC8ED">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1D067C35">
      <w:pPr>
        <w:pageBreakBefore w:val="0"/>
        <w:kinsoku/>
        <w:wordWrap w:val="0"/>
        <w:overflowPunct/>
        <w:bidi w:val="0"/>
        <w:spacing w:line="500" w:lineRule="exact"/>
        <w:rPr>
          <w:rFonts w:hint="eastAsia" w:ascii="Times New Roman" w:hAnsi="Times New Roman" w:cs="宋体"/>
          <w:smallCaps w:val="0"/>
          <w:color w:val="000000" w:themeColor="text1"/>
          <w:szCs w:val="21"/>
          <w:highlight w:val="none"/>
          <w14:textFill>
            <w14:solidFill>
              <w14:schemeClr w14:val="tx1"/>
            </w14:solidFill>
          </w14:textFill>
        </w:rPr>
      </w:pPr>
    </w:p>
    <w:p w14:paraId="7373ABCB">
      <w:pPr>
        <w:pStyle w:val="79"/>
        <w:pageBreakBefore w:val="0"/>
        <w:kinsoku/>
        <w:wordWrap w:val="0"/>
        <w:overflowPunct/>
        <w:bidi w:val="0"/>
        <w:jc w:val="righ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014DD4BC">
      <w:pPr>
        <w:pStyle w:val="79"/>
        <w:pageBreakBefore w:val="0"/>
        <w:kinsoku/>
        <w:wordWrap w:val="0"/>
        <w:overflowPunct/>
        <w:bidi w:val="0"/>
        <w:jc w:val="righ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360E231A">
      <w:pPr>
        <w:pageBreakBefore w:val="0"/>
        <w:kinsoku/>
        <w:wordWrap w:val="0"/>
        <w:overflowPunct/>
        <w:bidi w:val="0"/>
        <w:rPr>
          <w:rFonts w:hint="eastAsia" w:ascii="Times New Roman" w:hAnsi="Times New Roman" w:cs="宋体"/>
          <w:smallCaps w:val="0"/>
          <w:color w:val="000000" w:themeColor="text1"/>
          <w:sz w:val="24"/>
          <w:szCs w:val="22"/>
          <w:highlight w:val="none"/>
          <w14:textFill>
            <w14:solidFill>
              <w14:schemeClr w14:val="tx1"/>
            </w14:solidFill>
          </w14:textFill>
        </w:rPr>
      </w:pPr>
    </w:p>
    <w:p w14:paraId="5354496A">
      <w:pPr>
        <w:pageBreakBefore w:val="0"/>
        <w:kinsoku/>
        <w:wordWrap w:val="0"/>
        <w:overflowPunct/>
        <w:bidi w:val="0"/>
        <w:rPr>
          <w:rFonts w:hint="eastAsia" w:ascii="Times New Roman" w:hAnsi="Times New Roman" w:cs="宋体"/>
          <w:b/>
          <w:bCs/>
          <w:smallCaps w:val="0"/>
          <w:color w:val="000000" w:themeColor="text1"/>
          <w:sz w:val="24"/>
          <w:szCs w:val="22"/>
          <w:highlight w:val="none"/>
          <w14:textFill>
            <w14:solidFill>
              <w14:schemeClr w14:val="tx1"/>
            </w14:solidFill>
          </w14:textFill>
        </w:rPr>
      </w:pPr>
    </w:p>
    <w:p w14:paraId="05FF85B9">
      <w:pPr>
        <w:pStyle w:val="77"/>
        <w:pageBreakBefore w:val="0"/>
        <w:kinsoku/>
        <w:wordWrap w:val="0"/>
        <w:overflowPunct/>
        <w:bidi w:val="0"/>
        <w:outlineLvl w:val="9"/>
        <w:rPr>
          <w:rFonts w:hint="eastAsia" w:ascii="Times New Roman" w:hAnsi="Times New Roman" w:eastAsia="黑体"/>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法定代表人身份证扫描件</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人像面与国徽面</w:t>
      </w:r>
      <w:r>
        <w:rPr>
          <w:rFonts w:hint="eastAsia" w:ascii="Times New Roman" w:hAnsi="Times New Roman"/>
          <w:smallCaps w:val="0"/>
          <w:color w:val="000000" w:themeColor="text1"/>
          <w:highlight w:val="none"/>
          <w:lang w:eastAsia="zh-CN"/>
          <w14:textFill>
            <w14:solidFill>
              <w14:schemeClr w14:val="tx1"/>
            </w14:solidFill>
          </w14:textFill>
        </w:rPr>
        <w:t>）</w:t>
      </w:r>
    </w:p>
    <w:p w14:paraId="735C36AE">
      <w:pPr>
        <w:pageBreakBefore w:val="0"/>
        <w:kinsoku/>
        <w:wordWrap w:val="0"/>
        <w:overflowPunct/>
        <w:bidi w:val="0"/>
        <w:rPr>
          <w:rFonts w:hint="eastAsia" w:ascii="Times New Roman" w:hAnsi="Times New Roman" w:cs="宋体"/>
          <w:b/>
          <w:bCs/>
          <w:smallCaps w:val="0"/>
          <w:color w:val="000000" w:themeColor="text1"/>
          <w:sz w:val="24"/>
          <w:szCs w:val="22"/>
          <w:highlight w:val="none"/>
          <w14:textFill>
            <w14:solidFill>
              <w14:schemeClr w14:val="tx1"/>
            </w14:solidFill>
          </w14:textFill>
        </w:rPr>
      </w:pPr>
    </w:p>
    <w:p w14:paraId="2120159F">
      <w:pPr>
        <w:pageBreakBefore w:val="0"/>
        <w:kinsoku/>
        <w:wordWrap w:val="0"/>
        <w:overflowPunct/>
        <w:bidi w:val="0"/>
        <w:rPr>
          <w:rFonts w:hint="eastAsia" w:ascii="Times New Roman" w:hAnsi="Times New Roman" w:cs="宋体"/>
          <w:b/>
          <w:bCs/>
          <w:smallCaps w:val="0"/>
          <w:color w:val="000000" w:themeColor="text1"/>
          <w:sz w:val="24"/>
          <w:szCs w:val="22"/>
          <w:highlight w:val="none"/>
          <w14:textFill>
            <w14:solidFill>
              <w14:schemeClr w14:val="tx1"/>
            </w14:solidFill>
          </w14:textFill>
        </w:rPr>
      </w:pPr>
    </w:p>
    <w:bookmarkEnd w:id="1420"/>
    <w:p w14:paraId="4E4AB955">
      <w:pPr>
        <w:pageBreakBefore w:val="0"/>
        <w:kinsoku/>
        <w:wordWrap w:val="0"/>
        <w:overflowPunct/>
        <w:bidi w:val="0"/>
        <w:adjustRightInd w:val="0"/>
        <w:snapToGrid w:val="0"/>
        <w:spacing w:line="425" w:lineRule="auto"/>
        <w:jc w:val="center"/>
        <w:rPr>
          <w:rStyle w:val="39"/>
          <w:rFonts w:hint="eastAsia" w:ascii="Times New Roman" w:hAnsi="Times New Roman"/>
          <w:smallCaps w:val="0"/>
          <w:color w:val="000000" w:themeColor="text1"/>
          <w:highlight w:val="none"/>
          <w14:textFill>
            <w14:solidFill>
              <w14:schemeClr w14:val="tx1"/>
            </w14:solidFill>
          </w14:textFill>
        </w:rPr>
      </w:pPr>
      <w:bookmarkStart w:id="1423" w:name="_Toc535241227"/>
      <w:bookmarkStart w:id="1424" w:name="_Toc535241130"/>
      <w:bookmarkStart w:id="1425" w:name="_Toc535241084"/>
      <w:bookmarkStart w:id="1426" w:name="_Toc224103497"/>
      <w:bookmarkStart w:id="1427" w:name="_Toc224103498"/>
      <w:r>
        <w:rPr>
          <w:rFonts w:hint="eastAsia" w:ascii="Times New Roman" w:hAnsi="Times New Roman" w:cs="宋体"/>
          <w:smallCaps w:val="0"/>
          <w:color w:val="000000" w:themeColor="text1"/>
          <w:sz w:val="32"/>
          <w:szCs w:val="32"/>
          <w:highlight w:val="none"/>
          <w14:textFill>
            <w14:solidFill>
              <w14:schemeClr w14:val="tx1"/>
            </w14:solidFill>
          </w14:textFill>
        </w:rPr>
        <w:br w:type="page"/>
      </w:r>
      <w:r>
        <w:rPr>
          <w:rFonts w:hint="eastAsia" w:ascii="Times New Roman" w:hAnsi="Times New Roman" w:eastAsia="黑体" w:cs="Times New Roman"/>
          <w:smallCaps w:val="0"/>
          <w:snapToGrid w:val="0"/>
          <w:color w:val="000000" w:themeColor="text1"/>
          <w:kern w:val="2"/>
          <w:sz w:val="28"/>
          <w:szCs w:val="28"/>
          <w:highlight w:val="none"/>
          <w:lang w:val="en-US" w:eastAsia="zh-CN" w:bidi="ar-SA"/>
          <w14:textFill>
            <w14:solidFill>
              <w14:schemeClr w14:val="tx1"/>
            </w14:solidFill>
          </w14:textFill>
        </w:rPr>
        <w:t>法定代表人授权委托书</w:t>
      </w:r>
      <w:bookmarkEnd w:id="1423"/>
      <w:bookmarkEnd w:id="1424"/>
      <w:bookmarkEnd w:id="1425"/>
    </w:p>
    <w:p w14:paraId="5E6F5279">
      <w:pPr>
        <w:pageBreakBefore w:val="0"/>
        <w:kinsoku/>
        <w:wordWrap w:val="0"/>
        <w:overflowPunct/>
        <w:bidi w:val="0"/>
        <w:adjustRightInd w:val="0"/>
        <w:snapToGrid w:val="0"/>
        <w:spacing w:line="425" w:lineRule="auto"/>
        <w:rPr>
          <w:rFonts w:hint="eastAsia" w:ascii="Times New Roman" w:hAnsi="Times New Roman" w:cs="宋体"/>
          <w:smallCaps w:val="0"/>
          <w:color w:val="000000" w:themeColor="text1"/>
          <w:highlight w:val="none"/>
          <w14:textFill>
            <w14:solidFill>
              <w14:schemeClr w14:val="tx1"/>
            </w14:solidFill>
          </w14:textFill>
        </w:rPr>
      </w:pPr>
    </w:p>
    <w:p w14:paraId="6E6B59F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（姓名）系</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（投标人名称）的法定代表人，现委托</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（姓名）为我方代理人。代理人根据授权，以我方名义签署、澄清、说明、补正、</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、撤回、修改</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（招标项目名称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标段施工投标文件、签订合同和处理有关事宜，其法律后果由我方承担。</w:t>
      </w:r>
    </w:p>
    <w:p w14:paraId="0004927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委托期限</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4521032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代理人无转委托权。</w:t>
      </w:r>
    </w:p>
    <w:p w14:paraId="61849D7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法定代表人身份证明和代理人身份证扫描件</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人像面与国徽面</w:t>
      </w:r>
      <w:r>
        <w:rPr>
          <w:rFonts w:hint="eastAsia" w:ascii="Times New Roman" w:hAnsi="Times New Roman"/>
          <w:smallCaps w:val="0"/>
          <w:color w:val="000000" w:themeColor="text1"/>
          <w:highlight w:val="none"/>
          <w:lang w:eastAsia="zh-CN"/>
          <w14:textFill>
            <w14:solidFill>
              <w14:schemeClr w14:val="tx1"/>
            </w14:solidFill>
          </w14:textFill>
        </w:rPr>
        <w:t>）</w:t>
      </w:r>
    </w:p>
    <w:p w14:paraId="3412011D">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4AD40D7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  标  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10DE747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（签字或盖章）</w:t>
      </w:r>
    </w:p>
    <w:p w14:paraId="0635C5B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代理人身份证号码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F76215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1A4830C3">
      <w:pPr>
        <w:pageBreakBefore w:val="0"/>
        <w:kinsoku/>
        <w:wordWrap w:val="0"/>
        <w:overflowPunct/>
        <w:bidi w:val="0"/>
        <w:rPr>
          <w:rFonts w:hint="eastAsia" w:ascii="Times New Roman" w:hAnsi="Times New Roman" w:cs="宋体"/>
          <w:smallCaps w:val="0"/>
          <w:color w:val="000000" w:themeColor="text1"/>
          <w:kern w:val="0"/>
          <w:szCs w:val="22"/>
          <w:highlight w:val="none"/>
          <w14:textFill>
            <w14:solidFill>
              <w14:schemeClr w14:val="tx1"/>
            </w14:solidFill>
          </w14:textFill>
        </w:rPr>
      </w:pPr>
    </w:p>
    <w:p w14:paraId="3F6B315D">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7021028C">
      <w:pPr>
        <w:pageBreakBefore w:val="0"/>
        <w:kinsoku/>
        <w:wordWrap w:val="0"/>
        <w:overflowPunct/>
        <w:bidi w:val="0"/>
        <w:rPr>
          <w:rFonts w:hint="eastAsia" w:ascii="Times New Roman" w:hAnsi="Times New Roman" w:cs="宋体"/>
          <w:smallCaps w:val="0"/>
          <w:color w:val="000000" w:themeColor="text1"/>
          <w:kern w:val="0"/>
          <w:szCs w:val="22"/>
          <w:highlight w:val="none"/>
          <w14:textFill>
            <w14:solidFill>
              <w14:schemeClr w14:val="tx1"/>
            </w14:solidFill>
          </w14:textFill>
        </w:rPr>
      </w:pPr>
    </w:p>
    <w:p w14:paraId="50BB0E7A">
      <w:pPr>
        <w:pageBreakBefore w:val="0"/>
        <w:kinsoku/>
        <w:wordWrap w:val="0"/>
        <w:overflowPunct/>
        <w:bidi w:val="0"/>
        <w:rPr>
          <w:rFonts w:hint="eastAsia" w:ascii="Times New Roman" w:hAnsi="Times New Roman" w:cs="宋体"/>
          <w:smallCaps w:val="0"/>
          <w:color w:val="000000" w:themeColor="text1"/>
          <w:kern w:val="0"/>
          <w:sz w:val="21"/>
          <w:szCs w:val="21"/>
          <w:highlight w:val="none"/>
          <w14:textFill>
            <w14:solidFill>
              <w14:schemeClr w14:val="tx1"/>
            </w14:solidFill>
          </w14:textFill>
        </w:rPr>
      </w:pPr>
    </w:p>
    <w:p w14:paraId="17729FF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法定代表人参加投标活动并签署文件的不需要授权委托书，只需提供法定代表人身份证明和法定代表人身份证扫描件；非法定代表人参加投标活动及签署文件的还须提供授权委托书和代理人身份证扫描件。</w:t>
      </w:r>
      <w:bookmarkEnd w:id="1426"/>
      <w:bookmarkEnd w:id="1427"/>
      <w:bookmarkStart w:id="1428" w:name="_Toc421917002"/>
      <w:bookmarkStart w:id="1429" w:name="_Toc390411622"/>
      <w:bookmarkStart w:id="1430" w:name="_Toc460660224"/>
      <w:bookmarkStart w:id="1431" w:name="_Toc224103499"/>
      <w:bookmarkStart w:id="1432" w:name="_Toc460227109"/>
    </w:p>
    <w:p w14:paraId="15C96481">
      <w:pPr>
        <w:pStyle w:val="4"/>
        <w:keepNext/>
        <w:keepLines/>
        <w:pageBreakBefore w:val="0"/>
        <w:widowControl w:val="0"/>
        <w:kinsoku/>
        <w:wordWrap w:val="0"/>
        <w:overflowPunct/>
        <w:topLinePunct w:val="0"/>
        <w:autoSpaceDE/>
        <w:autoSpaceDN/>
        <w:bidi w:val="0"/>
        <w:adjustRightInd w:val="0"/>
        <w:snapToGrid w:val="0"/>
        <w:spacing w:before="0" w:after="0"/>
        <w:jc w:val="center"/>
        <w:textAlignment w:val="auto"/>
        <w:outlineLvl w:val="1"/>
        <w:rPr>
          <w:rStyle w:val="39"/>
          <w:rFonts w:hint="eastAsia" w:ascii="Times New Roman" w:hAnsi="Times New Roman"/>
          <w:bCs/>
          <w:smallCaps w:val="0"/>
          <w:color w:val="000000" w:themeColor="text1"/>
          <w:highlight w:val="none"/>
          <w:lang w:eastAsia="zh-CN"/>
          <w14:textFill>
            <w14:solidFill>
              <w14:schemeClr w14:val="tx1"/>
            </w14:solidFill>
          </w14:textFill>
        </w:rPr>
      </w:pPr>
      <w:r>
        <w:rPr>
          <w:rFonts w:hint="eastAsia" w:ascii="Times New Roman" w:hAnsi="Times New Roman" w:eastAsia="宋体" w:cs="宋体"/>
          <w:smallCaps w:val="0"/>
          <w:color w:val="000000" w:themeColor="text1"/>
          <w:kern w:val="0"/>
          <w:szCs w:val="22"/>
          <w:highlight w:val="none"/>
          <w14:textFill>
            <w14:solidFill>
              <w14:schemeClr w14:val="tx1"/>
            </w14:solidFill>
          </w14:textFill>
        </w:rPr>
        <w:br w:type="page"/>
      </w:r>
      <w:bookmarkStart w:id="1433" w:name="_Toc535241228"/>
      <w:bookmarkStart w:id="1434" w:name="_Toc535241085"/>
      <w:bookmarkStart w:id="1435" w:name="_Toc535241131"/>
      <w:bookmarkStart w:id="1436" w:name="_Toc14746"/>
      <w:r>
        <w:rPr>
          <w:rStyle w:val="39"/>
          <w:rFonts w:hint="eastAsia" w:ascii="Times New Roman" w:hAnsi="Times New Roman"/>
          <w:b w:val="0"/>
          <w:bCs/>
          <w:smallCaps w:val="0"/>
          <w:color w:val="000000" w:themeColor="text1"/>
          <w:kern w:val="2"/>
          <w:highlight w:val="none"/>
          <w:lang w:val="en-US" w:eastAsia="zh-CN" w:bidi="ar-SA"/>
          <w14:textFill>
            <w14:solidFill>
              <w14:schemeClr w14:val="tx1"/>
            </w14:solidFill>
          </w14:textFill>
        </w:rPr>
        <w:t>三、联合体协议书</w:t>
      </w:r>
      <w:bookmarkEnd w:id="1428"/>
      <w:bookmarkEnd w:id="1429"/>
      <w:bookmarkEnd w:id="1430"/>
      <w:bookmarkEnd w:id="1431"/>
      <w:bookmarkEnd w:id="1432"/>
      <w:bookmarkEnd w:id="1433"/>
      <w:bookmarkEnd w:id="1434"/>
      <w:bookmarkEnd w:id="1435"/>
      <w:r>
        <w:rPr>
          <w:rStyle w:val="39"/>
          <w:rFonts w:hint="eastAsia" w:ascii="Times New Roman" w:hAnsi="Times New Roman"/>
          <w:b w:val="0"/>
          <w:bCs/>
          <w:smallCaps w:val="0"/>
          <w:color w:val="000000" w:themeColor="text1"/>
          <w:kern w:val="2"/>
          <w:highlight w:val="none"/>
          <w:lang w:val="en-US" w:eastAsia="zh-CN" w:bidi="ar-SA"/>
          <w14:textFill>
            <w14:solidFill>
              <w14:schemeClr w14:val="tx1"/>
            </w14:solidFill>
          </w14:textFill>
        </w:rPr>
        <w:t>（如有）</w:t>
      </w:r>
      <w:bookmarkEnd w:id="1436"/>
    </w:p>
    <w:p w14:paraId="0364226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437" w:name="_Toc460227110"/>
      <w:bookmarkStart w:id="1438" w:name="_Toc460660225"/>
      <w:r>
        <w:rPr>
          <w:rFonts w:hint="eastAsia" w:ascii="Times New Roman" w:hAnsi="Times New Roman"/>
          <w:smallCaps w:val="0"/>
          <w:color w:val="000000" w:themeColor="text1"/>
          <w:highlight w:val="none"/>
          <w14:textFill>
            <w14:solidFill>
              <w14:schemeClr w14:val="tx1"/>
            </w14:solidFill>
          </w14:textFill>
        </w:rPr>
        <w:t>牵头人（成员一）名称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6E62DB1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436D575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法定住所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817D75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成员二名称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B23A4D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14ADBD0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法定住所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5B02A25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p w14:paraId="1DD13233">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鉴于上述各成员单位经过友好协商</w:t>
      </w:r>
      <w:r>
        <w:rPr>
          <w:rFonts w:hint="eastAsia" w:ascii="Times New Roman" w:hAnsi="Times New Roman"/>
          <w:smallCaps w:val="0"/>
          <w:color w:val="000000" w:themeColor="text1"/>
          <w:highlight w:val="none"/>
          <w:lang w:val="en-US" w:eastAsia="zh-CN"/>
          <w14:textFill>
            <w14:solidFill>
              <w14:schemeClr w14:val="tx1"/>
            </w14:solidFill>
          </w14:textFill>
        </w:rPr>
        <w:t>并对彼此的信誉和能力充分评估</w:t>
      </w:r>
      <w:r>
        <w:rPr>
          <w:rFonts w:hint="eastAsia" w:ascii="Times New Roman" w:hAnsi="Times New Roman"/>
          <w:smallCaps w:val="0"/>
          <w:color w:val="000000" w:themeColor="text1"/>
          <w:highlight w:val="none"/>
          <w14:textFill>
            <w14:solidFill>
              <w14:schemeClr w14:val="tx1"/>
            </w14:solidFill>
          </w14:textFill>
        </w:rPr>
        <w:t>，自愿组成</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（联合体名称）联合体，共同参加</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（招标人名称）（以下简称招标人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（招标项目名称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标段（以下简称本工程）的施工投标并争取</w:t>
      </w:r>
      <w:r>
        <w:rPr>
          <w:rFonts w:hint="eastAsia" w:ascii="Times New Roman" w:hAnsi="Times New Roman"/>
          <w:smallCaps w:val="0"/>
          <w:color w:val="000000" w:themeColor="text1"/>
          <w:highlight w:val="none"/>
          <w:lang w:val="en-US" w:eastAsia="zh-CN"/>
          <w14:textFill>
            <w14:solidFill>
              <w14:schemeClr w14:val="tx1"/>
            </w14:solidFill>
          </w14:textFill>
        </w:rPr>
        <w:t>竞</w:t>
      </w:r>
      <w:r>
        <w:rPr>
          <w:rFonts w:hint="eastAsia" w:ascii="Times New Roman" w:hAnsi="Times New Roman"/>
          <w:smallCaps w:val="0"/>
          <w:color w:val="000000" w:themeColor="text1"/>
          <w:highlight w:val="none"/>
          <w14:textFill>
            <w14:solidFill>
              <w14:schemeClr w14:val="tx1"/>
            </w14:solidFill>
          </w14:textFill>
        </w:rPr>
        <w:t>得本工程施工承包合同（以下简称合同）。现就联合体投标事宜订立如下协议</w:t>
      </w:r>
      <w:r>
        <w:rPr>
          <w:rFonts w:hint="eastAsia" w:ascii="Times New Roman" w:hAnsi="Times New Roman"/>
          <w:smallCaps w:val="0"/>
          <w:color w:val="000000" w:themeColor="text1"/>
          <w:highlight w:val="none"/>
          <w:lang w:eastAsia="zh-CN"/>
          <w14:textFill>
            <w14:solidFill>
              <w14:schemeClr w14:val="tx1"/>
            </w14:solidFill>
          </w14:textFill>
        </w:rPr>
        <w:t>：</w:t>
      </w:r>
    </w:p>
    <w:p w14:paraId="5269F61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（某成员单位名称）为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（联合体名称）牵头人。</w:t>
      </w:r>
    </w:p>
    <w:p w14:paraId="49E9BDC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1311739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 联合体将严格按照招标文件的各项要求，</w:t>
      </w:r>
      <w:r>
        <w:rPr>
          <w:rFonts w:hint="eastAsia" w:ascii="Times New Roman" w:hAnsi="Times New Roman"/>
          <w:smallCaps w:val="0"/>
          <w:color w:val="000000" w:themeColor="text1"/>
          <w:highlight w:val="none"/>
          <w:lang w:eastAsia="zh"/>
          <w14:textFill>
            <w14:solidFill>
              <w14:schemeClr w14:val="tx1"/>
            </w14:solidFill>
          </w14:textFill>
        </w:rPr>
        <w:t>提交</w:t>
      </w:r>
      <w:r>
        <w:rPr>
          <w:rFonts w:hint="eastAsia" w:ascii="Times New Roman" w:hAnsi="Times New Roman"/>
          <w:smallCaps w:val="0"/>
          <w:color w:val="000000" w:themeColor="text1"/>
          <w:highlight w:val="none"/>
          <w14:textFill>
            <w14:solidFill>
              <w14:schemeClr w14:val="tx1"/>
            </w14:solidFill>
          </w14:textFill>
        </w:rPr>
        <w:t>投标文件，履行投标义务和中标后的合同，共同承担合同规定的一切义务和责任，联合体各成员单位按照内部职责的部分，承担各自所负的责任和风险，并向招标人承担连带责任。</w:t>
      </w:r>
    </w:p>
    <w:p w14:paraId="27FCE2BC">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 联合体各成员单位内部的职责分工如下</w:t>
      </w:r>
      <w:r>
        <w:rPr>
          <w:rFonts w:hint="eastAsia" w:ascii="Times New Roman" w:hAnsi="Times New Roman"/>
          <w:smallCaps w:val="0"/>
          <w:color w:val="000000" w:themeColor="text1"/>
          <w:highlight w:val="none"/>
          <w:lang w:eastAsia="zh-CN"/>
          <w14:textFill>
            <w14:solidFill>
              <w14:schemeClr w14:val="tx1"/>
            </w14:solidFill>
          </w14:textFill>
        </w:rPr>
        <w:t>：</w:t>
      </w:r>
    </w:p>
    <w:p w14:paraId="0FF4CFB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牵头人（成员一）名称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，具有</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资格，</w:t>
      </w:r>
      <w:r>
        <w:rPr>
          <w:rFonts w:hint="eastAsia" w:ascii="Times New Roman" w:hAnsi="Times New Roman"/>
          <w:smallCaps w:val="0"/>
          <w:color w:val="000000" w:themeColor="text1"/>
          <w:highlight w:val="none"/>
          <w:lang w:val="en-US" w:eastAsia="zh-CN"/>
          <w14:textFill>
            <w14:solidFill>
              <w14:schemeClr w14:val="tx1"/>
            </w14:solidFill>
          </w14:textFill>
        </w:rPr>
        <w:t>职责分工为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；工程份额约占合同总金额的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p>
    <w:p w14:paraId="168BEF4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成员二名称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，具有</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资格，</w:t>
      </w:r>
      <w:r>
        <w:rPr>
          <w:rFonts w:hint="eastAsia" w:ascii="Times New Roman" w:hAnsi="Times New Roman"/>
          <w:smallCaps w:val="0"/>
          <w:color w:val="000000" w:themeColor="text1"/>
          <w:highlight w:val="none"/>
          <w:lang w:val="en-US" w:eastAsia="zh-CN"/>
          <w14:textFill>
            <w14:solidFill>
              <w14:schemeClr w14:val="tx1"/>
            </w14:solidFill>
          </w14:textFill>
        </w:rPr>
        <w:t>职责分工为</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；工程份额约占合同总金额的</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val="en-US"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t>
      </w:r>
    </w:p>
    <w:p w14:paraId="6FC906F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p w14:paraId="05BE236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 投标工作和联合体在中标后工程实施过程中的有关费用按各自承担的工作量分摊。</w:t>
      </w:r>
    </w:p>
    <w:p w14:paraId="3FC9153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 联合体中标后，本联合体协议是合同的附件，对联合体各成员单位有合同约束力。</w:t>
      </w:r>
    </w:p>
    <w:p w14:paraId="01E51C0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 本协议书自签署之日起生效，联合体未中标或者合同履行完毕后自动失效。</w:t>
      </w:r>
    </w:p>
    <w:p w14:paraId="34500BB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 本协议书一式</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份，联合体成员和招标人各执一份。</w:t>
      </w:r>
    </w:p>
    <w:p w14:paraId="3A4B29F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牵头人（成员一）名称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64E3C6C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（签字或</w:t>
      </w:r>
      <w:r>
        <w:rPr>
          <w:rFonts w:hint="eastAsia" w:ascii="Times New Roman" w:hAnsi="Times New Roman"/>
          <w:smallCaps w:val="0"/>
          <w:color w:val="000000" w:themeColor="text1"/>
          <w:highlight w:val="none"/>
          <w:lang w:val="en-US" w:eastAsia="zh-CN"/>
          <w14:textFill>
            <w14:solidFill>
              <w14:schemeClr w14:val="tx1"/>
            </w14:solidFill>
          </w14:textFill>
        </w:rPr>
        <w:t>个人印鉴</w:t>
      </w:r>
      <w:r>
        <w:rPr>
          <w:rFonts w:hint="eastAsia" w:ascii="Times New Roman" w:hAnsi="Times New Roman"/>
          <w:smallCaps w:val="0"/>
          <w:color w:val="000000" w:themeColor="text1"/>
          <w:highlight w:val="none"/>
          <w14:textFill>
            <w14:solidFill>
              <w14:schemeClr w14:val="tx1"/>
            </w14:solidFill>
          </w14:textFill>
        </w:rPr>
        <w:t>）</w:t>
      </w:r>
    </w:p>
    <w:p w14:paraId="39E4BCDD">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4FF2BDD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成员二名称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5334208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（签字或</w:t>
      </w:r>
      <w:r>
        <w:rPr>
          <w:rFonts w:hint="eastAsia" w:ascii="Times New Roman" w:hAnsi="Times New Roman"/>
          <w:smallCaps w:val="0"/>
          <w:color w:val="000000" w:themeColor="text1"/>
          <w:highlight w:val="none"/>
          <w:lang w:val="en-US" w:eastAsia="zh-CN"/>
          <w14:textFill>
            <w14:solidFill>
              <w14:schemeClr w14:val="tx1"/>
            </w14:solidFill>
          </w14:textFill>
        </w:rPr>
        <w:t>个人印鉴</w:t>
      </w:r>
      <w:r>
        <w:rPr>
          <w:rFonts w:hint="eastAsia" w:ascii="Times New Roman" w:hAnsi="Times New Roman"/>
          <w:smallCaps w:val="0"/>
          <w:color w:val="000000" w:themeColor="text1"/>
          <w:highlight w:val="none"/>
          <w14:textFill>
            <w14:solidFill>
              <w14:schemeClr w14:val="tx1"/>
            </w14:solidFill>
          </w14:textFill>
        </w:rPr>
        <w:t>）</w:t>
      </w:r>
    </w:p>
    <w:p w14:paraId="75D46CE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p w14:paraId="074D0781">
      <w:pPr>
        <w:pageBreakBefore w:val="0"/>
        <w:kinsoku/>
        <w:wordWrap w:val="0"/>
        <w:overflowPunct/>
        <w:bidi w:val="0"/>
        <w:rPr>
          <w:rFonts w:hint="eastAsia" w:ascii="Times New Roman" w:hAnsi="Times New Roman"/>
          <w:smallCaps w:val="0"/>
          <w:color w:val="000000" w:themeColor="text1"/>
          <w:highlight w:val="none"/>
          <w:u w:val="single"/>
          <w14:textFill>
            <w14:solidFill>
              <w14:schemeClr w14:val="tx1"/>
            </w14:solidFill>
          </w14:textFill>
        </w:rPr>
      </w:pPr>
    </w:p>
    <w:p w14:paraId="2B6AC884">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4B741C4E">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327C7C20">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7D08355B">
      <w:pPr>
        <w:pStyle w:val="79"/>
        <w:pageBreakBefore w:val="0"/>
        <w:kinsoku/>
        <w:wordWrap w:val="0"/>
        <w:overflowPunct/>
        <w:bidi w:val="0"/>
        <w:jc w:val="righ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 xml:space="preserve">日 </w:t>
      </w:r>
    </w:p>
    <w:p w14:paraId="02D56D8A">
      <w:pPr>
        <w:pageBreakBefore w:val="0"/>
        <w:kinsoku/>
        <w:wordWrap w:val="0"/>
        <w:overflowPunct/>
        <w:bidi w:val="0"/>
        <w:jc w:val="center"/>
        <w:outlineLvl w:val="1"/>
        <w:rPr>
          <w:rStyle w:val="39"/>
          <w:rFonts w:hint="eastAsia" w:ascii="Times New Roman" w:hAnsi="Times New Roman"/>
          <w:smallCaps w:val="0"/>
          <w:color w:val="000000" w:themeColor="text1"/>
          <w:highlight w:val="none"/>
          <w14:textFill>
            <w14:solidFill>
              <w14:schemeClr w14:val="tx1"/>
            </w14:solidFill>
          </w14:textFill>
        </w:rPr>
      </w:pPr>
      <w:bookmarkStart w:id="1439" w:name="_Toc460660229"/>
      <w:bookmarkStart w:id="1440" w:name="_Toc460227114"/>
      <w:bookmarkStart w:id="1441" w:name="_Toc535241132"/>
      <w:bookmarkStart w:id="1442" w:name="_Toc535241229"/>
      <w:bookmarkStart w:id="1443" w:name="_Toc535241086"/>
      <w:r>
        <w:rPr>
          <w:rFonts w:hint="eastAsia" w:ascii="Times New Roman" w:hAnsi="Times New Roman" w:eastAsia="宋体" w:cs="宋体"/>
          <w:smallCaps w:val="0"/>
          <w:color w:val="000000" w:themeColor="text1"/>
          <w:highlight w:val="none"/>
          <w14:textFill>
            <w14:solidFill>
              <w14:schemeClr w14:val="tx1"/>
            </w14:solidFill>
          </w14:textFill>
        </w:rPr>
        <w:br w:type="page"/>
      </w:r>
      <w:bookmarkStart w:id="1444" w:name="_Toc17987"/>
      <w:r>
        <w:rPr>
          <w:rStyle w:val="39"/>
          <w:rFonts w:hint="eastAsia" w:ascii="Times New Roman" w:hAnsi="Times New Roman"/>
          <w:b w:val="0"/>
          <w:smallCaps w:val="0"/>
          <w:color w:val="000000" w:themeColor="text1"/>
          <w:kern w:val="2"/>
          <w:highlight w:val="none"/>
          <w:lang w:val="en-US" w:eastAsia="zh-CN" w:bidi="ar-SA"/>
          <w14:textFill>
            <w14:solidFill>
              <w14:schemeClr w14:val="tx1"/>
            </w14:solidFill>
          </w14:textFill>
        </w:rPr>
        <w:t>四、投标保证金</w:t>
      </w:r>
      <w:bookmarkEnd w:id="1439"/>
      <w:bookmarkEnd w:id="1440"/>
      <w:bookmarkEnd w:id="1444"/>
    </w:p>
    <w:p w14:paraId="044ADDEF">
      <w:pPr>
        <w:pageBreakBefore w:val="0"/>
        <w:kinsoku/>
        <w:wordWrap w:val="0"/>
        <w:overflowPunct/>
        <w:bidi w:val="0"/>
        <w:rPr>
          <w:rFonts w:hint="eastAsia" w:ascii="Times New Roman" w:hAnsi="Times New Roman" w:eastAsia="宋体" w:cs="宋体"/>
          <w:smallCaps w:val="0"/>
          <w:color w:val="000000" w:themeColor="text1"/>
          <w:highlight w:val="none"/>
          <w14:textFill>
            <w14:solidFill>
              <w14:schemeClr w14:val="tx1"/>
            </w14:solidFill>
          </w14:textFill>
        </w:rPr>
      </w:pPr>
    </w:p>
    <w:p w14:paraId="759BA268">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bookmarkStart w:id="1445" w:name="_Toc535241089"/>
      <w:bookmarkStart w:id="1446" w:name="_Toc535241232"/>
      <w:bookmarkStart w:id="1447" w:name="_Toc535241135"/>
      <w:r>
        <w:rPr>
          <w:rFonts w:hint="eastAsia" w:ascii="Times New Roman" w:hAnsi="Times New Roman"/>
          <w:smallCaps w:val="0"/>
          <w:color w:val="000000" w:themeColor="text1"/>
          <w:highlight w:val="none"/>
          <w:lang w:val="en-US" w:eastAsia="zh-CN"/>
          <w14:textFill>
            <w14:solidFill>
              <w14:schemeClr w14:val="tx1"/>
            </w14:solidFill>
          </w14:textFill>
        </w:rPr>
        <w:t>1.如采用现金（银行转账、银行电汇）的，以电子交易系统查询结果为准，投标人应在投标文件中提供基本存款账户证明扫描件（如基本存款账户开户许可证或基本存款账户信息）。</w:t>
      </w:r>
    </w:p>
    <w:p w14:paraId="73DE89B9">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2.如采用电子保函的，以电子交易系统查询结果为准，投标文件中无需提供相关证明材料。</w:t>
      </w:r>
    </w:p>
    <w:p w14:paraId="520C28B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3.如采用银行保函或担保机构担保或保证保险的，投标人应在投标文件中提供银行保函或担保机构担保或保证保险扫描件（各地市结合实际细化要求），格式如下</w:t>
      </w:r>
      <w:r>
        <w:rPr>
          <w:rStyle w:val="28"/>
          <w:rFonts w:hint="eastAsia" w:ascii="Times New Roman" w:hAnsi="Times New Roman" w:eastAsia="宋体" w:cs="宋体"/>
          <w:smallCaps w:val="0"/>
          <w:color w:val="000000" w:themeColor="text1"/>
          <w:highlight w:val="none"/>
          <w:lang w:val="en-US" w:eastAsia="zh-CN"/>
          <w14:textFill>
            <w14:solidFill>
              <w14:schemeClr w14:val="tx1"/>
            </w14:solidFill>
          </w14:textFill>
        </w:rPr>
        <w:footnoteReference w:id="69"/>
      </w:r>
      <w:r>
        <w:rPr>
          <w:rFonts w:hint="eastAsia" w:ascii="Times New Roman" w:hAnsi="Times New Roman"/>
          <w:smallCaps w:val="0"/>
          <w:color w:val="000000" w:themeColor="text1"/>
          <w:highlight w:val="none"/>
          <w14:textFill>
            <w14:solidFill>
              <w14:schemeClr w14:val="tx1"/>
            </w14:solidFill>
          </w14:textFill>
        </w:rPr>
        <w:t>。</w:t>
      </w:r>
    </w:p>
    <w:p w14:paraId="1EA69C09">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7535EEE5">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p>
    <w:p w14:paraId="1187720C">
      <w:pPr>
        <w:pStyle w:val="40"/>
        <w:pageBreakBefore w:val="0"/>
        <w:kinsoku/>
        <w:wordWrap w:val="0"/>
        <w:overflowPunct/>
        <w:bidi w:val="0"/>
        <w:outlineLvl w:val="1"/>
        <w:rPr>
          <w:rFonts w:ascii="Times New Roman" w:hAnsi="Times New Roman"/>
          <w:smallCaps w:val="0"/>
          <w:color w:val="000000" w:themeColor="text1"/>
          <w:highlight w:val="none"/>
          <w14:textFill>
            <w14:solidFill>
              <w14:schemeClr w14:val="tx1"/>
            </w14:solidFill>
          </w14:textFill>
        </w:rPr>
      </w:pPr>
      <w:bookmarkStart w:id="1448" w:name="_Toc6285"/>
      <w:r>
        <w:rPr>
          <w:rFonts w:hint="eastAsia" w:ascii="Times New Roman" w:hAnsi="Times New Roman"/>
          <w:smallCaps w:val="0"/>
          <w:color w:val="000000" w:themeColor="text1"/>
          <w:highlight w:val="none"/>
          <w14:textFill>
            <w14:solidFill>
              <w14:schemeClr w14:val="tx1"/>
            </w14:solidFill>
          </w14:textFill>
        </w:rPr>
        <w:t>投标</w:t>
      </w:r>
      <w:r>
        <w:rPr>
          <w:rFonts w:hint="eastAsia" w:ascii="Times New Roman" w:hAnsi="Times New Roman"/>
          <w:smallCaps w:val="0"/>
          <w:color w:val="000000" w:themeColor="text1"/>
          <w:highlight w:val="none"/>
          <w:lang w:eastAsia="zh-CN"/>
          <w14:textFill>
            <w14:solidFill>
              <w14:schemeClr w14:val="tx1"/>
            </w14:solidFill>
          </w14:textFill>
        </w:rPr>
        <w:t>保函</w:t>
      </w:r>
      <w:bookmarkEnd w:id="1448"/>
    </w:p>
    <w:p w14:paraId="2EDF1B78">
      <w:pPr>
        <w:pStyle w:val="79"/>
        <w:pageBreakBefore w:val="0"/>
        <w:kinsoku/>
        <w:wordWrap w:val="0"/>
        <w:overflowPunct/>
        <w:bidi w:val="0"/>
        <w:jc w:val="right"/>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编号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 xml:space="preserve">          </w:t>
      </w:r>
    </w:p>
    <w:p w14:paraId="2E75BDBC">
      <w:pPr>
        <w:pageBreakBefore w:val="0"/>
        <w:kinsoku/>
        <w:wordWrap w:val="0"/>
        <w:overflowPunct/>
        <w:bidi w:val="0"/>
        <w:spacing w:line="360" w:lineRule="auto"/>
        <w:rPr>
          <w:rFonts w:ascii="Times New Roman" w:hAnsi="Times New Roman" w:eastAsia="宋体"/>
          <w:smallCaps w:val="0"/>
          <w:color w:val="000000" w:themeColor="text1"/>
          <w:sz w:val="21"/>
          <w:szCs w:val="21"/>
          <w:highlight w:val="none"/>
          <w14:textFill>
            <w14:solidFill>
              <w14:schemeClr w14:val="tx1"/>
            </w14:solidFill>
          </w14:textFill>
        </w:rPr>
      </w:pPr>
    </w:p>
    <w:p w14:paraId="7EF5E363">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bookmarkStart w:id="1449" w:name="_Hlk40303117"/>
      <w:r>
        <w:rPr>
          <w:rFonts w:hint="eastAsia" w:ascii="Times New Roman" w:hAnsi="Times New Roman"/>
          <w:smallCaps w:val="0"/>
          <w:color w:val="000000" w:themeColor="text1"/>
          <w:highlight w:val="none"/>
          <w14:textFill>
            <w14:solidFill>
              <w14:schemeClr w14:val="tx1"/>
            </w14:solidFill>
          </w14:textFill>
        </w:rPr>
        <w:t>申请人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6EED32F5">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F6947F2">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受益人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p>
    <w:p w14:paraId="4EAA43A4">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568F2F89">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开立人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bookmarkEnd w:id="1449"/>
    <w:p w14:paraId="0FA1C1A7">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8A9B054">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p>
    <w:p w14:paraId="3946F4B9">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（受益人名称）</w:t>
      </w:r>
    </w:p>
    <w:p w14:paraId="555F57F6">
      <w:pPr>
        <w:pStyle w:val="79"/>
        <w:pageBreakBefore w:val="0"/>
        <w:kinsoku/>
        <w:wordWrap w:val="0"/>
        <w:overflowPunct/>
        <w:bidi w:val="0"/>
        <w:jc w:val="both"/>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我方（即“开立人”）已获得通知，本保函申请人（即“投标人”）已响应贵方于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日就</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（以下简称“本工程”）发出的招标文件，并已向招标人（即“受益人”）提交了投标文件（即“基础交易”）。</w:t>
      </w:r>
    </w:p>
    <w:p w14:paraId="73B3D887">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一、我方理解根据招标条件，投标人必须提交一份投标</w:t>
      </w:r>
      <w:r>
        <w:rPr>
          <w:rFonts w:hint="eastAsia" w:ascii="Times New Roman" w:hAnsi="Times New Roman"/>
          <w:smallCaps w:val="0"/>
          <w:color w:val="000000" w:themeColor="text1"/>
          <w:highlight w:val="none"/>
          <w:lang w:eastAsia="zh-CN"/>
          <w14:textFill>
            <w14:solidFill>
              <w14:schemeClr w14:val="tx1"/>
            </w14:solidFill>
          </w14:textFill>
        </w:rPr>
        <w:t>保证金</w:t>
      </w:r>
      <w:r>
        <w:rPr>
          <w:rFonts w:hint="eastAsia" w:ascii="Times New Roman" w:hAnsi="Times New Roman"/>
          <w:smallCaps w:val="0"/>
          <w:color w:val="000000" w:themeColor="text1"/>
          <w:highlight w:val="none"/>
          <w14:textFill>
            <w14:solidFill>
              <w14:schemeClr w14:val="tx1"/>
            </w14:solidFill>
          </w14:textFill>
        </w:rPr>
        <w:t>，以担保投标人诚信履行其在上述基础交易中承担的投标人义务。鉴此，应申请人要求，我方在此同意向贵方出具此投标保函（以下简称“本保函”），本保函担保金额</w:t>
      </w:r>
      <w:r>
        <w:rPr>
          <w:rFonts w:hint="eastAsia" w:ascii="Times New Roman" w:hAnsi="Times New Roman"/>
          <w:smallCaps w:val="0"/>
          <w:color w:val="000000" w:themeColor="text1"/>
          <w:highlight w:val="none"/>
          <w:lang w:eastAsia="zh-CN"/>
          <w14:textFill>
            <w14:solidFill>
              <w14:schemeClr w14:val="tx1"/>
            </w14:solidFill>
          </w14:textFill>
        </w:rPr>
        <w:t>为</w:t>
      </w:r>
      <w:r>
        <w:rPr>
          <w:rFonts w:ascii="Times New Roman" w:hAnsi="Times New Roman"/>
          <w:smallCaps w:val="0"/>
          <w:color w:val="000000" w:themeColor="text1"/>
          <w:highlight w:val="none"/>
          <w14:textFill>
            <w14:solidFill>
              <w14:schemeClr w14:val="tx1"/>
            </w14:solidFill>
          </w14:textFill>
        </w:rPr>
        <w:t>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元（¥</w:t>
      </w:r>
      <w:r>
        <w:rPr>
          <w:rFonts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w:t>
      </w:r>
    </w:p>
    <w:p w14:paraId="65E05579">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二、我方在投标人发生以下情形时承担保证担保责任</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14:textFill>
            <w14:solidFill>
              <w14:schemeClr w14:val="tx1"/>
            </w14:solidFill>
          </w14:textFill>
        </w:rPr>
        <w:t xml:space="preserve"> </w:t>
      </w:r>
    </w:p>
    <w:p w14:paraId="151B1440">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（1）投标</w:t>
      </w:r>
      <w:r>
        <w:rPr>
          <w:rFonts w:ascii="Times New Roman" w:hAnsi="Times New Roman"/>
          <w:smallCaps w:val="0"/>
          <w:color w:val="000000" w:themeColor="text1"/>
          <w:highlight w:val="none"/>
          <w14:textFill>
            <w14:solidFill>
              <w14:schemeClr w14:val="tx1"/>
            </w14:solidFill>
          </w14:textFill>
        </w:rPr>
        <w:t xml:space="preserve">人在开标后和投标有效期满之前撤销投标的； </w:t>
      </w:r>
    </w:p>
    <w:p w14:paraId="67A65CC3">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ascii="Times New Roman" w:hAnsi="Times New Roman"/>
          <w:smallCaps w:val="0"/>
          <w:color w:val="000000" w:themeColor="text1"/>
          <w:highlight w:val="none"/>
          <w14:textFill>
            <w14:solidFill>
              <w14:schemeClr w14:val="tx1"/>
            </w14:solidFill>
          </w14:textFill>
        </w:rPr>
        <w:t>投标人在收到中标通知后，</w:t>
      </w:r>
      <w:r>
        <w:rPr>
          <w:rFonts w:hint="eastAsia" w:ascii="Times New Roman" w:hAnsi="Times New Roman"/>
          <w:smallCaps w:val="0"/>
          <w:color w:val="000000" w:themeColor="text1"/>
          <w:highlight w:val="none"/>
          <w14:textFill>
            <w14:solidFill>
              <w14:schemeClr w14:val="tx1"/>
            </w14:solidFill>
          </w14:textFill>
        </w:rPr>
        <w:t>不能或拒绝</w:t>
      </w:r>
      <w:r>
        <w:rPr>
          <w:rFonts w:ascii="Times New Roman" w:hAnsi="Times New Roman"/>
          <w:smallCaps w:val="0"/>
          <w:color w:val="000000" w:themeColor="text1"/>
          <w:highlight w:val="none"/>
          <w14:textFill>
            <w14:solidFill>
              <w14:schemeClr w14:val="tx1"/>
            </w14:solidFill>
          </w14:textFill>
        </w:rPr>
        <w:t>在中标通知书规定的时间内与贵方签订合同</w:t>
      </w:r>
      <w:r>
        <w:rPr>
          <w:rFonts w:hint="eastAsia" w:ascii="Times New Roman" w:hAnsi="Times New Roman"/>
          <w:smallCaps w:val="0"/>
          <w:color w:val="000000" w:themeColor="text1"/>
          <w:highlight w:val="none"/>
          <w:lang w:eastAsia="zh-CN"/>
          <w14:textFill>
            <w14:solidFill>
              <w14:schemeClr w14:val="tx1"/>
            </w14:solidFill>
          </w14:textFill>
        </w:rPr>
        <w:t>或</w:t>
      </w:r>
      <w:r>
        <w:rPr>
          <w:rFonts w:hint="eastAsia" w:ascii="Times New Roman" w:hAnsi="Times New Roman"/>
          <w:smallCaps w:val="0"/>
          <w:color w:val="000000" w:themeColor="text1"/>
          <w:highlight w:val="none"/>
          <w14:textFill>
            <w14:solidFill>
              <w14:schemeClr w14:val="tx1"/>
            </w14:solidFill>
          </w14:textFill>
        </w:rPr>
        <w:t>在签订合同时向</w:t>
      </w:r>
      <w:r>
        <w:rPr>
          <w:rFonts w:hint="eastAsia" w:ascii="Times New Roman" w:hAnsi="Times New Roman"/>
          <w:smallCaps w:val="0"/>
          <w:color w:val="000000" w:themeColor="text1"/>
          <w:highlight w:val="none"/>
          <w:lang w:eastAsia="zh-CN"/>
          <w14:textFill>
            <w14:solidFill>
              <w14:schemeClr w14:val="tx1"/>
            </w14:solidFill>
          </w14:textFill>
        </w:rPr>
        <w:t>贵方</w:t>
      </w:r>
      <w:r>
        <w:rPr>
          <w:rFonts w:hint="eastAsia" w:ascii="Times New Roman" w:hAnsi="Times New Roman"/>
          <w:smallCaps w:val="0"/>
          <w:color w:val="000000" w:themeColor="text1"/>
          <w:highlight w:val="none"/>
          <w14:textFill>
            <w14:solidFill>
              <w14:schemeClr w14:val="tx1"/>
            </w14:solidFill>
          </w14:textFill>
        </w:rPr>
        <w:t>提出附加条件</w:t>
      </w:r>
      <w:r>
        <w:rPr>
          <w:rFonts w:ascii="Times New Roman" w:hAnsi="Times New Roman"/>
          <w:smallCaps w:val="0"/>
          <w:color w:val="000000" w:themeColor="text1"/>
          <w:highlight w:val="none"/>
          <w14:textFill>
            <w14:solidFill>
              <w14:schemeClr w14:val="tx1"/>
            </w14:solidFill>
          </w14:textFill>
        </w:rPr>
        <w:t xml:space="preserve">； </w:t>
      </w:r>
    </w:p>
    <w:p w14:paraId="06360D5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3</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投标人在与贵方签订合同后，未在规定的时间内提交符合招标文件要求的履约担保；</w:t>
      </w:r>
    </w:p>
    <w:p w14:paraId="3E9195EA">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投标人违反</w:t>
      </w:r>
      <w:r>
        <w:rPr>
          <w:rFonts w:ascii="Times New Roman" w:hAnsi="Times New Roman"/>
          <w:smallCaps w:val="0"/>
          <w:color w:val="000000" w:themeColor="text1"/>
          <w:highlight w:val="none"/>
          <w14:textFill>
            <w14:solidFill>
              <w14:schemeClr w14:val="tx1"/>
            </w14:solidFill>
          </w14:textFill>
        </w:rPr>
        <w:t>招标文件规定</w:t>
      </w:r>
      <w:r>
        <w:rPr>
          <w:rFonts w:hint="eastAsia" w:ascii="Times New Roman" w:hAnsi="Times New Roman"/>
          <w:smallCaps w:val="0"/>
          <w:color w:val="000000" w:themeColor="text1"/>
          <w:highlight w:val="none"/>
          <w14:textFill>
            <w14:solidFill>
              <w14:schemeClr w14:val="tx1"/>
            </w14:solidFill>
          </w14:textFill>
        </w:rPr>
        <w:t>的其他</w:t>
      </w:r>
      <w:r>
        <w:rPr>
          <w:rFonts w:ascii="Times New Roman" w:hAnsi="Times New Roman"/>
          <w:smallCaps w:val="0"/>
          <w:color w:val="000000" w:themeColor="text1"/>
          <w:highlight w:val="none"/>
          <w14:textFill>
            <w14:solidFill>
              <w14:schemeClr w14:val="tx1"/>
            </w14:solidFill>
          </w14:textFill>
        </w:rPr>
        <w:t>情形。</w:t>
      </w:r>
    </w:p>
    <w:p w14:paraId="25191E65">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三、本保函为</w:t>
      </w:r>
      <w:r>
        <w:rPr>
          <w:rFonts w:ascii="Times New Roman" w:hAnsi="Times New Roman"/>
          <w:smallCaps w:val="0"/>
          <w:color w:val="000000" w:themeColor="text1"/>
          <w:highlight w:val="none"/>
          <w14:textFill>
            <w14:solidFill>
              <w14:schemeClr w14:val="tx1"/>
            </w14:solidFill>
          </w14:textFill>
        </w:rPr>
        <w:t>不可撤销、</w:t>
      </w:r>
      <w:r>
        <w:rPr>
          <w:rFonts w:hint="eastAsia" w:ascii="Times New Roman" w:hAnsi="Times New Roman"/>
          <w:smallCaps w:val="0"/>
          <w:color w:val="000000" w:themeColor="text1"/>
          <w:highlight w:val="none"/>
          <w14:textFill>
            <w14:solidFill>
              <w14:schemeClr w14:val="tx1"/>
            </w14:solidFill>
          </w14:textFill>
        </w:rPr>
        <w:t>不可转让的见索即付</w:t>
      </w:r>
      <w:r>
        <w:rPr>
          <w:rFonts w:ascii="Times New Roman" w:hAnsi="Times New Roman"/>
          <w:smallCaps w:val="0"/>
          <w:color w:val="000000" w:themeColor="text1"/>
          <w:highlight w:val="none"/>
          <w14:textFill>
            <w14:solidFill>
              <w14:schemeClr w14:val="tx1"/>
            </w14:solidFill>
          </w14:textFill>
        </w:rPr>
        <w:t>独立</w:t>
      </w:r>
      <w:r>
        <w:rPr>
          <w:rFonts w:hint="eastAsia" w:ascii="Times New Roman" w:hAnsi="Times New Roman"/>
          <w:smallCaps w:val="0"/>
          <w:color w:val="000000" w:themeColor="text1"/>
          <w:highlight w:val="none"/>
          <w14:textFill>
            <w14:solidFill>
              <w14:schemeClr w14:val="tx1"/>
            </w14:solidFill>
          </w14:textFill>
        </w:rPr>
        <w:t>保函</w:t>
      </w:r>
      <w:r>
        <w:rPr>
          <w:rFonts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本保函</w:t>
      </w:r>
      <w:r>
        <w:rPr>
          <w:rFonts w:ascii="Times New Roman" w:hAnsi="Times New Roman"/>
          <w:smallCaps w:val="0"/>
          <w:color w:val="000000" w:themeColor="text1"/>
          <w:highlight w:val="none"/>
          <w14:textFill>
            <w14:solidFill>
              <w14:schemeClr w14:val="tx1"/>
            </w14:solidFill>
          </w14:textFill>
        </w:rPr>
        <w:t>有效期自</w:t>
      </w:r>
      <w:r>
        <w:rPr>
          <w:rFonts w:hint="eastAsia" w:ascii="Times New Roman" w:hAnsi="Times New Roman"/>
          <w:smallCaps w:val="0"/>
          <w:color w:val="000000" w:themeColor="text1"/>
          <w:highlight w:val="none"/>
          <w14:textFill>
            <w14:solidFill>
              <w14:schemeClr w14:val="tx1"/>
            </w14:solidFill>
          </w14:textFill>
        </w:rPr>
        <w:t>开立之日起</w:t>
      </w:r>
      <w:r>
        <w:rPr>
          <w:rFonts w:ascii="Times New Roman" w:hAnsi="Times New Roman"/>
          <w:smallCaps w:val="0"/>
          <w:color w:val="000000" w:themeColor="text1"/>
          <w:highlight w:val="none"/>
          <w14:textFill>
            <w14:solidFill>
              <w14:schemeClr w14:val="tx1"/>
            </w14:solidFill>
          </w14:textFill>
        </w:rPr>
        <w:t>至</w:t>
      </w:r>
      <w:r>
        <w:rPr>
          <w:rFonts w:hint="eastAsia" w:ascii="Times New Roman" w:hAnsi="Times New Roman"/>
          <w:smallCaps w:val="0"/>
          <w:color w:val="000000" w:themeColor="text1"/>
          <w:highlight w:val="none"/>
          <w14:textFill>
            <w14:solidFill>
              <w14:schemeClr w14:val="tx1"/>
            </w14:solidFill>
          </w14:textFill>
        </w:rPr>
        <w:t>投标有效期届满之日后的</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r>
        <w:rPr>
          <w:rFonts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投标有效期延长的，本保函有效期相应顺延</w:t>
      </w:r>
      <w:bookmarkStart w:id="1450" w:name="_Hlk58489417"/>
      <w:r>
        <w:rPr>
          <w:rFonts w:hint="eastAsia" w:ascii="Times New Roman" w:hAnsi="Times New Roman"/>
          <w:smallCaps w:val="0"/>
          <w:color w:val="000000" w:themeColor="text1"/>
          <w:highlight w:val="none"/>
          <w14:textFill>
            <w14:solidFill>
              <w14:schemeClr w14:val="tx1"/>
            </w14:solidFill>
          </w14:textFill>
        </w:rPr>
        <w:t>，最迟不超过</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bookmarkEnd w:id="1450"/>
      <w:r>
        <w:rPr>
          <w:rFonts w:hint="eastAsia" w:ascii="Times New Roman" w:hAnsi="Times New Roman"/>
          <w:smallCaps w:val="0"/>
          <w:color w:val="000000" w:themeColor="text1"/>
          <w:highlight w:val="none"/>
          <w14:textFill>
            <w14:solidFill>
              <w14:schemeClr w14:val="tx1"/>
            </w14:solidFill>
          </w14:textFill>
        </w:rPr>
        <w:t>。</w:t>
      </w:r>
    </w:p>
    <w:p w14:paraId="057537CB">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四、我方承诺，在收到受益人发来的书面付款通知后的</w:t>
      </w:r>
      <w:r>
        <w:rPr>
          <w:rFonts w:hint="eastAsia" w:ascii="Times New Roman" w:hAnsi="Times New Roman"/>
          <w:smallCaps w:val="0"/>
          <w:color w:val="000000" w:themeColor="text1"/>
          <w:highlight w:val="none"/>
          <w:lang w:eastAsia="zh-CN"/>
          <w14:textFill>
            <w14:solidFill>
              <w14:schemeClr w14:val="tx1"/>
            </w14:solidFill>
          </w14:textFill>
        </w:rPr>
        <w:t>7</w:t>
      </w:r>
      <w:r>
        <w:rPr>
          <w:rFonts w:hint="eastAsia" w:ascii="Times New Roman" w:hAnsi="Times New Roman"/>
          <w:smallCaps w:val="0"/>
          <w:color w:val="000000" w:themeColor="text1"/>
          <w:highlight w:val="none"/>
          <w14:textFill>
            <w14:solidFill>
              <w14:schemeClr w14:val="tx1"/>
            </w14:solidFill>
          </w14:textFill>
        </w:rPr>
        <w:t>日内无条件支付，前述书面付款通知即为付款要求之单据，且应满足以下要求</w:t>
      </w:r>
      <w:r>
        <w:rPr>
          <w:rFonts w:hint="eastAsia" w:ascii="Times New Roman" w:hAnsi="Times New Roman"/>
          <w:smallCaps w:val="0"/>
          <w:color w:val="000000" w:themeColor="text1"/>
          <w:highlight w:val="none"/>
          <w:lang w:eastAsia="zh-CN"/>
          <w14:textFill>
            <w14:solidFill>
              <w14:schemeClr w14:val="tx1"/>
            </w14:solidFill>
          </w14:textFill>
        </w:rPr>
        <w:t>：</w:t>
      </w:r>
    </w:p>
    <w:p w14:paraId="2845A00C">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（1）付款通知到达的日期在本保函的有效期内；</w:t>
      </w:r>
    </w:p>
    <w:p w14:paraId="02CB572B">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（2）载明要求支付的金额；</w:t>
      </w:r>
    </w:p>
    <w:p w14:paraId="3044E9A9">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bookmarkStart w:id="1451" w:name="_Hlk40354215"/>
      <w:r>
        <w:rPr>
          <w:rFonts w:hint="eastAsia" w:ascii="Times New Roman" w:hAnsi="Times New Roman"/>
          <w:smallCaps w:val="0"/>
          <w:color w:val="000000" w:themeColor="text1"/>
          <w:highlight w:val="none"/>
          <w14:textFill>
            <w14:solidFill>
              <w14:schemeClr w14:val="tx1"/>
            </w14:solidFill>
          </w14:textFill>
        </w:rPr>
        <w:t>载明申请人违反招投标文件规定的义务内容和具体条款；</w:t>
      </w:r>
      <w:bookmarkEnd w:id="1451"/>
    </w:p>
    <w:p w14:paraId="1921A1CC">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w:t>
      </w:r>
      <w:bookmarkStart w:id="1452" w:name="_Hlk40354839"/>
      <w:r>
        <w:rPr>
          <w:rFonts w:hint="eastAsia" w:ascii="Times New Roman" w:hAnsi="Times New Roman"/>
          <w:smallCaps w:val="0"/>
          <w:color w:val="000000" w:themeColor="text1"/>
          <w:highlight w:val="none"/>
          <w14:textFill>
            <w14:solidFill>
              <w14:schemeClr w14:val="tx1"/>
            </w14:solidFill>
          </w14:textFill>
        </w:rPr>
        <w:t>声明不存在招标文件规定或我国法律规定免除申请人或我方支付责任的情形；</w:t>
      </w:r>
      <w:bookmarkEnd w:id="1452"/>
    </w:p>
    <w:p w14:paraId="609B93C6">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（5）书面付款通知应在本保函有效期内到达的地址是</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A6EEA57">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受益人发出的书面付款通知应由其为鉴明受益人法定代表人（负责人）或授权代理人签字并加盖公章。</w:t>
      </w:r>
    </w:p>
    <w:p w14:paraId="5EEB7C39">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五、</w:t>
      </w:r>
      <w:r>
        <w:rPr>
          <w:rFonts w:ascii="Times New Roman" w:hAnsi="Times New Roman"/>
          <w:smallCaps w:val="0"/>
          <w:color w:val="000000" w:themeColor="text1"/>
          <w:highlight w:val="none"/>
          <w14:textFill>
            <w14:solidFill>
              <w14:schemeClr w14:val="tx1"/>
            </w14:solidFill>
          </w14:textFill>
        </w:rPr>
        <w:t>本保函项下的权利不得转让，不得设定担保。</w:t>
      </w:r>
      <w:r>
        <w:rPr>
          <w:rFonts w:hint="eastAsia" w:ascii="Times New Roman" w:hAnsi="Times New Roman"/>
          <w:smallCaps w:val="0"/>
          <w:color w:val="000000" w:themeColor="text1"/>
          <w:highlight w:val="none"/>
          <w:lang w:eastAsia="zh-CN"/>
          <w14:textFill>
            <w14:solidFill>
              <w14:schemeClr w14:val="tx1"/>
            </w14:solidFill>
          </w14:textFill>
        </w:rPr>
        <w:t>贵方</w:t>
      </w:r>
      <w:r>
        <w:rPr>
          <w:rFonts w:ascii="Times New Roman" w:hAnsi="Times New Roman"/>
          <w:smallCaps w:val="0"/>
          <w:color w:val="000000" w:themeColor="text1"/>
          <w:highlight w:val="none"/>
          <w14:textFill>
            <w14:solidFill>
              <w14:schemeClr w14:val="tx1"/>
            </w14:solidFill>
          </w14:textFill>
        </w:rPr>
        <w:t>未经我方书面同意转让本保函或其项下任何权利，</w:t>
      </w:r>
      <w:r>
        <w:rPr>
          <w:rFonts w:hint="eastAsia" w:ascii="Times New Roman" w:hAnsi="Times New Roman"/>
          <w:smallCaps w:val="0"/>
          <w:color w:val="000000" w:themeColor="text1"/>
          <w:highlight w:val="none"/>
          <w14:textFill>
            <w14:solidFill>
              <w14:schemeClr w14:val="tx1"/>
            </w14:solidFill>
          </w14:textFill>
        </w:rPr>
        <w:t>对我方不发生法律效力</w:t>
      </w:r>
      <w:r>
        <w:rPr>
          <w:rFonts w:hint="eastAsia" w:ascii="Times New Roman" w:hAnsi="Times New Roman"/>
          <w:smallCaps w:val="0"/>
          <w:color w:val="000000" w:themeColor="text1"/>
          <w:highlight w:val="none"/>
          <w:lang w:eastAsia="zh-CN"/>
          <w14:textFill>
            <w14:solidFill>
              <w14:schemeClr w14:val="tx1"/>
            </w14:solidFill>
          </w14:textFill>
        </w:rPr>
        <w:t>。</w:t>
      </w:r>
    </w:p>
    <w:p w14:paraId="5485715C">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六、</w:t>
      </w:r>
      <w:r>
        <w:rPr>
          <w:rFonts w:ascii="Times New Roman" w:hAnsi="Times New Roman"/>
          <w:smallCaps w:val="0"/>
          <w:color w:val="000000" w:themeColor="text1"/>
          <w:highlight w:val="none"/>
          <w14:textFill>
            <w14:solidFill>
              <w14:schemeClr w14:val="tx1"/>
            </w14:solidFill>
          </w14:textFill>
        </w:rPr>
        <w:t>本保函项下的基础交易不成立、不生效、无效、被撤销、被解除，不影响本保函的独立有效</w:t>
      </w:r>
      <w:r>
        <w:rPr>
          <w:rFonts w:hint="eastAsia" w:ascii="Times New Roman" w:hAnsi="Times New Roman"/>
          <w:smallCaps w:val="0"/>
          <w:color w:val="000000" w:themeColor="text1"/>
          <w:highlight w:val="none"/>
          <w:lang w:eastAsia="zh-CN"/>
          <w14:textFill>
            <w14:solidFill>
              <w14:schemeClr w14:val="tx1"/>
            </w14:solidFill>
          </w14:textFill>
        </w:rPr>
        <w:t>。</w:t>
      </w:r>
    </w:p>
    <w:p w14:paraId="7709E4C1">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七、受益人</w:t>
      </w:r>
      <w:r>
        <w:rPr>
          <w:rFonts w:ascii="Times New Roman" w:hAnsi="Times New Roman"/>
          <w:smallCaps w:val="0"/>
          <w:color w:val="000000" w:themeColor="text1"/>
          <w:highlight w:val="none"/>
          <w14:textFill>
            <w14:solidFill>
              <w14:schemeClr w14:val="tx1"/>
            </w14:solidFill>
          </w14:textFill>
        </w:rPr>
        <w:t>应在本保函到期后的</w:t>
      </w:r>
      <w:r>
        <w:rPr>
          <w:rFonts w:hint="eastAsia" w:ascii="Times New Roman" w:hAnsi="Times New Roman"/>
          <w:smallCaps w:val="0"/>
          <w:color w:val="000000" w:themeColor="text1"/>
          <w:highlight w:val="none"/>
          <w14:textFill>
            <w14:solidFill>
              <w14:schemeClr w14:val="tx1"/>
            </w14:solidFill>
          </w14:textFill>
        </w:rPr>
        <w:t>七</w:t>
      </w:r>
      <w:r>
        <w:rPr>
          <w:rFonts w:ascii="Times New Roman" w:hAnsi="Times New Roman"/>
          <w:smallCaps w:val="0"/>
          <w:color w:val="000000" w:themeColor="text1"/>
          <w:highlight w:val="none"/>
          <w14:textFill>
            <w14:solidFill>
              <w14:schemeClr w14:val="tx1"/>
            </w14:solidFill>
          </w14:textFill>
        </w:rPr>
        <w:t>日内将本保函正本退回我方</w:t>
      </w:r>
      <w:r>
        <w:rPr>
          <w:rFonts w:hint="eastAsia" w:ascii="Times New Roman" w:hAnsi="Times New Roman"/>
          <w:smallCaps w:val="0"/>
          <w:color w:val="000000" w:themeColor="text1"/>
          <w:highlight w:val="none"/>
          <w14:textFill>
            <w14:solidFill>
              <w14:schemeClr w14:val="tx1"/>
            </w14:solidFill>
          </w14:textFill>
        </w:rPr>
        <w:t>注销</w:t>
      </w:r>
      <w:r>
        <w:rPr>
          <w:rFonts w:ascii="Times New Roman" w:hAnsi="Times New Roman"/>
          <w:smallCaps w:val="0"/>
          <w:color w:val="000000" w:themeColor="text1"/>
          <w:highlight w:val="none"/>
          <w14:textFill>
            <w14:solidFill>
              <w14:schemeClr w14:val="tx1"/>
            </w14:solidFill>
          </w14:textFill>
        </w:rPr>
        <w:t>，但是不论</w:t>
      </w:r>
      <w:r>
        <w:rPr>
          <w:rFonts w:hint="eastAsia" w:ascii="Times New Roman" w:hAnsi="Times New Roman"/>
          <w:smallCaps w:val="0"/>
          <w:color w:val="000000" w:themeColor="text1"/>
          <w:highlight w:val="none"/>
          <w14:textFill>
            <w14:solidFill>
              <w14:schemeClr w14:val="tx1"/>
            </w14:solidFill>
          </w14:textFill>
        </w:rPr>
        <w:t>受益人</w:t>
      </w:r>
      <w:r>
        <w:rPr>
          <w:rFonts w:ascii="Times New Roman" w:hAnsi="Times New Roman"/>
          <w:smallCaps w:val="0"/>
          <w:color w:val="000000" w:themeColor="text1"/>
          <w:highlight w:val="none"/>
          <w14:textFill>
            <w14:solidFill>
              <w14:schemeClr w14:val="tx1"/>
            </w14:solidFill>
          </w14:textFill>
        </w:rPr>
        <w:t>是否按此要求将本保函正本退回我方，我方在本保函项下的义务和责任均在保函</w:t>
      </w:r>
      <w:r>
        <w:rPr>
          <w:rFonts w:hint="eastAsia" w:ascii="Times New Roman" w:hAnsi="Times New Roman"/>
          <w:smallCaps w:val="0"/>
          <w:color w:val="000000" w:themeColor="text1"/>
          <w:highlight w:val="none"/>
          <w14:textFill>
            <w14:solidFill>
              <w14:schemeClr w14:val="tx1"/>
            </w14:solidFill>
          </w14:textFill>
        </w:rPr>
        <w:t>有效期</w:t>
      </w:r>
      <w:r>
        <w:rPr>
          <w:rFonts w:ascii="Times New Roman" w:hAnsi="Times New Roman"/>
          <w:smallCaps w:val="0"/>
          <w:color w:val="000000" w:themeColor="text1"/>
          <w:highlight w:val="none"/>
          <w14:textFill>
            <w14:solidFill>
              <w14:schemeClr w14:val="tx1"/>
            </w14:solidFill>
          </w14:textFill>
        </w:rPr>
        <w:t>到期后自动消灭</w:t>
      </w:r>
      <w:r>
        <w:rPr>
          <w:rFonts w:hint="eastAsia" w:ascii="Times New Roman" w:hAnsi="Times New Roman"/>
          <w:smallCaps w:val="0"/>
          <w:color w:val="000000" w:themeColor="text1"/>
          <w:highlight w:val="none"/>
          <w:lang w:eastAsia="zh-CN"/>
          <w14:textFill>
            <w14:solidFill>
              <w14:schemeClr w14:val="tx1"/>
            </w14:solidFill>
          </w14:textFill>
        </w:rPr>
        <w:t>。</w:t>
      </w:r>
    </w:p>
    <w:p w14:paraId="7BCBFE25">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八、</w:t>
      </w:r>
      <w:r>
        <w:rPr>
          <w:rFonts w:ascii="Times New Roman" w:hAnsi="Times New Roman"/>
          <w:smallCaps w:val="0"/>
          <w:color w:val="000000" w:themeColor="text1"/>
          <w:highlight w:val="none"/>
          <w14:textFill>
            <w14:solidFill>
              <w14:schemeClr w14:val="tx1"/>
            </w14:solidFill>
          </w14:textFill>
        </w:rPr>
        <w:t>本保函</w:t>
      </w:r>
      <w:r>
        <w:rPr>
          <w:rFonts w:hint="eastAsia" w:ascii="Times New Roman" w:hAnsi="Times New Roman"/>
          <w:smallCaps w:val="0"/>
          <w:color w:val="000000" w:themeColor="text1"/>
          <w:highlight w:val="none"/>
          <w14:textFill>
            <w14:solidFill>
              <w14:schemeClr w14:val="tx1"/>
            </w14:solidFill>
          </w14:textFill>
        </w:rPr>
        <w:t>适用的法律为中华人民共和国法律，争议裁判管辖地为中华人民共和国</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w:t>
      </w:r>
    </w:p>
    <w:p w14:paraId="31E4D069">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九、</w:t>
      </w:r>
      <w:r>
        <w:rPr>
          <w:rFonts w:ascii="Times New Roman" w:hAnsi="Times New Roman"/>
          <w:smallCaps w:val="0"/>
          <w:color w:val="000000" w:themeColor="text1"/>
          <w:highlight w:val="none"/>
          <w14:textFill>
            <w14:solidFill>
              <w14:schemeClr w14:val="tx1"/>
            </w14:solidFill>
          </w14:textFill>
        </w:rPr>
        <w:t>本保函自我方法定代表人</w:t>
      </w:r>
      <w:r>
        <w:rPr>
          <w:rFonts w:hint="eastAsia" w:ascii="Times New Roman" w:hAnsi="Times New Roman"/>
          <w:smallCaps w:val="0"/>
          <w:color w:val="000000" w:themeColor="text1"/>
          <w:highlight w:val="none"/>
          <w14:textFill>
            <w14:solidFill>
              <w14:schemeClr w14:val="tx1"/>
            </w14:solidFill>
          </w14:textFill>
        </w:rPr>
        <w:t>或授权代表</w:t>
      </w:r>
      <w:r>
        <w:rPr>
          <w:rFonts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14:textFill>
            <w14:solidFill>
              <w14:schemeClr w14:val="tx1"/>
            </w14:solidFill>
          </w14:textFill>
        </w:rPr>
        <w:t>并</w:t>
      </w:r>
      <w:r>
        <w:rPr>
          <w:rFonts w:ascii="Times New Roman" w:hAnsi="Times New Roman"/>
          <w:smallCaps w:val="0"/>
          <w:color w:val="000000" w:themeColor="text1"/>
          <w:highlight w:val="none"/>
          <w14:textFill>
            <w14:solidFill>
              <w14:schemeClr w14:val="tx1"/>
            </w14:solidFill>
          </w14:textFill>
        </w:rPr>
        <w:t>加盖公章之日起生效</w:t>
      </w:r>
      <w:r>
        <w:rPr>
          <w:rFonts w:hint="eastAsia" w:ascii="Times New Roman" w:hAnsi="Times New Roman"/>
          <w:smallCaps w:val="0"/>
          <w:color w:val="000000" w:themeColor="text1"/>
          <w:highlight w:val="none"/>
          <w:lang w:eastAsia="zh-CN"/>
          <w14:textFill>
            <w14:solidFill>
              <w14:schemeClr w14:val="tx1"/>
            </w14:solidFill>
          </w14:textFill>
        </w:rPr>
        <w:t>。</w:t>
      </w:r>
    </w:p>
    <w:p w14:paraId="24A3946B">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p>
    <w:p w14:paraId="07BFF229">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 立 人</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公</w:t>
      </w:r>
      <w:r>
        <w:rPr>
          <w:rFonts w:ascii="Times New Roman" w:hAnsi="Times New Roman"/>
          <w:smallCaps w:val="0"/>
          <w:color w:val="000000" w:themeColor="text1"/>
          <w:highlight w:val="none"/>
          <w14:textFill>
            <w14:solidFill>
              <w14:schemeClr w14:val="tx1"/>
            </w14:solidFill>
          </w14:textFill>
        </w:rPr>
        <w:t>章</w:t>
      </w:r>
      <w:r>
        <w:rPr>
          <w:rFonts w:hint="eastAsia" w:ascii="Times New Roman" w:hAnsi="Times New Roman"/>
          <w:smallCaps w:val="0"/>
          <w:color w:val="000000" w:themeColor="text1"/>
          <w:highlight w:val="none"/>
          <w:lang w:eastAsia="zh-CN"/>
          <w14:textFill>
            <w14:solidFill>
              <w14:schemeClr w14:val="tx1"/>
            </w14:solidFill>
          </w14:textFill>
        </w:rPr>
        <w:t>）</w:t>
      </w:r>
    </w:p>
    <w:p w14:paraId="70251820">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法定代表人（或授权</w:t>
      </w:r>
      <w:r>
        <w:rPr>
          <w:rFonts w:hint="eastAsia" w:ascii="Times New Roman" w:hAnsi="Times New Roman"/>
          <w:smallCaps w:val="0"/>
          <w:color w:val="000000" w:themeColor="text1"/>
          <w:highlight w:val="none"/>
          <w:lang w:eastAsia="zh-CN"/>
          <w14:textFill>
            <w14:solidFill>
              <w14:schemeClr w14:val="tx1"/>
            </w14:solidFill>
          </w14:textFill>
        </w:rPr>
        <w:t>代表）：</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w:t>
      </w:r>
      <w:r>
        <w:rPr>
          <w:rFonts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lang w:eastAsia="zh-CN"/>
          <w14:textFill>
            <w14:solidFill>
              <w14:schemeClr w14:val="tx1"/>
            </w14:solidFill>
          </w14:textFill>
        </w:rPr>
        <w:t>）</w:t>
      </w:r>
    </w:p>
    <w:p w14:paraId="2DAC190A">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ascii="Times New Roman" w:hAnsi="Times New Roman"/>
          <w:smallCaps w:val="0"/>
          <w:color w:val="000000" w:themeColor="text1"/>
          <w:highlight w:val="none"/>
          <w:u w:val="non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u w:val="single"/>
          <w14:textFill>
            <w14:solidFill>
              <w14:schemeClr w14:val="tx1"/>
            </w14:solidFill>
          </w14:textFill>
        </w:rPr>
        <w:t xml:space="preserve">                                                      </w:t>
      </w:r>
    </w:p>
    <w:p w14:paraId="719F268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u w:val="single"/>
          <w14:textFill>
            <w14:solidFill>
              <w14:schemeClr w14:val="tx1"/>
            </w14:solidFill>
          </w14:textFill>
        </w:rPr>
        <w:t xml:space="preserve">                </w:t>
      </w:r>
    </w:p>
    <w:p w14:paraId="53F631C7">
      <w:pPr>
        <w:pageBreakBefore w:val="0"/>
        <w:kinsoku/>
        <w:wordWrap w:val="0"/>
        <w:overflowPunct/>
        <w:bidi w:val="0"/>
        <w:rPr>
          <w:rFonts w:hint="eastAsia" w:ascii="Times New Roman" w:hAnsi="Times New Roman"/>
          <w:b/>
          <w:bCs/>
          <w:smallCaps w:val="0"/>
          <w:color w:val="000000" w:themeColor="text1"/>
          <w:sz w:val="32"/>
          <w:szCs w:val="32"/>
          <w:highlight w:val="none"/>
          <w:lang w:eastAsia="zh-CN"/>
          <w14:textFill>
            <w14:solidFill>
              <w14:schemeClr w14:val="tx1"/>
            </w14:solidFill>
          </w14:textFill>
        </w:rPr>
      </w:pPr>
      <w:r>
        <w:rPr>
          <w:rFonts w:hint="eastAsia" w:ascii="Times New Roman" w:hAnsi="Times New Roman"/>
          <w:b/>
          <w:bCs/>
          <w:smallCaps w:val="0"/>
          <w:color w:val="000000" w:themeColor="text1"/>
          <w:sz w:val="32"/>
          <w:szCs w:val="32"/>
          <w:highlight w:val="none"/>
          <w:lang w:eastAsia="zh-CN"/>
          <w14:textFill>
            <w14:solidFill>
              <w14:schemeClr w14:val="tx1"/>
            </w14:solidFill>
          </w14:textFill>
        </w:rPr>
        <w:br w:type="page"/>
      </w:r>
    </w:p>
    <w:p w14:paraId="77E26E15">
      <w:pPr>
        <w:pStyle w:val="40"/>
        <w:pageBreakBefore w:val="0"/>
        <w:kinsoku/>
        <w:wordWrap w:val="0"/>
        <w:overflowPunct/>
        <w:bidi w:val="0"/>
        <w:outlineLvl w:val="1"/>
        <w:rPr>
          <w:rFonts w:hint="eastAsia" w:ascii="Times New Roman" w:hAnsi="Times New Roman"/>
          <w:smallCaps w:val="0"/>
          <w:color w:val="000000" w:themeColor="text1"/>
          <w:highlight w:val="none"/>
          <w:lang w:eastAsia="zh-CN"/>
          <w14:textFill>
            <w14:solidFill>
              <w14:schemeClr w14:val="tx1"/>
            </w14:solidFill>
          </w14:textFill>
        </w:rPr>
      </w:pPr>
      <w:bookmarkStart w:id="1453" w:name="_Toc3339"/>
      <w:r>
        <w:rPr>
          <w:rFonts w:hint="eastAsia" w:ascii="Times New Roman" w:hAnsi="Times New Roman"/>
          <w:smallCaps w:val="0"/>
          <w:color w:val="000000" w:themeColor="text1"/>
          <w:highlight w:val="none"/>
          <w:lang w:eastAsia="zh-CN"/>
          <w14:textFill>
            <w14:solidFill>
              <w14:schemeClr w14:val="tx1"/>
            </w14:solidFill>
          </w14:textFill>
        </w:rPr>
        <w:t>投标保证金保证保险</w:t>
      </w:r>
      <w:bookmarkEnd w:id="1453"/>
    </w:p>
    <w:p w14:paraId="3CAEF757">
      <w:pPr>
        <w:pStyle w:val="79"/>
        <w:pageBreakBefore w:val="0"/>
        <w:kinsoku/>
        <w:wordWrap w:val="0"/>
        <w:overflowPunct/>
        <w:bidi w:val="0"/>
        <w:jc w:val="center"/>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　　　　　　　　　　　　　　　　　　　　　</w:t>
      </w:r>
      <w:r>
        <w:rPr>
          <w:rFonts w:hint="eastAsia" w:ascii="Times New Roman" w:hAnsi="Times New Roman"/>
          <w:smallCaps w:val="0"/>
          <w:color w:val="000000" w:themeColor="text1"/>
          <w:highlight w:val="none"/>
          <w14:textFill>
            <w14:solidFill>
              <w14:schemeClr w14:val="tx1"/>
            </w14:solidFill>
          </w14:textFill>
        </w:rPr>
        <w:t>编号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 xml:space="preserve">          </w:t>
      </w:r>
    </w:p>
    <w:p w14:paraId="2DF173C3">
      <w:pPr>
        <w:pageBreakBefore w:val="0"/>
        <w:kinsoku/>
        <w:wordWrap w:val="0"/>
        <w:overflowPunct/>
        <w:bidi w:val="0"/>
        <w:spacing w:line="360" w:lineRule="auto"/>
        <w:rPr>
          <w:rFonts w:ascii="Times New Roman" w:hAnsi="Times New Roman" w:eastAsia="宋体"/>
          <w:smallCaps w:val="0"/>
          <w:color w:val="000000" w:themeColor="text1"/>
          <w:sz w:val="21"/>
          <w:szCs w:val="21"/>
          <w:highlight w:val="none"/>
          <w14:textFill>
            <w14:solidFill>
              <w14:schemeClr w14:val="tx1"/>
            </w14:solidFill>
          </w14:textFill>
        </w:rPr>
      </w:pPr>
      <w:r>
        <w:rPr>
          <w:rFonts w:ascii="Times New Roman" w:hAnsi="Times New Roman" w:eastAsia="宋体"/>
          <w:smallCaps w:val="0"/>
          <w:color w:val="000000" w:themeColor="text1"/>
          <w:sz w:val="21"/>
          <w:szCs w:val="21"/>
          <w:highlight w:val="none"/>
          <w14:textFill>
            <w14:solidFill>
              <w14:schemeClr w14:val="tx1"/>
            </w14:solidFill>
          </w14:textFill>
        </w:rPr>
        <w:t xml:space="preserve"> </w:t>
      </w:r>
    </w:p>
    <w:p w14:paraId="35A0F4FF">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申请人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2F915DC">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4166F915">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受益人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p>
    <w:p w14:paraId="380B45DF">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38548C20">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开立人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04CC0D72">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2D462BD">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p>
    <w:p w14:paraId="479D9D42">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（受益人名称）</w:t>
      </w:r>
    </w:p>
    <w:p w14:paraId="1493534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我方（即“开立人”）已获得通知，本</w:t>
      </w:r>
      <w:r>
        <w:rPr>
          <w:rFonts w:hint="eastAsia" w:ascii="Times New Roman" w:hAnsi="Times New Roman"/>
          <w:smallCaps w:val="0"/>
          <w:color w:val="000000" w:themeColor="text1"/>
          <w:highlight w:val="none"/>
          <w:lang w:eastAsia="zh-CN"/>
          <w14:textFill>
            <w14:solidFill>
              <w14:schemeClr w14:val="tx1"/>
            </w14:solidFill>
          </w14:textFill>
        </w:rPr>
        <w:t>保证保险</w:t>
      </w:r>
      <w:r>
        <w:rPr>
          <w:rFonts w:hint="eastAsia" w:ascii="Times New Roman" w:hAnsi="Times New Roman"/>
          <w:smallCaps w:val="0"/>
          <w:color w:val="000000" w:themeColor="text1"/>
          <w:highlight w:val="none"/>
          <w14:textFill>
            <w14:solidFill>
              <w14:schemeClr w14:val="tx1"/>
            </w14:solidFill>
          </w14:textFill>
        </w:rPr>
        <w:t>申请人（即“投标人”）已响应贵方于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lang w:eastAsia="zh-CN"/>
          <w14:textFill>
            <w14:solidFill>
              <w14:schemeClr w14:val="tx1"/>
            </w14:solidFill>
          </w14:textFill>
        </w:rPr>
        <w:t>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p>
    <w:p w14:paraId="7A7DA24A">
      <w:pPr>
        <w:pStyle w:val="79"/>
        <w:pageBreakBefore w:val="0"/>
        <w:kinsoku/>
        <w:wordWrap w:val="0"/>
        <w:overflowPunct/>
        <w:bidi w:val="0"/>
        <w:ind w:firstLine="0" w:firstLineChars="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日就</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（以下简称“本工程”）发出的招标文件，并已向招标人（即“受益人”）提交了投标文件（即“基础交易”）。</w:t>
      </w:r>
    </w:p>
    <w:p w14:paraId="3425527E">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一、我方理解根据招标条件，投标人必须提交一份投标</w:t>
      </w:r>
      <w:r>
        <w:rPr>
          <w:rFonts w:hint="eastAsia" w:ascii="Times New Roman" w:hAnsi="Times New Roman"/>
          <w:smallCaps w:val="0"/>
          <w:color w:val="000000" w:themeColor="text1"/>
          <w:highlight w:val="none"/>
          <w:lang w:eastAsia="zh-CN"/>
          <w14:textFill>
            <w14:solidFill>
              <w14:schemeClr w14:val="tx1"/>
            </w14:solidFill>
          </w14:textFill>
        </w:rPr>
        <w:t>保证金</w:t>
      </w:r>
      <w:r>
        <w:rPr>
          <w:rFonts w:hint="eastAsia" w:ascii="Times New Roman" w:hAnsi="Times New Roman"/>
          <w:smallCaps w:val="0"/>
          <w:color w:val="000000" w:themeColor="text1"/>
          <w:highlight w:val="none"/>
          <w14:textFill>
            <w14:solidFill>
              <w14:schemeClr w14:val="tx1"/>
            </w14:solidFill>
          </w14:textFill>
        </w:rPr>
        <w:t>，以担保投标人诚信履行其在上述基础交易中承担的投标人义务。鉴此，应申请人要求，我方在此同意向贵方出具此投标</w:t>
      </w:r>
      <w:r>
        <w:rPr>
          <w:rFonts w:hint="eastAsia" w:ascii="Times New Roman" w:hAnsi="Times New Roman"/>
          <w:smallCaps w:val="0"/>
          <w:color w:val="000000" w:themeColor="text1"/>
          <w:highlight w:val="none"/>
          <w:lang w:eastAsia="zh-CN"/>
          <w14:textFill>
            <w14:solidFill>
              <w14:schemeClr w14:val="tx1"/>
            </w14:solidFill>
          </w14:textFill>
        </w:rPr>
        <w:t>保证保险</w:t>
      </w:r>
      <w:r>
        <w:rPr>
          <w:rFonts w:hint="eastAsia" w:ascii="Times New Roman" w:hAnsi="Times New Roman"/>
          <w:smallCaps w:val="0"/>
          <w:color w:val="000000" w:themeColor="text1"/>
          <w:highlight w:val="none"/>
          <w14:textFill>
            <w14:solidFill>
              <w14:schemeClr w14:val="tx1"/>
            </w14:solidFill>
          </w14:textFill>
        </w:rPr>
        <w:t>（以下简称“本</w:t>
      </w:r>
      <w:r>
        <w:rPr>
          <w:rFonts w:hint="eastAsia" w:ascii="Times New Roman" w:hAnsi="Times New Roman"/>
          <w:smallCaps w:val="0"/>
          <w:color w:val="000000" w:themeColor="text1"/>
          <w:highlight w:val="none"/>
          <w:lang w:eastAsia="zh-CN"/>
          <w14:textFill>
            <w14:solidFill>
              <w14:schemeClr w14:val="tx1"/>
            </w14:solidFill>
          </w14:textFill>
        </w:rPr>
        <w:t>保证保险</w:t>
      </w:r>
      <w:r>
        <w:rPr>
          <w:rFonts w:hint="eastAsia" w:ascii="Times New Roman" w:hAnsi="Times New Roman"/>
          <w:smallCaps w:val="0"/>
          <w:color w:val="000000" w:themeColor="text1"/>
          <w:highlight w:val="none"/>
          <w14:textFill>
            <w14:solidFill>
              <w14:schemeClr w14:val="tx1"/>
            </w14:solidFill>
          </w14:textFill>
        </w:rPr>
        <w:t>”），本</w:t>
      </w:r>
      <w:r>
        <w:rPr>
          <w:rFonts w:hint="eastAsia" w:ascii="Times New Roman" w:hAnsi="Times New Roman"/>
          <w:smallCaps w:val="0"/>
          <w:color w:val="000000" w:themeColor="text1"/>
          <w:highlight w:val="none"/>
          <w:lang w:eastAsia="zh-CN"/>
          <w14:textFill>
            <w14:solidFill>
              <w14:schemeClr w14:val="tx1"/>
            </w14:solidFill>
          </w14:textFill>
        </w:rPr>
        <w:t>保证保险</w:t>
      </w:r>
      <w:r>
        <w:rPr>
          <w:rFonts w:hint="eastAsia" w:ascii="Times New Roman" w:hAnsi="Times New Roman"/>
          <w:smallCaps w:val="0"/>
          <w:color w:val="000000" w:themeColor="text1"/>
          <w:highlight w:val="none"/>
          <w14:textFill>
            <w14:solidFill>
              <w14:schemeClr w14:val="tx1"/>
            </w14:solidFill>
          </w14:textFill>
        </w:rPr>
        <w:t>担保金额</w:t>
      </w:r>
      <w:r>
        <w:rPr>
          <w:rFonts w:hint="eastAsia" w:ascii="Times New Roman" w:hAnsi="Times New Roman"/>
          <w:smallCaps w:val="0"/>
          <w:color w:val="000000" w:themeColor="text1"/>
          <w:highlight w:val="none"/>
          <w:lang w:eastAsia="zh-CN"/>
          <w14:textFill>
            <w14:solidFill>
              <w14:schemeClr w14:val="tx1"/>
            </w14:solidFill>
          </w14:textFill>
        </w:rPr>
        <w:t>为</w:t>
      </w:r>
      <w:r>
        <w:rPr>
          <w:rFonts w:ascii="Times New Roman" w:hAnsi="Times New Roman"/>
          <w:smallCaps w:val="0"/>
          <w:color w:val="000000" w:themeColor="text1"/>
          <w:highlight w:val="none"/>
          <w14:textFill>
            <w14:solidFill>
              <w14:schemeClr w14:val="tx1"/>
            </w14:solidFill>
          </w14:textFill>
        </w:rPr>
        <w:t>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元（¥</w:t>
      </w:r>
      <w:r>
        <w:rPr>
          <w:rFonts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w:t>
      </w:r>
    </w:p>
    <w:p w14:paraId="37701128">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二、我方在投标人发生以下情形时承担保证担保责任</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14:textFill>
            <w14:solidFill>
              <w14:schemeClr w14:val="tx1"/>
            </w14:solidFill>
          </w14:textFill>
        </w:rPr>
        <w:t xml:space="preserve"> </w:t>
      </w:r>
    </w:p>
    <w:p w14:paraId="206C800B">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（1）投标</w:t>
      </w:r>
      <w:r>
        <w:rPr>
          <w:rFonts w:ascii="Times New Roman" w:hAnsi="Times New Roman"/>
          <w:smallCaps w:val="0"/>
          <w:color w:val="000000" w:themeColor="text1"/>
          <w:highlight w:val="none"/>
          <w14:textFill>
            <w14:solidFill>
              <w14:schemeClr w14:val="tx1"/>
            </w14:solidFill>
          </w14:textFill>
        </w:rPr>
        <w:t xml:space="preserve">人在开标后和投标有效期满之前撤销投标的； </w:t>
      </w:r>
    </w:p>
    <w:p w14:paraId="7449907C">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w:t>
      </w:r>
      <w:r>
        <w:rPr>
          <w:rFonts w:ascii="Times New Roman" w:hAnsi="Times New Roman"/>
          <w:smallCaps w:val="0"/>
          <w:color w:val="000000" w:themeColor="text1"/>
          <w:highlight w:val="none"/>
          <w14:textFill>
            <w14:solidFill>
              <w14:schemeClr w14:val="tx1"/>
            </w14:solidFill>
          </w14:textFill>
        </w:rPr>
        <w:t>投标人在收到中标通知后，</w:t>
      </w:r>
      <w:r>
        <w:rPr>
          <w:rFonts w:hint="eastAsia" w:ascii="Times New Roman" w:hAnsi="Times New Roman"/>
          <w:smallCaps w:val="0"/>
          <w:color w:val="000000" w:themeColor="text1"/>
          <w:highlight w:val="none"/>
          <w14:textFill>
            <w14:solidFill>
              <w14:schemeClr w14:val="tx1"/>
            </w14:solidFill>
          </w14:textFill>
        </w:rPr>
        <w:t>不能或拒绝</w:t>
      </w:r>
      <w:r>
        <w:rPr>
          <w:rFonts w:ascii="Times New Roman" w:hAnsi="Times New Roman"/>
          <w:smallCaps w:val="0"/>
          <w:color w:val="000000" w:themeColor="text1"/>
          <w:highlight w:val="none"/>
          <w14:textFill>
            <w14:solidFill>
              <w14:schemeClr w14:val="tx1"/>
            </w14:solidFill>
          </w14:textFill>
        </w:rPr>
        <w:t xml:space="preserve">在中标通知书规定的时间内与贵方签订合同； </w:t>
      </w:r>
    </w:p>
    <w:p w14:paraId="1779AB6E">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3</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14:textFill>
            <w14:solidFill>
              <w14:schemeClr w14:val="tx1"/>
            </w14:solidFill>
          </w14:textFill>
        </w:rPr>
        <w:t>投标人在收到中标通知后，</w:t>
      </w:r>
      <w:r>
        <w:rPr>
          <w:rFonts w:hint="eastAsia" w:ascii="Times New Roman" w:hAnsi="Times New Roman"/>
          <w:smallCaps w:val="0"/>
          <w:color w:val="000000" w:themeColor="text1"/>
          <w:highlight w:val="none"/>
          <w14:textFill>
            <w14:solidFill>
              <w14:schemeClr w14:val="tx1"/>
            </w14:solidFill>
          </w14:textFill>
        </w:rPr>
        <w:t>不能或拒绝</w:t>
      </w:r>
      <w:r>
        <w:rPr>
          <w:rFonts w:ascii="Times New Roman" w:hAnsi="Times New Roman"/>
          <w:smallCaps w:val="0"/>
          <w:color w:val="000000" w:themeColor="text1"/>
          <w:highlight w:val="none"/>
          <w14:textFill>
            <w14:solidFill>
              <w14:schemeClr w14:val="tx1"/>
            </w14:solidFill>
          </w14:textFill>
        </w:rPr>
        <w:t>在中标通知书规定的时间内与贵方签订合同</w:t>
      </w:r>
      <w:r>
        <w:rPr>
          <w:rFonts w:hint="eastAsia" w:ascii="Times New Roman" w:hAnsi="Times New Roman"/>
          <w:smallCaps w:val="0"/>
          <w:color w:val="000000" w:themeColor="text1"/>
          <w:highlight w:val="none"/>
          <w:lang w:eastAsia="zh-CN"/>
          <w14:textFill>
            <w14:solidFill>
              <w14:schemeClr w14:val="tx1"/>
            </w14:solidFill>
          </w14:textFill>
        </w:rPr>
        <w:t>或</w:t>
      </w:r>
      <w:r>
        <w:rPr>
          <w:rFonts w:hint="eastAsia" w:ascii="Times New Roman" w:hAnsi="Times New Roman"/>
          <w:smallCaps w:val="0"/>
          <w:color w:val="000000" w:themeColor="text1"/>
          <w:highlight w:val="none"/>
          <w14:textFill>
            <w14:solidFill>
              <w14:schemeClr w14:val="tx1"/>
            </w14:solidFill>
          </w14:textFill>
        </w:rPr>
        <w:t>在签订合同时向</w:t>
      </w:r>
      <w:r>
        <w:rPr>
          <w:rFonts w:hint="eastAsia" w:ascii="Times New Roman" w:hAnsi="Times New Roman"/>
          <w:smallCaps w:val="0"/>
          <w:color w:val="000000" w:themeColor="text1"/>
          <w:highlight w:val="none"/>
          <w:lang w:eastAsia="zh-CN"/>
          <w14:textFill>
            <w14:solidFill>
              <w14:schemeClr w14:val="tx1"/>
            </w14:solidFill>
          </w14:textFill>
        </w:rPr>
        <w:t>贵方</w:t>
      </w:r>
      <w:r>
        <w:rPr>
          <w:rFonts w:hint="eastAsia" w:ascii="Times New Roman" w:hAnsi="Times New Roman"/>
          <w:smallCaps w:val="0"/>
          <w:color w:val="000000" w:themeColor="text1"/>
          <w:highlight w:val="none"/>
          <w14:textFill>
            <w14:solidFill>
              <w14:schemeClr w14:val="tx1"/>
            </w14:solidFill>
          </w14:textFill>
        </w:rPr>
        <w:t>提出附加条件</w:t>
      </w:r>
      <w:r>
        <w:rPr>
          <w:rFonts w:ascii="Times New Roman" w:hAnsi="Times New Roman"/>
          <w:smallCaps w:val="0"/>
          <w:color w:val="000000" w:themeColor="text1"/>
          <w:highlight w:val="none"/>
          <w14:textFill>
            <w14:solidFill>
              <w14:schemeClr w14:val="tx1"/>
            </w14:solidFill>
          </w14:textFill>
        </w:rPr>
        <w:t>；</w:t>
      </w:r>
    </w:p>
    <w:p w14:paraId="7EC54524">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4</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投标人违反</w:t>
      </w:r>
      <w:r>
        <w:rPr>
          <w:rFonts w:ascii="Times New Roman" w:hAnsi="Times New Roman"/>
          <w:smallCaps w:val="0"/>
          <w:color w:val="000000" w:themeColor="text1"/>
          <w:highlight w:val="none"/>
          <w14:textFill>
            <w14:solidFill>
              <w14:schemeClr w14:val="tx1"/>
            </w14:solidFill>
          </w14:textFill>
        </w:rPr>
        <w:t>招标文件规定</w:t>
      </w:r>
      <w:r>
        <w:rPr>
          <w:rFonts w:hint="eastAsia" w:ascii="Times New Roman" w:hAnsi="Times New Roman"/>
          <w:smallCaps w:val="0"/>
          <w:color w:val="000000" w:themeColor="text1"/>
          <w:highlight w:val="none"/>
          <w14:textFill>
            <w14:solidFill>
              <w14:schemeClr w14:val="tx1"/>
            </w14:solidFill>
          </w14:textFill>
        </w:rPr>
        <w:t>的其他</w:t>
      </w:r>
      <w:r>
        <w:rPr>
          <w:rFonts w:ascii="Times New Roman" w:hAnsi="Times New Roman"/>
          <w:smallCaps w:val="0"/>
          <w:color w:val="000000" w:themeColor="text1"/>
          <w:highlight w:val="none"/>
          <w14:textFill>
            <w14:solidFill>
              <w14:schemeClr w14:val="tx1"/>
            </w14:solidFill>
          </w14:textFill>
        </w:rPr>
        <w:t>情形。</w:t>
      </w:r>
    </w:p>
    <w:p w14:paraId="4D48F9CC">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三、</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hint="eastAsia" w:ascii="Times New Roman" w:hAnsi="Times New Roman"/>
          <w:smallCaps w:val="0"/>
          <w:color w:val="000000" w:themeColor="text1"/>
          <w:highlight w:val="none"/>
          <w14:textFill>
            <w14:solidFill>
              <w14:schemeClr w14:val="tx1"/>
            </w14:solidFill>
          </w14:textFill>
        </w:rPr>
        <w:t>为</w:t>
      </w:r>
      <w:r>
        <w:rPr>
          <w:rFonts w:ascii="Times New Roman" w:hAnsi="Times New Roman"/>
          <w:smallCaps w:val="0"/>
          <w:color w:val="000000" w:themeColor="text1"/>
          <w:highlight w:val="none"/>
          <w14:textFill>
            <w14:solidFill>
              <w14:schemeClr w14:val="tx1"/>
            </w14:solidFill>
          </w14:textFill>
        </w:rPr>
        <w:t>不可撤销、</w:t>
      </w:r>
      <w:r>
        <w:rPr>
          <w:rFonts w:hint="eastAsia" w:ascii="Times New Roman" w:hAnsi="Times New Roman"/>
          <w:smallCaps w:val="0"/>
          <w:color w:val="000000" w:themeColor="text1"/>
          <w:highlight w:val="none"/>
          <w14:textFill>
            <w14:solidFill>
              <w14:schemeClr w14:val="tx1"/>
            </w14:solidFill>
          </w14:textFill>
        </w:rPr>
        <w:t>不可转让的见索即付</w:t>
      </w:r>
      <w:r>
        <w:rPr>
          <w:rFonts w:hint="eastAsia" w:ascii="Times New Roman" w:hAnsi="Times New Roman"/>
          <w:smallCaps w:val="0"/>
          <w:color w:val="000000" w:themeColor="text1"/>
          <w:highlight w:val="none"/>
          <w:lang w:eastAsia="zh-CN"/>
          <w14:textFill>
            <w14:solidFill>
              <w14:schemeClr w14:val="tx1"/>
            </w14:solidFill>
          </w14:textFill>
        </w:rPr>
        <w:t>保证保险</w:t>
      </w:r>
      <w:r>
        <w:rPr>
          <w:rFonts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有效期自</w:t>
      </w:r>
      <w:r>
        <w:rPr>
          <w:rFonts w:hint="eastAsia" w:ascii="Times New Roman" w:hAnsi="Times New Roman"/>
          <w:smallCaps w:val="0"/>
          <w:color w:val="000000" w:themeColor="text1"/>
          <w:highlight w:val="none"/>
          <w14:textFill>
            <w14:solidFill>
              <w14:schemeClr w14:val="tx1"/>
            </w14:solidFill>
          </w14:textFill>
        </w:rPr>
        <w:t>开立之日起</w:t>
      </w:r>
      <w:r>
        <w:rPr>
          <w:rFonts w:ascii="Times New Roman" w:hAnsi="Times New Roman"/>
          <w:smallCaps w:val="0"/>
          <w:color w:val="000000" w:themeColor="text1"/>
          <w:highlight w:val="none"/>
          <w14:textFill>
            <w14:solidFill>
              <w14:schemeClr w14:val="tx1"/>
            </w14:solidFill>
          </w14:textFill>
        </w:rPr>
        <w:t>至</w:t>
      </w:r>
      <w:r>
        <w:rPr>
          <w:rFonts w:hint="eastAsia" w:ascii="Times New Roman" w:hAnsi="Times New Roman"/>
          <w:smallCaps w:val="0"/>
          <w:color w:val="000000" w:themeColor="text1"/>
          <w:highlight w:val="none"/>
          <w14:textFill>
            <w14:solidFill>
              <w14:schemeClr w14:val="tx1"/>
            </w14:solidFill>
          </w14:textFill>
        </w:rPr>
        <w:t>投标有效期届满之日后的</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eastAsia="zh-CN"/>
          <w14:textFill>
            <w14:solidFill>
              <w14:schemeClr w14:val="tx1"/>
            </w14:solidFill>
          </w14:textFill>
        </w:rPr>
        <w:t>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r>
        <w:rPr>
          <w:rFonts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投标有效期延长的，</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hint="eastAsia" w:ascii="Times New Roman" w:hAnsi="Times New Roman"/>
          <w:smallCaps w:val="0"/>
          <w:color w:val="000000" w:themeColor="text1"/>
          <w:highlight w:val="none"/>
          <w14:textFill>
            <w14:solidFill>
              <w14:schemeClr w14:val="tx1"/>
            </w14:solidFill>
          </w14:textFill>
        </w:rPr>
        <w:t>有效期相应顺延，最迟不超过</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3C22CE8A">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四、我方承诺，在收到受益人发来的书面付款通知后的</w:t>
      </w:r>
      <w:r>
        <w:rPr>
          <w:rFonts w:hint="eastAsia" w:ascii="Times New Roman" w:hAnsi="Times New Roman"/>
          <w:smallCaps w:val="0"/>
          <w:color w:val="000000" w:themeColor="text1"/>
          <w:highlight w:val="none"/>
          <w:lang w:val="en-US" w:eastAsia="zh-CN"/>
          <w14:textFill>
            <w14:solidFill>
              <w14:schemeClr w14:val="tx1"/>
            </w14:solidFill>
          </w14:textFill>
        </w:rPr>
        <w:t>7</w:t>
      </w:r>
      <w:r>
        <w:rPr>
          <w:rFonts w:hint="eastAsia" w:ascii="Times New Roman" w:hAnsi="Times New Roman"/>
          <w:smallCaps w:val="0"/>
          <w:color w:val="000000" w:themeColor="text1"/>
          <w:highlight w:val="none"/>
          <w14:textFill>
            <w14:solidFill>
              <w14:schemeClr w14:val="tx1"/>
            </w14:solidFill>
          </w14:textFill>
        </w:rPr>
        <w:t>日内无条件支付，前述书面付款通知即为付款要求之单据，且应满足以下要求</w:t>
      </w:r>
      <w:r>
        <w:rPr>
          <w:rFonts w:hint="eastAsia" w:ascii="Times New Roman" w:hAnsi="Times New Roman"/>
          <w:smallCaps w:val="0"/>
          <w:color w:val="000000" w:themeColor="text1"/>
          <w:highlight w:val="none"/>
          <w:lang w:eastAsia="zh-CN"/>
          <w14:textFill>
            <w14:solidFill>
              <w14:schemeClr w14:val="tx1"/>
            </w14:solidFill>
          </w14:textFill>
        </w:rPr>
        <w:t>：</w:t>
      </w:r>
    </w:p>
    <w:p w14:paraId="21DEC281">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（1）付款通知到达的日期在</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hint="eastAsia" w:ascii="Times New Roman" w:hAnsi="Times New Roman"/>
          <w:smallCaps w:val="0"/>
          <w:color w:val="000000" w:themeColor="text1"/>
          <w:highlight w:val="none"/>
          <w14:textFill>
            <w14:solidFill>
              <w14:schemeClr w14:val="tx1"/>
            </w14:solidFill>
          </w14:textFill>
        </w:rPr>
        <w:t>的有效期内；</w:t>
      </w:r>
    </w:p>
    <w:p w14:paraId="5C95C936">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（2）载明要求支付的金额；</w:t>
      </w:r>
    </w:p>
    <w:p w14:paraId="0FAA61B4">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（3）载明申请人违反招投标文件规定的义务内容和具体条款；</w:t>
      </w:r>
    </w:p>
    <w:p w14:paraId="6392F19C">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（4）声明不存在招标文件规定或我国法律规定免除申请人或我方支付责任的情形；</w:t>
      </w:r>
    </w:p>
    <w:p w14:paraId="1279B92B">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（5）书面付款通知应在</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hint="eastAsia" w:ascii="Times New Roman" w:hAnsi="Times New Roman"/>
          <w:smallCaps w:val="0"/>
          <w:color w:val="000000" w:themeColor="text1"/>
          <w:highlight w:val="none"/>
          <w14:textFill>
            <w14:solidFill>
              <w14:schemeClr w14:val="tx1"/>
            </w14:solidFill>
          </w14:textFill>
        </w:rPr>
        <w:t>有效期内到达的地址是</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p>
    <w:p w14:paraId="3CF3CBBD">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受益人发出的书面付款通知应由其为鉴明受益人法定代表人（负责人）或授权代理人签字并加盖公章。</w:t>
      </w:r>
    </w:p>
    <w:p w14:paraId="3C9C14DB">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五、</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项下的权利不得转让，不得设定担保。</w:t>
      </w:r>
      <w:r>
        <w:rPr>
          <w:rFonts w:hint="eastAsia" w:ascii="Times New Roman" w:hAnsi="Times New Roman"/>
          <w:smallCaps w:val="0"/>
          <w:color w:val="000000" w:themeColor="text1"/>
          <w:highlight w:val="none"/>
          <w:lang w:eastAsia="zh-CN"/>
          <w14:textFill>
            <w14:solidFill>
              <w14:schemeClr w14:val="tx1"/>
            </w14:solidFill>
          </w14:textFill>
        </w:rPr>
        <w:t>贵方</w:t>
      </w:r>
      <w:r>
        <w:rPr>
          <w:rFonts w:ascii="Times New Roman" w:hAnsi="Times New Roman"/>
          <w:smallCaps w:val="0"/>
          <w:color w:val="000000" w:themeColor="text1"/>
          <w:highlight w:val="none"/>
          <w14:textFill>
            <w14:solidFill>
              <w14:schemeClr w14:val="tx1"/>
            </w14:solidFill>
          </w14:textFill>
        </w:rPr>
        <w:t>未经我方书面同意转让</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或其项下任何权利，</w:t>
      </w:r>
      <w:r>
        <w:rPr>
          <w:rFonts w:hint="eastAsia" w:ascii="Times New Roman" w:hAnsi="Times New Roman"/>
          <w:smallCaps w:val="0"/>
          <w:color w:val="000000" w:themeColor="text1"/>
          <w:highlight w:val="none"/>
          <w14:textFill>
            <w14:solidFill>
              <w14:schemeClr w14:val="tx1"/>
            </w14:solidFill>
          </w14:textFill>
        </w:rPr>
        <w:t>对我方不发生法律效力</w:t>
      </w:r>
      <w:r>
        <w:rPr>
          <w:rFonts w:hint="eastAsia" w:ascii="Times New Roman" w:hAnsi="Times New Roman"/>
          <w:smallCaps w:val="0"/>
          <w:color w:val="000000" w:themeColor="text1"/>
          <w:highlight w:val="none"/>
          <w:lang w:eastAsia="zh-CN"/>
          <w14:textFill>
            <w14:solidFill>
              <w14:schemeClr w14:val="tx1"/>
            </w14:solidFill>
          </w14:textFill>
        </w:rPr>
        <w:t>。</w:t>
      </w:r>
    </w:p>
    <w:p w14:paraId="4F6C512A">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六、</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项下的基础交易不成立、不生效、无效、被撤销、被解除，不影响</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的独立有效</w:t>
      </w:r>
      <w:r>
        <w:rPr>
          <w:rFonts w:hint="eastAsia" w:ascii="Times New Roman" w:hAnsi="Times New Roman"/>
          <w:smallCaps w:val="0"/>
          <w:color w:val="000000" w:themeColor="text1"/>
          <w:highlight w:val="none"/>
          <w:lang w:eastAsia="zh-CN"/>
          <w14:textFill>
            <w14:solidFill>
              <w14:schemeClr w14:val="tx1"/>
            </w14:solidFill>
          </w14:textFill>
        </w:rPr>
        <w:t>。</w:t>
      </w:r>
    </w:p>
    <w:p w14:paraId="34A8C1A7">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七、受益人</w:t>
      </w:r>
      <w:r>
        <w:rPr>
          <w:rFonts w:ascii="Times New Roman" w:hAnsi="Times New Roman"/>
          <w:smallCaps w:val="0"/>
          <w:color w:val="000000" w:themeColor="text1"/>
          <w:highlight w:val="none"/>
          <w14:textFill>
            <w14:solidFill>
              <w14:schemeClr w14:val="tx1"/>
            </w14:solidFill>
          </w14:textFill>
        </w:rPr>
        <w:t>应在</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到期后的</w:t>
      </w:r>
      <w:r>
        <w:rPr>
          <w:rFonts w:hint="eastAsia" w:ascii="Times New Roman" w:hAnsi="Times New Roman"/>
          <w:smallCaps w:val="0"/>
          <w:color w:val="000000" w:themeColor="text1"/>
          <w:highlight w:val="none"/>
          <w14:textFill>
            <w14:solidFill>
              <w14:schemeClr w14:val="tx1"/>
            </w14:solidFill>
          </w14:textFill>
        </w:rPr>
        <w:t>七</w:t>
      </w:r>
      <w:r>
        <w:rPr>
          <w:rFonts w:ascii="Times New Roman" w:hAnsi="Times New Roman"/>
          <w:smallCaps w:val="0"/>
          <w:color w:val="000000" w:themeColor="text1"/>
          <w:highlight w:val="none"/>
          <w14:textFill>
            <w14:solidFill>
              <w14:schemeClr w14:val="tx1"/>
            </w14:solidFill>
          </w14:textFill>
        </w:rPr>
        <w:t>日内将</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正本退回我方</w:t>
      </w:r>
      <w:r>
        <w:rPr>
          <w:rFonts w:hint="eastAsia" w:ascii="Times New Roman" w:hAnsi="Times New Roman"/>
          <w:smallCaps w:val="0"/>
          <w:color w:val="000000" w:themeColor="text1"/>
          <w:highlight w:val="none"/>
          <w14:textFill>
            <w14:solidFill>
              <w14:schemeClr w14:val="tx1"/>
            </w14:solidFill>
          </w14:textFill>
        </w:rPr>
        <w:t>注销</w:t>
      </w:r>
      <w:r>
        <w:rPr>
          <w:rFonts w:ascii="Times New Roman" w:hAnsi="Times New Roman"/>
          <w:smallCaps w:val="0"/>
          <w:color w:val="000000" w:themeColor="text1"/>
          <w:highlight w:val="none"/>
          <w14:textFill>
            <w14:solidFill>
              <w14:schemeClr w14:val="tx1"/>
            </w14:solidFill>
          </w14:textFill>
        </w:rPr>
        <w:t>，但是不论</w:t>
      </w:r>
      <w:r>
        <w:rPr>
          <w:rFonts w:hint="eastAsia" w:ascii="Times New Roman" w:hAnsi="Times New Roman"/>
          <w:smallCaps w:val="0"/>
          <w:color w:val="000000" w:themeColor="text1"/>
          <w:highlight w:val="none"/>
          <w14:textFill>
            <w14:solidFill>
              <w14:schemeClr w14:val="tx1"/>
            </w14:solidFill>
          </w14:textFill>
        </w:rPr>
        <w:t>受益人</w:t>
      </w:r>
      <w:r>
        <w:rPr>
          <w:rFonts w:ascii="Times New Roman" w:hAnsi="Times New Roman"/>
          <w:smallCaps w:val="0"/>
          <w:color w:val="000000" w:themeColor="text1"/>
          <w:highlight w:val="none"/>
          <w14:textFill>
            <w14:solidFill>
              <w14:schemeClr w14:val="tx1"/>
            </w14:solidFill>
          </w14:textFill>
        </w:rPr>
        <w:t>是否按此要求将</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正本退回我方，我方在</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项下的义务和责任均在</w:t>
      </w:r>
      <w:r>
        <w:rPr>
          <w:rFonts w:hint="eastAsia" w:ascii="Times New Roman" w:hAnsi="Times New Roman"/>
          <w:smallCaps w:val="0"/>
          <w:color w:val="000000" w:themeColor="text1"/>
          <w:highlight w:val="none"/>
          <w:lang w:eastAsia="zh-CN"/>
          <w14:textFill>
            <w14:solidFill>
              <w14:schemeClr w14:val="tx1"/>
            </w14:solidFill>
          </w14:textFill>
        </w:rPr>
        <w:t>保证保险</w:t>
      </w:r>
      <w:r>
        <w:rPr>
          <w:rFonts w:hint="eastAsia" w:ascii="Times New Roman" w:hAnsi="Times New Roman"/>
          <w:smallCaps w:val="0"/>
          <w:color w:val="000000" w:themeColor="text1"/>
          <w:highlight w:val="none"/>
          <w14:textFill>
            <w14:solidFill>
              <w14:schemeClr w14:val="tx1"/>
            </w14:solidFill>
          </w14:textFill>
        </w:rPr>
        <w:t>有效期</w:t>
      </w:r>
      <w:r>
        <w:rPr>
          <w:rFonts w:ascii="Times New Roman" w:hAnsi="Times New Roman"/>
          <w:smallCaps w:val="0"/>
          <w:color w:val="000000" w:themeColor="text1"/>
          <w:highlight w:val="none"/>
          <w14:textFill>
            <w14:solidFill>
              <w14:schemeClr w14:val="tx1"/>
            </w14:solidFill>
          </w14:textFill>
        </w:rPr>
        <w:t>到期后自动消灭</w:t>
      </w:r>
      <w:r>
        <w:rPr>
          <w:rFonts w:hint="eastAsia" w:ascii="Times New Roman" w:hAnsi="Times New Roman"/>
          <w:smallCaps w:val="0"/>
          <w:color w:val="000000" w:themeColor="text1"/>
          <w:highlight w:val="none"/>
          <w:lang w:eastAsia="zh-CN"/>
          <w14:textFill>
            <w14:solidFill>
              <w14:schemeClr w14:val="tx1"/>
            </w14:solidFill>
          </w14:textFill>
        </w:rPr>
        <w:t>。</w:t>
      </w:r>
    </w:p>
    <w:p w14:paraId="271B5415">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八、</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hint="eastAsia" w:ascii="Times New Roman" w:hAnsi="Times New Roman"/>
          <w:smallCaps w:val="0"/>
          <w:color w:val="000000" w:themeColor="text1"/>
          <w:highlight w:val="none"/>
          <w14:textFill>
            <w14:solidFill>
              <w14:schemeClr w14:val="tx1"/>
            </w14:solidFill>
          </w14:textFill>
        </w:rPr>
        <w:t>适用的法律为中华人民共和国法律，争议裁判管辖地为中华人民共和国</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lang w:eastAsia="zh-CN"/>
          <w14:textFill>
            <w14:solidFill>
              <w14:schemeClr w14:val="tx1"/>
            </w14:solidFill>
          </w14:textFill>
        </w:rPr>
        <w:t>。</w:t>
      </w:r>
    </w:p>
    <w:p w14:paraId="31BF00B9">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九、</w:t>
      </w:r>
      <w:r>
        <w:rPr>
          <w:rFonts w:hint="eastAsia" w:ascii="Times New Roman" w:hAnsi="Times New Roman"/>
          <w:smallCaps w:val="0"/>
          <w:color w:val="000000" w:themeColor="text1"/>
          <w:highlight w:val="none"/>
          <w:lang w:eastAsia="zh-CN"/>
          <w14:textFill>
            <w14:solidFill>
              <w14:schemeClr w14:val="tx1"/>
            </w14:solidFill>
          </w14:textFill>
        </w:rPr>
        <w:t>本保证保险</w:t>
      </w:r>
      <w:r>
        <w:rPr>
          <w:rFonts w:ascii="Times New Roman" w:hAnsi="Times New Roman"/>
          <w:smallCaps w:val="0"/>
          <w:color w:val="000000" w:themeColor="text1"/>
          <w:highlight w:val="none"/>
          <w14:textFill>
            <w14:solidFill>
              <w14:schemeClr w14:val="tx1"/>
            </w14:solidFill>
          </w14:textFill>
        </w:rPr>
        <w:t>自我方法定代表人</w:t>
      </w:r>
      <w:r>
        <w:rPr>
          <w:rFonts w:hint="eastAsia" w:ascii="Times New Roman" w:hAnsi="Times New Roman"/>
          <w:smallCaps w:val="0"/>
          <w:color w:val="000000" w:themeColor="text1"/>
          <w:highlight w:val="none"/>
          <w14:textFill>
            <w14:solidFill>
              <w14:schemeClr w14:val="tx1"/>
            </w14:solidFill>
          </w14:textFill>
        </w:rPr>
        <w:t>或授权代表</w:t>
      </w:r>
      <w:r>
        <w:rPr>
          <w:rFonts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14:textFill>
            <w14:solidFill>
              <w14:schemeClr w14:val="tx1"/>
            </w14:solidFill>
          </w14:textFill>
        </w:rPr>
        <w:t>并</w:t>
      </w:r>
      <w:r>
        <w:rPr>
          <w:rFonts w:ascii="Times New Roman" w:hAnsi="Times New Roman"/>
          <w:smallCaps w:val="0"/>
          <w:color w:val="000000" w:themeColor="text1"/>
          <w:highlight w:val="none"/>
          <w14:textFill>
            <w14:solidFill>
              <w14:schemeClr w14:val="tx1"/>
            </w14:solidFill>
          </w14:textFill>
        </w:rPr>
        <w:t>加盖公章之日起生效</w:t>
      </w:r>
      <w:r>
        <w:rPr>
          <w:rFonts w:hint="eastAsia" w:ascii="Times New Roman" w:hAnsi="Times New Roman"/>
          <w:smallCaps w:val="0"/>
          <w:color w:val="000000" w:themeColor="text1"/>
          <w:highlight w:val="none"/>
          <w:lang w:eastAsia="zh-CN"/>
          <w14:textFill>
            <w14:solidFill>
              <w14:schemeClr w14:val="tx1"/>
            </w14:solidFill>
          </w14:textFill>
        </w:rPr>
        <w:t>。</w:t>
      </w:r>
    </w:p>
    <w:p w14:paraId="5A40D861">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p>
    <w:p w14:paraId="20FF4904">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 立 人</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u w:val="single"/>
          <w14:textFill>
            <w14:solidFill>
              <w14:schemeClr w14:val="tx1"/>
            </w14:solidFill>
          </w14:textFill>
        </w:rPr>
        <w:t xml:space="preserve">                 </w:t>
      </w:r>
      <w:r>
        <w:rPr>
          <w:rFonts w:hint="default"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公</w:t>
      </w:r>
      <w:r>
        <w:rPr>
          <w:rFonts w:ascii="Times New Roman" w:hAnsi="Times New Roman"/>
          <w:smallCaps w:val="0"/>
          <w:color w:val="000000" w:themeColor="text1"/>
          <w:highlight w:val="none"/>
          <w14:textFill>
            <w14:solidFill>
              <w14:schemeClr w14:val="tx1"/>
            </w14:solidFill>
          </w14:textFill>
        </w:rPr>
        <w:t>章</w:t>
      </w:r>
      <w:r>
        <w:rPr>
          <w:rFonts w:hint="eastAsia" w:ascii="Times New Roman" w:hAnsi="Times New Roman"/>
          <w:smallCaps w:val="0"/>
          <w:color w:val="000000" w:themeColor="text1"/>
          <w:highlight w:val="none"/>
          <w:lang w:eastAsia="zh-CN"/>
          <w14:textFill>
            <w14:solidFill>
              <w14:schemeClr w14:val="tx1"/>
            </w14:solidFill>
          </w14:textFill>
        </w:rPr>
        <w:t>）</w:t>
      </w:r>
    </w:p>
    <w:p w14:paraId="0BEA1FE4">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法定代表人（或授权</w:t>
      </w:r>
      <w:r>
        <w:rPr>
          <w:rFonts w:hint="default" w:ascii="Times New Roman" w:hAnsi="Times New Roman"/>
          <w:smallCaps w:val="0"/>
          <w:color w:val="000000" w:themeColor="text1"/>
          <w:highlight w:val="none"/>
          <w:lang w:eastAsia="zh-CN"/>
          <w14:textFill>
            <w14:solidFill>
              <w14:schemeClr w14:val="tx1"/>
            </w14:solidFill>
          </w14:textFill>
        </w:rPr>
        <w:t>代表</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（签字</w:t>
      </w:r>
      <w:r>
        <w:rPr>
          <w:rFonts w:hint="eastAsia" w:ascii="Times New Roman" w:hAnsi="Times New Roman"/>
          <w:smallCaps w:val="0"/>
          <w:color w:val="000000" w:themeColor="text1"/>
          <w:highlight w:val="none"/>
          <w:lang w:eastAsia="zh-CN"/>
          <w14:textFill>
            <w14:solidFill>
              <w14:schemeClr w14:val="tx1"/>
            </w14:solidFill>
          </w14:textFill>
        </w:rPr>
        <w:t>）</w:t>
      </w:r>
    </w:p>
    <w:p w14:paraId="74ACCFE8">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地</w:t>
      </w:r>
      <w:r>
        <w:rPr>
          <w:rFonts w:ascii="Times New Roman" w:hAnsi="Times New Roman"/>
          <w:smallCaps w:val="0"/>
          <w:color w:val="000000" w:themeColor="text1"/>
          <w:highlight w:val="none"/>
          <w:u w:val="single"/>
          <w14:textFill>
            <w14:solidFill>
              <w14:schemeClr w14:val="tx1"/>
            </w14:solidFill>
          </w14:textFill>
        </w:rPr>
        <w:t xml:space="preserve">    </w:t>
      </w:r>
      <w:r>
        <w:rPr>
          <w:rFonts w:ascii="Times New Roman" w:hAnsi="Times New Roman"/>
          <w:smallCaps w:val="0"/>
          <w:color w:val="000000" w:themeColor="text1"/>
          <w:highlight w:val="none"/>
          <w14:textFill>
            <w14:solidFill>
              <w14:schemeClr w14:val="tx1"/>
            </w14:solidFill>
          </w14:textFill>
        </w:rPr>
        <w:t>址</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u w:val="single"/>
          <w14:textFill>
            <w14:solidFill>
              <w14:schemeClr w14:val="tx1"/>
            </w14:solidFill>
          </w14:textFill>
        </w:rPr>
        <w:t xml:space="preserve">                                                      </w:t>
      </w:r>
    </w:p>
    <w:p w14:paraId="30DE5E56">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ascii="Times New Roman" w:hAnsi="Times New Roman"/>
          <w:smallCaps w:val="0"/>
          <w:color w:val="000000" w:themeColor="text1"/>
          <w:highlight w:val="none"/>
          <w:u w:val="single"/>
          <w14:textFill>
            <w14:solidFill>
              <w14:schemeClr w14:val="tx1"/>
            </w14:solidFill>
          </w14:textFill>
        </w:rPr>
        <w:t xml:space="preserve">                </w:t>
      </w:r>
      <w:r>
        <w:rPr>
          <w:rFonts w:hint="default"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ascii="Times New Roman" w:hAnsi="Times New Roman"/>
          <w:smallCaps w:val="0"/>
          <w:color w:val="000000" w:themeColor="text1"/>
          <w:highlight w:val="none"/>
          <w:u w:val="single"/>
          <w14:textFill>
            <w14:solidFill>
              <w14:schemeClr w14:val="tx1"/>
            </w14:solidFill>
          </w14:textFill>
        </w:rPr>
        <w:t xml:space="preserve"> </w:t>
      </w:r>
    </w:p>
    <w:p w14:paraId="30ACDEC5">
      <w:pPr>
        <w:pageBreakBefore w:val="0"/>
        <w:kinsoku/>
        <w:wordWrap w:val="0"/>
        <w:overflowPunct/>
        <w:bidi w:val="0"/>
        <w:spacing w:line="320" w:lineRule="exact"/>
        <w:ind w:right="120" w:rightChars="50"/>
        <w:jc w:val="center"/>
        <w:rPr>
          <w:rFonts w:hint="eastAsia" w:ascii="Times New Roman" w:hAnsi="Times New Roman"/>
          <w:b/>
          <w:bCs/>
          <w:smallCaps w:val="0"/>
          <w:color w:val="000000" w:themeColor="text1"/>
          <w:kern w:val="0"/>
          <w:sz w:val="30"/>
          <w:szCs w:val="30"/>
          <w:highlight w:val="none"/>
          <w14:textFill>
            <w14:solidFill>
              <w14:schemeClr w14:val="tx1"/>
            </w14:solidFill>
          </w14:textFill>
        </w:rPr>
      </w:pPr>
      <w:r>
        <w:rPr>
          <w:rFonts w:hint="eastAsia" w:ascii="Times New Roman" w:hAnsi="Times New Roman" w:cs="宋体"/>
          <w:smallCaps w:val="0"/>
          <w:color w:val="000000" w:themeColor="text1"/>
          <w:highlight w:val="none"/>
          <w14:textFill>
            <w14:solidFill>
              <w14:schemeClr w14:val="tx1"/>
            </w14:solidFill>
          </w14:textFill>
        </w:rPr>
        <w:br w:type="page"/>
      </w:r>
    </w:p>
    <w:p w14:paraId="50E362BB">
      <w:pPr>
        <w:pageBreakBefore w:val="0"/>
        <w:tabs>
          <w:tab w:val="left" w:pos="8422"/>
          <w:tab w:val="left" w:pos="9622"/>
        </w:tabs>
        <w:kinsoku/>
        <w:wordWrap w:val="0"/>
        <w:overflowPunct/>
        <w:bidi w:val="0"/>
        <w:spacing w:line="320" w:lineRule="exact"/>
        <w:ind w:right="120" w:rightChars="50"/>
        <w:jc w:val="center"/>
        <w:outlineLvl w:val="1"/>
        <w:rPr>
          <w:rStyle w:val="39"/>
          <w:rFonts w:hint="eastAsia" w:ascii="Times New Roman" w:hAnsi="Times New Roman"/>
          <w:smallCaps w:val="0"/>
          <w:color w:val="000000" w:themeColor="text1"/>
          <w:highlight w:val="none"/>
          <w14:textFill>
            <w14:solidFill>
              <w14:schemeClr w14:val="tx1"/>
            </w14:solidFill>
          </w14:textFill>
        </w:rPr>
      </w:pPr>
      <w:bookmarkStart w:id="1454" w:name="_Toc14020"/>
      <w:r>
        <w:rPr>
          <w:rStyle w:val="39"/>
          <w:rFonts w:hint="eastAsia" w:ascii="Times New Roman" w:hAnsi="Times New Roman"/>
          <w:smallCaps w:val="0"/>
          <w:color w:val="000000" w:themeColor="text1"/>
          <w:highlight w:val="none"/>
          <w14:textFill>
            <w14:solidFill>
              <w14:schemeClr w14:val="tx1"/>
            </w14:solidFill>
          </w14:textFill>
        </w:rPr>
        <w:t>五、项目管理机构</w:t>
      </w:r>
      <w:bookmarkEnd w:id="1454"/>
    </w:p>
    <w:bookmarkEnd w:id="1445"/>
    <w:bookmarkEnd w:id="1446"/>
    <w:bookmarkEnd w:id="1447"/>
    <w:p w14:paraId="6F7B7BFC">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（一）项目管理机构组织机构图</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1"/>
      </w:tblGrid>
      <w:tr w14:paraId="1AAB3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5" w:hRule="atLeast"/>
          <w:jc w:val="center"/>
        </w:trPr>
        <w:tc>
          <w:tcPr>
            <w:tcW w:w="8331" w:type="dxa"/>
            <w:noWrap w:val="0"/>
            <w:vAlign w:val="top"/>
          </w:tcPr>
          <w:p w14:paraId="6240B4D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拟为承包本标段工程设立的组织机构以框图方式表示。</w:t>
            </w:r>
          </w:p>
          <w:p w14:paraId="60953E8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390FF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5" w:hRule="atLeast"/>
          <w:jc w:val="center"/>
        </w:trPr>
        <w:tc>
          <w:tcPr>
            <w:tcW w:w="8331" w:type="dxa"/>
            <w:noWrap w:val="0"/>
            <w:vAlign w:val="top"/>
          </w:tcPr>
          <w:p w14:paraId="3837017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说明</w:t>
            </w:r>
          </w:p>
        </w:tc>
      </w:tr>
    </w:tbl>
    <w:p w14:paraId="586810F6">
      <w:pPr>
        <w:pageBreakBefore w:val="0"/>
        <w:kinsoku/>
        <w:wordWrap w:val="0"/>
        <w:overflowPunct/>
        <w:autoSpaceDE w:val="0"/>
        <w:autoSpaceDN w:val="0"/>
        <w:bidi w:val="0"/>
        <w:adjustRightInd w:val="0"/>
        <w:snapToGrid w:val="0"/>
        <w:spacing w:line="360" w:lineRule="auto"/>
        <w:jc w:val="center"/>
        <w:rPr>
          <w:rFonts w:hint="eastAsia" w:ascii="Times New Roman" w:hAnsi="Times New Roman" w:cs="宋体"/>
          <w:bCs/>
          <w:smallCaps w:val="0"/>
          <w:color w:val="000000" w:themeColor="text1"/>
          <w:kern w:val="0"/>
          <w:sz w:val="24"/>
          <w:highlight w:val="none"/>
          <w14:textFill>
            <w14:solidFill>
              <w14:schemeClr w14:val="tx1"/>
            </w14:solidFill>
          </w14:textFill>
        </w:rPr>
      </w:pPr>
    </w:p>
    <w:p w14:paraId="13DEF95E">
      <w:pPr>
        <w:pStyle w:val="72"/>
        <w:pageBreakBefore w:val="0"/>
        <w:kinsoku/>
        <w:wordWrap w:val="0"/>
        <w:overflowPunct/>
        <w:bidi w:val="0"/>
        <w:spacing w:line="360" w:lineRule="auto"/>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（二）项目管理机构人员组成表</w:t>
      </w:r>
    </w:p>
    <w:p w14:paraId="43B8683E">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default"/>
          <w:b/>
          <w:bCs/>
          <w:color w:val="000000" w:themeColor="text1"/>
          <w:sz w:val="28"/>
          <w:szCs w:val="40"/>
          <w:highlight w:val="none"/>
          <w:lang w:val="en-US"/>
          <w14:textFill>
            <w14:solidFill>
              <w14:schemeClr w14:val="tx1"/>
            </w14:solidFill>
          </w14:textFill>
        </w:rPr>
      </w:pPr>
      <w:bookmarkStart w:id="1455" w:name="_Toc390411624"/>
      <w:bookmarkStart w:id="1456" w:name="_Toc460660226"/>
      <w:bookmarkStart w:id="1457" w:name="_Toc421917004"/>
      <w:bookmarkStart w:id="1458" w:name="_Toc460227111"/>
      <w:r>
        <w:rPr>
          <w:rFonts w:hint="eastAsia"/>
          <w:b/>
          <w:bCs/>
          <w:color w:val="000000" w:themeColor="text1"/>
          <w:sz w:val="32"/>
          <w:szCs w:val="40"/>
          <w:highlight w:val="none"/>
          <w:lang w:val="en-US" w:eastAsia="zh-CN"/>
          <w14:textFill>
            <w14:solidFill>
              <w14:schemeClr w14:val="tx1"/>
            </w14:solidFill>
          </w14:textFill>
        </w:rPr>
        <w:t>拟派</w:t>
      </w:r>
      <w:r>
        <w:rPr>
          <w:rFonts w:hint="eastAsia"/>
          <w:b/>
          <w:bCs/>
          <w:color w:val="000000" w:themeColor="text1"/>
          <w:sz w:val="32"/>
          <w:szCs w:val="40"/>
          <w:highlight w:val="none"/>
          <w14:textFill>
            <w14:solidFill>
              <w14:schemeClr w14:val="tx1"/>
            </w14:solidFill>
          </w14:textFill>
        </w:rPr>
        <w:t>项目</w:t>
      </w:r>
      <w:r>
        <w:rPr>
          <w:rFonts w:hint="eastAsia"/>
          <w:b/>
          <w:bCs/>
          <w:color w:val="000000" w:themeColor="text1"/>
          <w:sz w:val="32"/>
          <w:szCs w:val="40"/>
          <w:highlight w:val="none"/>
          <w:lang w:val="en-US" w:eastAsia="zh-CN"/>
          <w14:textFill>
            <w14:solidFill>
              <w14:schemeClr w14:val="tx1"/>
            </w14:solidFill>
          </w14:textFill>
        </w:rPr>
        <w:t>管理机构人员配置计划表及承诺</w:t>
      </w: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070"/>
        <w:gridCol w:w="1083"/>
        <w:gridCol w:w="1142"/>
        <w:gridCol w:w="1145"/>
        <w:gridCol w:w="1142"/>
        <w:gridCol w:w="1143"/>
        <w:gridCol w:w="1445"/>
      </w:tblGrid>
      <w:tr w14:paraId="6990F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674" w:type="dxa"/>
            <w:vMerge w:val="restart"/>
            <w:noWrap w:val="0"/>
            <w:vAlign w:val="center"/>
          </w:tcPr>
          <w:p w14:paraId="71AC7F17">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职务</w:t>
            </w:r>
          </w:p>
        </w:tc>
        <w:tc>
          <w:tcPr>
            <w:tcW w:w="1070" w:type="dxa"/>
            <w:vMerge w:val="restart"/>
            <w:noWrap w:val="0"/>
            <w:vAlign w:val="center"/>
          </w:tcPr>
          <w:p w14:paraId="2EEB2678">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姓名</w:t>
            </w:r>
          </w:p>
        </w:tc>
        <w:tc>
          <w:tcPr>
            <w:tcW w:w="1083" w:type="dxa"/>
            <w:vMerge w:val="restart"/>
            <w:noWrap w:val="0"/>
            <w:vAlign w:val="center"/>
          </w:tcPr>
          <w:p w14:paraId="0C3BECC4">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职称</w:t>
            </w:r>
          </w:p>
        </w:tc>
        <w:tc>
          <w:tcPr>
            <w:tcW w:w="4572" w:type="dxa"/>
            <w:gridSpan w:val="4"/>
            <w:noWrap w:val="0"/>
            <w:vAlign w:val="center"/>
          </w:tcPr>
          <w:p w14:paraId="202F986E">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执业或职业资格证明</w:t>
            </w:r>
          </w:p>
        </w:tc>
        <w:tc>
          <w:tcPr>
            <w:tcW w:w="1445" w:type="dxa"/>
            <w:vMerge w:val="restart"/>
            <w:noWrap w:val="0"/>
            <w:vAlign w:val="center"/>
          </w:tcPr>
          <w:p w14:paraId="7843B926">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14:paraId="1F0CC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674" w:type="dxa"/>
            <w:vMerge w:val="continue"/>
            <w:tcBorders>
              <w:top w:val="nil"/>
            </w:tcBorders>
            <w:noWrap w:val="0"/>
            <w:vAlign w:val="top"/>
          </w:tcPr>
          <w:p w14:paraId="7ECF4BD3">
            <w:pPr>
              <w:keepNext w:val="0"/>
              <w:keepLines w:val="0"/>
              <w:pageBreakBefore w:val="0"/>
              <w:suppressLineNumbers w:val="0"/>
              <w:kinsoku/>
              <w:wordWrap w:val="0"/>
              <w:overflowPunct/>
              <w:bidi w:val="0"/>
              <w:spacing w:before="0" w:beforeAutospacing="0" w:after="0" w:afterAutospacing="0" w:line="360" w:lineRule="auto"/>
              <w:ind w:left="0" w:right="0"/>
              <w:rPr>
                <w:rFonts w:hint="eastAsia"/>
                <w:color w:val="000000" w:themeColor="text1"/>
                <w:sz w:val="2"/>
                <w:szCs w:val="2"/>
                <w:highlight w:val="none"/>
                <w14:textFill>
                  <w14:solidFill>
                    <w14:schemeClr w14:val="tx1"/>
                  </w14:solidFill>
                </w14:textFill>
              </w:rPr>
            </w:pPr>
          </w:p>
        </w:tc>
        <w:tc>
          <w:tcPr>
            <w:tcW w:w="1070" w:type="dxa"/>
            <w:vMerge w:val="continue"/>
            <w:tcBorders>
              <w:top w:val="nil"/>
            </w:tcBorders>
            <w:noWrap w:val="0"/>
            <w:vAlign w:val="top"/>
          </w:tcPr>
          <w:p w14:paraId="3CFA0457">
            <w:pPr>
              <w:keepNext w:val="0"/>
              <w:keepLines w:val="0"/>
              <w:pageBreakBefore w:val="0"/>
              <w:suppressLineNumbers w:val="0"/>
              <w:kinsoku/>
              <w:wordWrap w:val="0"/>
              <w:overflowPunct/>
              <w:bidi w:val="0"/>
              <w:spacing w:before="0" w:beforeAutospacing="0" w:after="0" w:afterAutospacing="0" w:line="360" w:lineRule="auto"/>
              <w:ind w:left="0" w:right="0"/>
              <w:rPr>
                <w:rFonts w:hint="eastAsia"/>
                <w:color w:val="000000" w:themeColor="text1"/>
                <w:sz w:val="2"/>
                <w:szCs w:val="2"/>
                <w:highlight w:val="none"/>
                <w14:textFill>
                  <w14:solidFill>
                    <w14:schemeClr w14:val="tx1"/>
                  </w14:solidFill>
                </w14:textFill>
              </w:rPr>
            </w:pPr>
          </w:p>
        </w:tc>
        <w:tc>
          <w:tcPr>
            <w:tcW w:w="1083" w:type="dxa"/>
            <w:vMerge w:val="continue"/>
            <w:tcBorders>
              <w:top w:val="nil"/>
            </w:tcBorders>
            <w:noWrap w:val="0"/>
            <w:vAlign w:val="top"/>
          </w:tcPr>
          <w:p w14:paraId="62DE7D43">
            <w:pPr>
              <w:keepNext w:val="0"/>
              <w:keepLines w:val="0"/>
              <w:pageBreakBefore w:val="0"/>
              <w:suppressLineNumbers w:val="0"/>
              <w:kinsoku/>
              <w:wordWrap w:val="0"/>
              <w:overflowPunct/>
              <w:bidi w:val="0"/>
              <w:spacing w:before="0" w:beforeAutospacing="0" w:after="0" w:afterAutospacing="0" w:line="360" w:lineRule="auto"/>
              <w:ind w:left="0" w:right="0"/>
              <w:rPr>
                <w:rFonts w:hint="eastAsia"/>
                <w:color w:val="000000" w:themeColor="text1"/>
                <w:sz w:val="2"/>
                <w:szCs w:val="2"/>
                <w:highlight w:val="none"/>
                <w14:textFill>
                  <w14:solidFill>
                    <w14:schemeClr w14:val="tx1"/>
                  </w14:solidFill>
                </w14:textFill>
              </w:rPr>
            </w:pPr>
          </w:p>
        </w:tc>
        <w:tc>
          <w:tcPr>
            <w:tcW w:w="1142" w:type="dxa"/>
            <w:noWrap w:val="0"/>
            <w:vAlign w:val="center"/>
          </w:tcPr>
          <w:p w14:paraId="51CA3D42">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证书名称</w:t>
            </w:r>
          </w:p>
        </w:tc>
        <w:tc>
          <w:tcPr>
            <w:tcW w:w="1145" w:type="dxa"/>
            <w:noWrap w:val="0"/>
            <w:vAlign w:val="center"/>
          </w:tcPr>
          <w:p w14:paraId="06D66F73">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级别</w:t>
            </w:r>
          </w:p>
        </w:tc>
        <w:tc>
          <w:tcPr>
            <w:tcW w:w="1142" w:type="dxa"/>
            <w:noWrap w:val="0"/>
            <w:vAlign w:val="center"/>
          </w:tcPr>
          <w:p w14:paraId="58ED607F">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证号</w:t>
            </w:r>
          </w:p>
        </w:tc>
        <w:tc>
          <w:tcPr>
            <w:tcW w:w="1143" w:type="dxa"/>
            <w:noWrap w:val="0"/>
            <w:vAlign w:val="center"/>
          </w:tcPr>
          <w:p w14:paraId="3186833E">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专业</w:t>
            </w:r>
          </w:p>
        </w:tc>
        <w:tc>
          <w:tcPr>
            <w:tcW w:w="1445" w:type="dxa"/>
            <w:vMerge w:val="continue"/>
            <w:tcBorders>
              <w:top w:val="nil"/>
            </w:tcBorders>
            <w:noWrap w:val="0"/>
            <w:vAlign w:val="top"/>
          </w:tcPr>
          <w:p w14:paraId="5723FF0F">
            <w:pPr>
              <w:keepNext w:val="0"/>
              <w:keepLines w:val="0"/>
              <w:pageBreakBefore w:val="0"/>
              <w:suppressLineNumbers w:val="0"/>
              <w:kinsoku/>
              <w:wordWrap w:val="0"/>
              <w:overflowPunct/>
              <w:bidi w:val="0"/>
              <w:spacing w:before="0" w:beforeAutospacing="0" w:after="0" w:afterAutospacing="0" w:line="360" w:lineRule="auto"/>
              <w:ind w:left="0" w:right="0"/>
              <w:rPr>
                <w:rFonts w:hint="eastAsia"/>
                <w:color w:val="000000" w:themeColor="text1"/>
                <w:sz w:val="2"/>
                <w:szCs w:val="2"/>
                <w:highlight w:val="none"/>
                <w14:textFill>
                  <w14:solidFill>
                    <w14:schemeClr w14:val="tx1"/>
                  </w14:solidFill>
                </w14:textFill>
              </w:rPr>
            </w:pPr>
          </w:p>
        </w:tc>
      </w:tr>
      <w:tr w14:paraId="2B96C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674" w:type="dxa"/>
            <w:noWrap w:val="0"/>
            <w:vAlign w:val="top"/>
          </w:tcPr>
          <w:p w14:paraId="5FBC1BBE">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070" w:type="dxa"/>
            <w:noWrap w:val="0"/>
            <w:vAlign w:val="top"/>
          </w:tcPr>
          <w:p w14:paraId="28F9328B">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083" w:type="dxa"/>
            <w:noWrap w:val="0"/>
            <w:vAlign w:val="top"/>
          </w:tcPr>
          <w:p w14:paraId="0783023A">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2" w:type="dxa"/>
            <w:noWrap w:val="0"/>
            <w:vAlign w:val="top"/>
          </w:tcPr>
          <w:p w14:paraId="2FC66598">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5" w:type="dxa"/>
            <w:noWrap w:val="0"/>
            <w:vAlign w:val="top"/>
          </w:tcPr>
          <w:p w14:paraId="53A9AC62">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2" w:type="dxa"/>
            <w:noWrap w:val="0"/>
            <w:vAlign w:val="top"/>
          </w:tcPr>
          <w:p w14:paraId="0B2C4251">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3" w:type="dxa"/>
            <w:noWrap w:val="0"/>
            <w:vAlign w:val="top"/>
          </w:tcPr>
          <w:p w14:paraId="65426661">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445" w:type="dxa"/>
            <w:noWrap w:val="0"/>
            <w:vAlign w:val="top"/>
          </w:tcPr>
          <w:p w14:paraId="52F3B55F">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r>
      <w:tr w14:paraId="709CD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674" w:type="dxa"/>
            <w:noWrap w:val="0"/>
            <w:vAlign w:val="top"/>
          </w:tcPr>
          <w:p w14:paraId="56156E48">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070" w:type="dxa"/>
            <w:noWrap w:val="0"/>
            <w:vAlign w:val="top"/>
          </w:tcPr>
          <w:p w14:paraId="2F68F3EE">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083" w:type="dxa"/>
            <w:noWrap w:val="0"/>
            <w:vAlign w:val="center"/>
          </w:tcPr>
          <w:p w14:paraId="4E00427D">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2" w:type="dxa"/>
            <w:noWrap w:val="0"/>
            <w:vAlign w:val="top"/>
          </w:tcPr>
          <w:p w14:paraId="42895765">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5" w:type="dxa"/>
            <w:noWrap w:val="0"/>
            <w:vAlign w:val="top"/>
          </w:tcPr>
          <w:p w14:paraId="00E08312">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2" w:type="dxa"/>
            <w:noWrap w:val="0"/>
            <w:vAlign w:val="top"/>
          </w:tcPr>
          <w:p w14:paraId="67B948CC">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3" w:type="dxa"/>
            <w:noWrap w:val="0"/>
            <w:vAlign w:val="top"/>
          </w:tcPr>
          <w:p w14:paraId="552DFBED">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445" w:type="dxa"/>
            <w:noWrap w:val="0"/>
            <w:vAlign w:val="top"/>
          </w:tcPr>
          <w:p w14:paraId="12AEDBF7">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r>
      <w:tr w14:paraId="1B08C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674" w:type="dxa"/>
            <w:noWrap w:val="0"/>
            <w:vAlign w:val="top"/>
          </w:tcPr>
          <w:p w14:paraId="0581B450">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070" w:type="dxa"/>
            <w:noWrap w:val="0"/>
            <w:vAlign w:val="top"/>
          </w:tcPr>
          <w:p w14:paraId="31B1D272">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083" w:type="dxa"/>
            <w:noWrap w:val="0"/>
            <w:vAlign w:val="center"/>
          </w:tcPr>
          <w:p w14:paraId="729B458D">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2" w:type="dxa"/>
            <w:noWrap w:val="0"/>
            <w:vAlign w:val="top"/>
          </w:tcPr>
          <w:p w14:paraId="4E1EBC36">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5" w:type="dxa"/>
            <w:noWrap w:val="0"/>
            <w:vAlign w:val="top"/>
          </w:tcPr>
          <w:p w14:paraId="531A4967">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2" w:type="dxa"/>
            <w:noWrap w:val="0"/>
            <w:vAlign w:val="top"/>
          </w:tcPr>
          <w:p w14:paraId="75BB6853">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143" w:type="dxa"/>
            <w:noWrap w:val="0"/>
            <w:vAlign w:val="top"/>
          </w:tcPr>
          <w:p w14:paraId="0997281C">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c>
          <w:tcPr>
            <w:tcW w:w="1445" w:type="dxa"/>
            <w:noWrap w:val="0"/>
            <w:vAlign w:val="top"/>
          </w:tcPr>
          <w:p w14:paraId="006DEE6B">
            <w:pPr>
              <w:pStyle w:val="97"/>
              <w:keepNext w:val="0"/>
              <w:keepLines w:val="0"/>
              <w:pageBreakBefore w:val="0"/>
              <w:suppressLineNumbers w:val="0"/>
              <w:kinsoku/>
              <w:wordWrap w:val="0"/>
              <w:overflowPunct/>
              <w:bidi w:val="0"/>
              <w:spacing w:before="0" w:beforeAutospacing="0" w:after="0" w:afterAutospacing="0" w:line="360" w:lineRule="auto"/>
              <w:ind w:left="0" w:right="0"/>
              <w:jc w:val="center"/>
              <w:rPr>
                <w:rFonts w:hint="eastAsia"/>
                <w:color w:val="000000" w:themeColor="text1"/>
                <w:sz w:val="24"/>
                <w:highlight w:val="none"/>
                <w14:textFill>
                  <w14:solidFill>
                    <w14:schemeClr w14:val="tx1"/>
                  </w14:solidFill>
                </w14:textFill>
              </w:rPr>
            </w:pPr>
          </w:p>
        </w:tc>
      </w:tr>
    </w:tbl>
    <w:p w14:paraId="09CCE73D">
      <w:pPr>
        <w:pageBreakBefore w:val="0"/>
        <w:kinsoku/>
        <w:wordWrap w:val="0"/>
        <w:overflowPunct/>
        <w:bidi w:val="0"/>
        <w:spacing w:line="360" w:lineRule="auto"/>
        <w:jc w:val="center"/>
        <w:rPr>
          <w:rFonts w:hint="eastAsia"/>
          <w:bCs/>
          <w:iCs/>
          <w:color w:val="000000" w:themeColor="text1"/>
          <w:szCs w:val="21"/>
          <w:highlight w:val="none"/>
          <w:lang w:val="en-US"/>
          <w14:textFill>
            <w14:solidFill>
              <w14:schemeClr w14:val="tx1"/>
            </w14:solidFill>
          </w14:textFill>
        </w:rPr>
      </w:pPr>
    </w:p>
    <w:p w14:paraId="5F5924BC">
      <w:pPr>
        <w:pStyle w:val="89"/>
        <w:pageBreakBefore w:val="0"/>
        <w:widowControl/>
        <w:kinsoku/>
        <w:wordWrap w:val="0"/>
        <w:overflowPunct/>
        <w:bidi w:val="0"/>
        <w:spacing w:line="360" w:lineRule="auto"/>
        <w:ind w:firstLine="420" w:firstLineChars="200"/>
        <w:jc w:val="left"/>
        <w:rPr>
          <w:rFonts w:hint="eastAsia"/>
          <w:bCs/>
          <w:iCs/>
          <w:color w:val="000000" w:themeColor="text1"/>
          <w:sz w:val="21"/>
          <w:szCs w:val="21"/>
          <w:highlight w:val="none"/>
          <w:lang w:val="en-US" w:eastAsia="zh-CN"/>
          <w14:textFill>
            <w14:solidFill>
              <w14:schemeClr w14:val="tx1"/>
            </w14:solidFill>
          </w14:textFill>
        </w:rPr>
      </w:pPr>
      <w:r>
        <w:rPr>
          <w:rFonts w:hint="eastAsia"/>
          <w:bCs/>
          <w:iCs/>
          <w:color w:val="000000" w:themeColor="text1"/>
          <w:sz w:val="21"/>
          <w:szCs w:val="21"/>
          <w:highlight w:val="none"/>
          <w:lang w:val="en-US" w:eastAsia="zh-CN"/>
          <w14:textFill>
            <w14:solidFill>
              <w14:schemeClr w14:val="tx1"/>
            </w14:solidFill>
          </w14:textFill>
        </w:rPr>
        <w:t>我方承诺签订合同前按照不低于</w:t>
      </w:r>
      <w:r>
        <w:rPr>
          <w:rFonts w:hint="eastAsia" w:ascii="Times New Roman" w:hAnsi="Times New Roman"/>
          <w:smallCaps w:val="0"/>
          <w:color w:val="000000" w:themeColor="text1"/>
          <w:highlight w:val="none"/>
          <w:lang w:eastAsia="zh-CN"/>
          <w14:textFill>
            <w14:solidFill>
              <w14:schemeClr w14:val="tx1"/>
            </w14:solidFill>
          </w14:textFill>
        </w:rPr>
        <w:t>《建筑施工企业、工程项目安全生产管理机构设置及安全生产管理人员配备办法》（建质规〔2025〕3 号）、</w:t>
      </w:r>
      <w:r>
        <w:rPr>
          <w:rFonts w:hint="eastAsia" w:ascii="Times New Roman" w:hAnsi="Times New Roman"/>
          <w:smallCaps w:val="0"/>
          <w:color w:val="000000" w:themeColor="text1"/>
          <w:highlight w:val="none"/>
          <w:lang w:val="en-US" w:eastAsia="zh-CN"/>
          <w14:textFill>
            <w14:solidFill>
              <w14:schemeClr w14:val="tx1"/>
            </w14:solidFill>
          </w14:textFill>
        </w:rPr>
        <w:t>安徽省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建筑与市政工程项目管理人员职业标准</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DB34/T 4573-2023</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文件标准</w:t>
      </w:r>
      <w:r>
        <w:rPr>
          <w:rFonts w:hint="eastAsia"/>
          <w:bCs/>
          <w:iCs/>
          <w:color w:val="000000" w:themeColor="text1"/>
          <w:sz w:val="21"/>
          <w:szCs w:val="21"/>
          <w:highlight w:val="none"/>
          <w:lang w:val="en-US" w:eastAsia="zh-CN"/>
          <w14:textFill>
            <w14:solidFill>
              <w14:schemeClr w14:val="tx1"/>
            </w14:solidFill>
          </w14:textFill>
        </w:rPr>
        <w:t>要求及招标文件要求，以及以上人员配置计划表的标准配置项目管理机构人员。签订合同前同时提供以上人员社保承诺证明（</w:t>
      </w:r>
      <w:r>
        <w:rPr>
          <w:rFonts w:hint="eastAsia" w:ascii="Times New Roman" w:hAnsi="Times New Roman" w:eastAsia="宋体" w:cs="Times New Roman"/>
          <w:bCs/>
          <w:iCs/>
          <w:color w:val="000000" w:themeColor="text1"/>
          <w:kern w:val="2"/>
          <w:sz w:val="21"/>
          <w:szCs w:val="21"/>
          <w:highlight w:val="none"/>
          <w:lang w:val="en-US" w:eastAsia="zh-CN" w:bidi="ar-SA"/>
          <w14:textFill>
            <w14:solidFill>
              <w14:schemeClr w14:val="tx1"/>
            </w14:solidFill>
          </w14:textFill>
        </w:rPr>
        <w:t>如为事业单位的须提供注册地县级及以上行政主管部门、人力资源和社会保障或编制部门出具的有效证明其属事业编制身份、在该单位从业的证明文件</w:t>
      </w:r>
      <w:r>
        <w:rPr>
          <w:rFonts w:hint="eastAsia"/>
          <w:bCs/>
          <w:iCs/>
          <w:color w:val="000000" w:themeColor="text1"/>
          <w:sz w:val="21"/>
          <w:szCs w:val="21"/>
          <w:highlight w:val="none"/>
          <w:lang w:val="en-US" w:eastAsia="zh-CN"/>
          <w14:textFill>
            <w14:solidFill>
              <w14:schemeClr w14:val="tx1"/>
            </w14:solidFill>
          </w14:textFill>
        </w:rPr>
        <w:t>），作为合同的附件之一。</w:t>
      </w:r>
    </w:p>
    <w:p w14:paraId="7BB04A33">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bCs/>
          <w:iCs/>
          <w:color w:val="000000" w:themeColor="text1"/>
          <w:sz w:val="21"/>
          <w:szCs w:val="21"/>
          <w:highlight w:val="none"/>
          <w:lang w:val="en-US" w:eastAsia="zh-CN"/>
          <w14:textFill>
            <w14:solidFill>
              <w14:schemeClr w14:val="tx1"/>
            </w14:solidFill>
          </w14:textFill>
        </w:rPr>
      </w:pPr>
      <w:r>
        <w:rPr>
          <w:rFonts w:hint="eastAsia"/>
          <w:bCs/>
          <w:iCs/>
          <w:color w:val="000000" w:themeColor="text1"/>
          <w:sz w:val="21"/>
          <w:szCs w:val="21"/>
          <w:highlight w:val="none"/>
          <w:lang w:val="en-US" w:eastAsia="zh-CN"/>
          <w14:textFill>
            <w14:solidFill>
              <w14:schemeClr w14:val="tx1"/>
            </w14:solidFill>
          </w14:textFill>
        </w:rPr>
        <w:t>如我方不能按照以上要求配备齐全项目班子人员，发包人可以按照施工合同条款约定进行处罚或选择取消我方中标资格。承包人承担由此给发包人带来的一些经济损失。</w:t>
      </w:r>
    </w:p>
    <w:p w14:paraId="133CE6CC">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right"/>
        <w:textAlignment w:val="auto"/>
        <w:rPr>
          <w:rFonts w:hint="default"/>
          <w:bCs/>
          <w:iCs/>
          <w:color w:val="000000" w:themeColor="text1"/>
          <w:sz w:val="21"/>
          <w:szCs w:val="21"/>
          <w:highlight w:val="none"/>
          <w:lang w:val="en-US" w:eastAsia="zh-CN"/>
          <w14:textFill>
            <w14:solidFill>
              <w14:schemeClr w14:val="tx1"/>
            </w14:solidFill>
          </w14:textFill>
        </w:rPr>
      </w:pPr>
      <w:r>
        <w:rPr>
          <w:rFonts w:hint="default"/>
          <w:bCs/>
          <w:iCs/>
          <w:color w:val="000000" w:themeColor="text1"/>
          <w:sz w:val="21"/>
          <w:szCs w:val="21"/>
          <w:highlight w:val="none"/>
          <w:lang w:val="en-US" w:eastAsia="zh-CN"/>
          <w14:textFill>
            <w14:solidFill>
              <w14:schemeClr w14:val="tx1"/>
            </w14:solidFill>
          </w14:textFill>
        </w:rPr>
        <w:t xml:space="preserve">投标人（盖章）：   </w:t>
      </w:r>
    </w:p>
    <w:p w14:paraId="703C8E19">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right"/>
        <w:textAlignment w:val="auto"/>
        <w:rPr>
          <w:rFonts w:hint="default"/>
          <w:bCs/>
          <w:iCs/>
          <w:color w:val="000000" w:themeColor="text1"/>
          <w:sz w:val="21"/>
          <w:szCs w:val="21"/>
          <w:highlight w:val="none"/>
          <w:lang w:val="en-US" w:eastAsia="zh-CN"/>
          <w14:textFill>
            <w14:solidFill>
              <w14:schemeClr w14:val="tx1"/>
            </w14:solidFill>
          </w14:textFill>
        </w:rPr>
      </w:pPr>
      <w:r>
        <w:rPr>
          <w:rFonts w:hint="default"/>
          <w:bCs/>
          <w:iCs/>
          <w:color w:val="000000" w:themeColor="text1"/>
          <w:sz w:val="21"/>
          <w:szCs w:val="21"/>
          <w:highlight w:val="none"/>
          <w:lang w:val="en-US" w:eastAsia="zh-CN"/>
          <w14:textFill>
            <w14:solidFill>
              <w14:schemeClr w14:val="tx1"/>
            </w14:solidFill>
          </w14:textFill>
        </w:rPr>
        <w:t xml:space="preserve">                                                年   月    日</w:t>
      </w:r>
    </w:p>
    <w:p w14:paraId="0087B367">
      <w:pPr>
        <w:pageBreakBefore w:val="0"/>
        <w:kinsoku/>
        <w:wordWrap w:val="0"/>
        <w:overflowPunct/>
        <w:bidi w:val="0"/>
        <w:rPr>
          <w:rFonts w:hint="eastAsia"/>
          <w:bCs/>
          <w:iCs/>
          <w:color w:val="000000" w:themeColor="text1"/>
          <w:szCs w:val="21"/>
          <w:highlight w:val="none"/>
          <w:lang w:val="en-US"/>
          <w14:textFill>
            <w14:solidFill>
              <w14:schemeClr w14:val="tx1"/>
            </w14:solidFill>
          </w14:textFill>
        </w:rPr>
      </w:pPr>
      <w:r>
        <w:rPr>
          <w:rFonts w:hint="eastAsia"/>
          <w:bCs/>
          <w:iCs/>
          <w:color w:val="000000" w:themeColor="text1"/>
          <w:szCs w:val="21"/>
          <w:highlight w:val="none"/>
          <w:lang w:val="en-US"/>
          <w14:textFill>
            <w14:solidFill>
              <w14:schemeClr w14:val="tx1"/>
            </w14:solidFill>
          </w14:textFill>
        </w:rPr>
        <w:br w:type="page"/>
      </w:r>
    </w:p>
    <w:p w14:paraId="3CA3D4C2">
      <w:pPr>
        <w:pageBreakBefore w:val="0"/>
        <w:kinsoku/>
        <w:wordWrap w:val="0"/>
        <w:overflowPunct/>
        <w:bidi w:val="0"/>
        <w:spacing w:line="360" w:lineRule="auto"/>
        <w:jc w:val="center"/>
        <w:rPr>
          <w:b/>
          <w:iCs/>
          <w:color w:val="000000" w:themeColor="text1"/>
          <w:sz w:val="28"/>
          <w:szCs w:val="28"/>
          <w:highlight w:val="none"/>
          <w:lang w:val="en-US"/>
          <w14:textFill>
            <w14:solidFill>
              <w14:schemeClr w14:val="tx1"/>
            </w14:solidFill>
          </w14:textFill>
        </w:rPr>
      </w:pPr>
      <w:r>
        <w:rPr>
          <w:rFonts w:hint="eastAsia"/>
          <w:b/>
          <w:iCs/>
          <w:color w:val="000000" w:themeColor="text1"/>
          <w:sz w:val="28"/>
          <w:szCs w:val="28"/>
          <w:highlight w:val="none"/>
          <w:lang w:val="en-US"/>
          <w14:textFill>
            <w14:solidFill>
              <w14:schemeClr w14:val="tx1"/>
            </w14:solidFill>
          </w14:textFill>
        </w:rPr>
        <w:t>投标相关人员社保</w:t>
      </w:r>
      <w:r>
        <w:rPr>
          <w:rFonts w:hint="eastAsia"/>
          <w:b/>
          <w:iCs/>
          <w:color w:val="000000" w:themeColor="text1"/>
          <w:sz w:val="28"/>
          <w:szCs w:val="28"/>
          <w:highlight w:val="none"/>
          <w:lang w:val="en-US" w:eastAsia="zh-CN"/>
          <w14:textFill>
            <w14:solidFill>
              <w14:schemeClr w14:val="tx1"/>
            </w14:solidFill>
          </w14:textFill>
        </w:rPr>
        <w:t>承诺</w:t>
      </w:r>
      <w:r>
        <w:rPr>
          <w:rFonts w:hint="eastAsia"/>
          <w:b/>
          <w:iCs/>
          <w:color w:val="000000" w:themeColor="text1"/>
          <w:sz w:val="28"/>
          <w:szCs w:val="28"/>
          <w:highlight w:val="none"/>
          <w:lang w:val="en-US"/>
          <w14:textFill>
            <w14:solidFill>
              <w14:schemeClr w14:val="tx1"/>
            </w14:solidFill>
          </w14:textFill>
        </w:rPr>
        <w:t>声明函</w:t>
      </w:r>
    </w:p>
    <w:p w14:paraId="64A17DC8">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bCs/>
          <w:iCs/>
          <w:color w:val="000000" w:themeColor="text1"/>
          <w:sz w:val="24"/>
          <w:szCs w:val="24"/>
          <w:highlight w:val="none"/>
          <w:lang w:val="en-US"/>
          <w14:textFill>
            <w14:solidFill>
              <w14:schemeClr w14:val="tx1"/>
            </w14:solidFill>
          </w14:textFill>
        </w:rPr>
      </w:pPr>
      <w:r>
        <w:rPr>
          <w:rFonts w:hint="eastAsia"/>
          <w:bCs/>
          <w:iCs/>
          <w:color w:val="000000" w:themeColor="text1"/>
          <w:sz w:val="24"/>
          <w:szCs w:val="24"/>
          <w:highlight w:val="none"/>
          <w:lang w:val="en-US"/>
          <w14:textFill>
            <w14:solidFill>
              <w14:schemeClr w14:val="tx1"/>
            </w14:solidFill>
          </w14:textFill>
        </w:rPr>
        <w:t>致（填写招标人名称）：</w:t>
      </w:r>
    </w:p>
    <w:p w14:paraId="71582F5D">
      <w:pPr>
        <w:pStyle w:val="21"/>
        <w:keepNext w:val="0"/>
        <w:keepLines w:val="0"/>
        <w:pageBreakBefore w:val="0"/>
        <w:widowControl w:val="0"/>
        <w:kinsoku/>
        <w:wordWrap w:val="0"/>
        <w:overflowPunct/>
        <w:topLinePunct w:val="0"/>
        <w:autoSpaceDE/>
        <w:autoSpaceDN/>
        <w:bidi w:val="0"/>
        <w:adjustRightInd/>
        <w:snapToGrid/>
        <w:spacing w:line="360" w:lineRule="auto"/>
        <w:ind w:firstLine="560"/>
        <w:jc w:val="left"/>
        <w:textAlignment w:val="auto"/>
        <w:rPr>
          <w:rFonts w:hint="eastAsia"/>
          <w:iCs/>
          <w:color w:val="000000" w:themeColor="text1"/>
          <w:sz w:val="24"/>
          <w:szCs w:val="24"/>
          <w:highlight w:val="none"/>
          <w:lang w:val="en-US"/>
          <w14:textFill>
            <w14:solidFill>
              <w14:schemeClr w14:val="tx1"/>
            </w14:solidFill>
          </w14:textFill>
        </w:rPr>
      </w:pPr>
      <w:r>
        <w:rPr>
          <w:rFonts w:hint="eastAsia"/>
          <w:iCs/>
          <w:color w:val="000000" w:themeColor="text1"/>
          <w:sz w:val="24"/>
          <w:szCs w:val="24"/>
          <w:highlight w:val="none"/>
          <w:lang w:val="en-US"/>
          <w14:textFill>
            <w14:solidFill>
              <w14:schemeClr w14:val="tx1"/>
            </w14:solidFill>
          </w14:textFill>
        </w:rPr>
        <w:t>我公司参与本项目投标，涉及到的相关人员如下表信息所示。我公司承诺以下人员的社保均已按规定缴纳，同时符合本项目招标文件中对人员社保的要求。我公司承诺以下社保声明信息真实可靠，招标人可在评标结束后对我公司的社保材料进行审查，如我公司提供的社保信息有弄虚作假行为，招标人可依法取消我公司的中标资格（或中标候选人资格），由我公司承担全部的法律责任。</w:t>
      </w:r>
    </w:p>
    <w:p w14:paraId="30BBD385">
      <w:pPr>
        <w:pStyle w:val="20"/>
        <w:keepNext w:val="0"/>
        <w:keepLines w:val="0"/>
        <w:pageBreakBefore w:val="0"/>
        <w:widowControl w:val="0"/>
        <w:kinsoku/>
        <w:wordWrap w:val="0"/>
        <w:overflowPunct/>
        <w:topLinePunct w:val="0"/>
        <w:autoSpaceDE/>
        <w:autoSpaceDN/>
        <w:bidi w:val="0"/>
        <w:adjustRightInd/>
        <w:snapToGrid/>
        <w:spacing w:after="0" w:line="360" w:lineRule="auto"/>
        <w:jc w:val="left"/>
        <w:textAlignment w:val="auto"/>
        <w:rPr>
          <w:rFonts w:hint="eastAsia"/>
          <w:bCs/>
          <w:iCs/>
          <w:color w:val="000000" w:themeColor="text1"/>
          <w:sz w:val="24"/>
          <w:szCs w:val="24"/>
          <w:highlight w:val="none"/>
          <w:lang w:val="en-US"/>
          <w14:textFill>
            <w14:solidFill>
              <w14:schemeClr w14:val="tx1"/>
            </w14:solidFill>
          </w14:textFill>
        </w:rPr>
      </w:pPr>
      <w:r>
        <w:rPr>
          <w:rFonts w:hint="eastAsia"/>
          <w:bCs/>
          <w:iCs/>
          <w:color w:val="000000" w:themeColor="text1"/>
          <w:sz w:val="24"/>
          <w:szCs w:val="24"/>
          <w:highlight w:val="none"/>
          <w:lang w:val="en-US"/>
          <w14:textFill>
            <w14:solidFill>
              <w14:schemeClr w14:val="tx1"/>
            </w14:solidFill>
          </w14:textFill>
        </w:rPr>
        <w:t>本项目相关人员的社保缴纳信息如下：</w:t>
      </w:r>
    </w:p>
    <w:tbl>
      <w:tblPr>
        <w:tblStyle w:val="22"/>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224"/>
        <w:gridCol w:w="2357"/>
        <w:gridCol w:w="2495"/>
        <w:gridCol w:w="1641"/>
      </w:tblGrid>
      <w:tr w14:paraId="10B6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shd w:val="clear" w:color="auto" w:fill="D7D7D7"/>
            <w:noWrap w:val="0"/>
            <w:vAlign w:val="center"/>
          </w:tcPr>
          <w:p w14:paraId="25FA0B55">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序号</w:t>
            </w:r>
          </w:p>
        </w:tc>
        <w:tc>
          <w:tcPr>
            <w:tcW w:w="1224" w:type="dxa"/>
            <w:shd w:val="clear" w:color="auto" w:fill="D7D7D7"/>
            <w:noWrap w:val="0"/>
            <w:vAlign w:val="center"/>
          </w:tcPr>
          <w:p w14:paraId="3499F60A">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人员姓名</w:t>
            </w:r>
          </w:p>
        </w:tc>
        <w:tc>
          <w:tcPr>
            <w:tcW w:w="2357" w:type="dxa"/>
            <w:shd w:val="clear" w:color="auto" w:fill="D7D7D7"/>
            <w:noWrap w:val="0"/>
            <w:vAlign w:val="center"/>
          </w:tcPr>
          <w:p w14:paraId="645962D4">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在本项目中的岗位</w:t>
            </w:r>
          </w:p>
        </w:tc>
        <w:tc>
          <w:tcPr>
            <w:tcW w:w="2495" w:type="dxa"/>
            <w:shd w:val="clear" w:color="auto" w:fill="D7D7D7"/>
            <w:noWrap w:val="0"/>
            <w:vAlign w:val="center"/>
          </w:tcPr>
          <w:p w14:paraId="2E965995">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社保缴纳时间范围</w:t>
            </w:r>
          </w:p>
        </w:tc>
        <w:tc>
          <w:tcPr>
            <w:tcW w:w="1641" w:type="dxa"/>
            <w:shd w:val="clear" w:color="auto" w:fill="D7D7D7"/>
            <w:noWrap w:val="0"/>
            <w:vAlign w:val="center"/>
          </w:tcPr>
          <w:p w14:paraId="68109E5B">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自评是否符合招标文件社保要求</w:t>
            </w:r>
          </w:p>
        </w:tc>
      </w:tr>
      <w:tr w14:paraId="5E5A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960CD74">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224" w:type="dxa"/>
            <w:noWrap w:val="0"/>
            <w:vAlign w:val="top"/>
          </w:tcPr>
          <w:p w14:paraId="392EDBA7">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357" w:type="dxa"/>
            <w:noWrap w:val="0"/>
            <w:vAlign w:val="top"/>
          </w:tcPr>
          <w:p w14:paraId="00D56614">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495" w:type="dxa"/>
            <w:noWrap w:val="0"/>
            <w:vAlign w:val="top"/>
          </w:tcPr>
          <w:p w14:paraId="168EC25D">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641" w:type="dxa"/>
            <w:noWrap w:val="0"/>
            <w:vAlign w:val="top"/>
          </w:tcPr>
          <w:p w14:paraId="2E02EDF1">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r>
      <w:tr w14:paraId="7A23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03DD7ADD">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224" w:type="dxa"/>
            <w:noWrap w:val="0"/>
            <w:vAlign w:val="top"/>
          </w:tcPr>
          <w:p w14:paraId="5DD3C8BE">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357" w:type="dxa"/>
            <w:noWrap w:val="0"/>
            <w:vAlign w:val="top"/>
          </w:tcPr>
          <w:p w14:paraId="685E5CF5">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495" w:type="dxa"/>
            <w:noWrap w:val="0"/>
            <w:vAlign w:val="top"/>
          </w:tcPr>
          <w:p w14:paraId="3F7849D3">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641" w:type="dxa"/>
            <w:noWrap w:val="0"/>
            <w:vAlign w:val="top"/>
          </w:tcPr>
          <w:p w14:paraId="07228BAF">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r>
      <w:tr w14:paraId="5012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53B529AB">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224" w:type="dxa"/>
            <w:noWrap w:val="0"/>
            <w:vAlign w:val="top"/>
          </w:tcPr>
          <w:p w14:paraId="65ECE07A">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357" w:type="dxa"/>
            <w:noWrap w:val="0"/>
            <w:vAlign w:val="top"/>
          </w:tcPr>
          <w:p w14:paraId="2888CB33">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495" w:type="dxa"/>
            <w:noWrap w:val="0"/>
            <w:vAlign w:val="top"/>
          </w:tcPr>
          <w:p w14:paraId="5E9600E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641" w:type="dxa"/>
            <w:noWrap w:val="0"/>
            <w:vAlign w:val="top"/>
          </w:tcPr>
          <w:p w14:paraId="4D88C84B">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r>
      <w:tr w14:paraId="5E03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82A822D">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224" w:type="dxa"/>
            <w:noWrap w:val="0"/>
            <w:vAlign w:val="top"/>
          </w:tcPr>
          <w:p w14:paraId="17162DE4">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357" w:type="dxa"/>
            <w:noWrap w:val="0"/>
            <w:vAlign w:val="top"/>
          </w:tcPr>
          <w:p w14:paraId="0BBD0C48">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495" w:type="dxa"/>
            <w:noWrap w:val="0"/>
            <w:vAlign w:val="top"/>
          </w:tcPr>
          <w:p w14:paraId="73053B95">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641" w:type="dxa"/>
            <w:noWrap w:val="0"/>
            <w:vAlign w:val="top"/>
          </w:tcPr>
          <w:p w14:paraId="51FBEFBE">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r>
      <w:tr w14:paraId="4574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127A3EC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224" w:type="dxa"/>
            <w:noWrap w:val="0"/>
            <w:vAlign w:val="top"/>
          </w:tcPr>
          <w:p w14:paraId="58DEF49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357" w:type="dxa"/>
            <w:noWrap w:val="0"/>
            <w:vAlign w:val="top"/>
          </w:tcPr>
          <w:p w14:paraId="1A65F10A">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495" w:type="dxa"/>
            <w:noWrap w:val="0"/>
            <w:vAlign w:val="top"/>
          </w:tcPr>
          <w:p w14:paraId="251304D0">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641" w:type="dxa"/>
            <w:noWrap w:val="0"/>
            <w:vAlign w:val="top"/>
          </w:tcPr>
          <w:p w14:paraId="1C43B20D">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r>
      <w:tr w14:paraId="79DB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F8144E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224" w:type="dxa"/>
            <w:noWrap w:val="0"/>
            <w:vAlign w:val="top"/>
          </w:tcPr>
          <w:p w14:paraId="6381E580">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357" w:type="dxa"/>
            <w:noWrap w:val="0"/>
            <w:vAlign w:val="top"/>
          </w:tcPr>
          <w:p w14:paraId="3FB336FA">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495" w:type="dxa"/>
            <w:noWrap w:val="0"/>
            <w:vAlign w:val="top"/>
          </w:tcPr>
          <w:p w14:paraId="4D5E4E03">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641" w:type="dxa"/>
            <w:noWrap w:val="0"/>
            <w:vAlign w:val="top"/>
          </w:tcPr>
          <w:p w14:paraId="1B110A2D">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r>
      <w:tr w14:paraId="3B74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5ACD39A9">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224" w:type="dxa"/>
            <w:noWrap w:val="0"/>
            <w:vAlign w:val="top"/>
          </w:tcPr>
          <w:p w14:paraId="65340B0F">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357" w:type="dxa"/>
            <w:noWrap w:val="0"/>
            <w:vAlign w:val="top"/>
          </w:tcPr>
          <w:p w14:paraId="038509A9">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495" w:type="dxa"/>
            <w:noWrap w:val="0"/>
            <w:vAlign w:val="top"/>
          </w:tcPr>
          <w:p w14:paraId="0566DBB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641" w:type="dxa"/>
            <w:noWrap w:val="0"/>
            <w:vAlign w:val="top"/>
          </w:tcPr>
          <w:p w14:paraId="3BB5B1FE">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r>
      <w:tr w14:paraId="7F98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079A69E9">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224" w:type="dxa"/>
            <w:noWrap w:val="0"/>
            <w:vAlign w:val="top"/>
          </w:tcPr>
          <w:p w14:paraId="25AF900D">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357" w:type="dxa"/>
            <w:noWrap w:val="0"/>
            <w:vAlign w:val="top"/>
          </w:tcPr>
          <w:p w14:paraId="25C68332">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495" w:type="dxa"/>
            <w:noWrap w:val="0"/>
            <w:vAlign w:val="top"/>
          </w:tcPr>
          <w:p w14:paraId="3B75AF0D">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641" w:type="dxa"/>
            <w:noWrap w:val="0"/>
            <w:vAlign w:val="top"/>
          </w:tcPr>
          <w:p w14:paraId="0EA754B1">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r>
      <w:tr w14:paraId="1035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67D158FF">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224" w:type="dxa"/>
            <w:noWrap w:val="0"/>
            <w:vAlign w:val="top"/>
          </w:tcPr>
          <w:p w14:paraId="61249E03">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357" w:type="dxa"/>
            <w:noWrap w:val="0"/>
            <w:vAlign w:val="top"/>
          </w:tcPr>
          <w:p w14:paraId="04E248B8">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2495" w:type="dxa"/>
            <w:noWrap w:val="0"/>
            <w:vAlign w:val="top"/>
          </w:tcPr>
          <w:p w14:paraId="6FB7D3AD">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c>
          <w:tcPr>
            <w:tcW w:w="1641" w:type="dxa"/>
            <w:noWrap w:val="0"/>
            <w:vAlign w:val="top"/>
          </w:tcPr>
          <w:p w14:paraId="20E7DD56">
            <w:pPr>
              <w:keepNext w:val="0"/>
              <w:keepLines w:val="0"/>
              <w:pageBreakBefore w:val="0"/>
              <w:suppressLineNumbers w:val="0"/>
              <w:kinsoku/>
              <w:wordWrap w:val="0"/>
              <w:overflowPunct/>
              <w:bidi w:val="0"/>
              <w:spacing w:before="0" w:beforeAutospacing="0" w:after="0" w:afterAutospacing="0" w:line="360" w:lineRule="auto"/>
              <w:ind w:left="0" w:right="0"/>
              <w:jc w:val="center"/>
              <w:rPr>
                <w:rFonts w:hint="default"/>
                <w:color w:val="000000" w:themeColor="text1"/>
                <w:highlight w:val="none"/>
                <w:lang w:val="en-US"/>
                <w14:textFill>
                  <w14:solidFill>
                    <w14:schemeClr w14:val="tx1"/>
                  </w14:solidFill>
                </w14:textFill>
              </w:rPr>
            </w:pPr>
          </w:p>
        </w:tc>
      </w:tr>
    </w:tbl>
    <w:p w14:paraId="656A3EB6">
      <w:pPr>
        <w:pStyle w:val="20"/>
        <w:pageBreakBefore w:val="0"/>
        <w:kinsoku/>
        <w:wordWrap w:val="0"/>
        <w:overflowPunct/>
        <w:bidi w:val="0"/>
        <w:rPr>
          <w:bCs/>
          <w:iCs/>
          <w:color w:val="000000" w:themeColor="text1"/>
          <w:sz w:val="28"/>
          <w:szCs w:val="28"/>
          <w:highlight w:val="none"/>
          <w:lang w:val="en-US"/>
          <w14:textFill>
            <w14:solidFill>
              <w14:schemeClr w14:val="tx1"/>
            </w14:solidFill>
          </w14:textFill>
        </w:rPr>
      </w:pPr>
    </w:p>
    <w:p w14:paraId="05C72BBD">
      <w:pPr>
        <w:pageBreakBefore w:val="0"/>
        <w:kinsoku/>
        <w:wordWrap w:val="0"/>
        <w:overflowPunct/>
        <w:bidi w:val="0"/>
        <w:spacing w:line="360" w:lineRule="auto"/>
        <w:ind w:firstLine="2400" w:firstLineChars="10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投标人：</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（盖单位章） </w:t>
      </w:r>
    </w:p>
    <w:p w14:paraId="74704C1A">
      <w:pPr>
        <w:pageBreakBefore w:val="0"/>
        <w:kinsoku/>
        <w:wordWrap w:val="0"/>
        <w:overflowPunct/>
        <w:bidi w:val="0"/>
        <w:spacing w:line="360" w:lineRule="auto"/>
        <w:ind w:firstLine="2400" w:firstLineChars="1000"/>
        <w:jc w:val="both"/>
        <w:rPr>
          <w:bCs/>
          <w:iCs/>
          <w:color w:val="000000" w:themeColor="text1"/>
          <w:sz w:val="28"/>
          <w:szCs w:val="28"/>
          <w:highlight w:val="none"/>
          <w:lang w:val="en-US"/>
          <w14:textFill>
            <w14:solidFill>
              <w14:schemeClr w14:val="tx1"/>
            </w14:solidFill>
          </w14:textFill>
        </w:rPr>
      </w:pPr>
      <w:r>
        <w:rPr>
          <w:rFonts w:hint="eastAsia"/>
          <w:bCs/>
          <w:iCs/>
          <w:color w:val="000000" w:themeColor="text1"/>
          <w:sz w:val="24"/>
          <w:szCs w:val="24"/>
          <w:highlight w:val="none"/>
          <w:lang w:val="en-US"/>
          <w14:textFill>
            <w14:solidFill>
              <w14:schemeClr w14:val="tx1"/>
            </w14:solidFill>
          </w14:textFill>
        </w:rPr>
        <w:t>日期：</w:t>
      </w:r>
      <w:r>
        <w:rPr>
          <w:rFonts w:hint="eastAsia"/>
          <w:bCs/>
          <w:iCs/>
          <w:color w:val="000000" w:themeColor="text1"/>
          <w:sz w:val="24"/>
          <w:szCs w:val="24"/>
          <w:highlight w:val="none"/>
          <w:u w:val="single"/>
          <w:lang w:val="en-US"/>
          <w14:textFill>
            <w14:solidFill>
              <w14:schemeClr w14:val="tx1"/>
            </w14:solidFill>
          </w14:textFill>
        </w:rPr>
        <w:t xml:space="preserve">              </w:t>
      </w:r>
      <w:r>
        <w:rPr>
          <w:rFonts w:hint="eastAsia"/>
          <w:bCs/>
          <w:iCs/>
          <w:color w:val="000000" w:themeColor="text1"/>
          <w:sz w:val="28"/>
          <w:szCs w:val="28"/>
          <w:highlight w:val="none"/>
          <w:u w:val="single"/>
          <w:lang w:val="en-US"/>
          <w14:textFill>
            <w14:solidFill>
              <w14:schemeClr w14:val="tx1"/>
            </w14:solidFill>
          </w14:textFill>
        </w:rPr>
        <w:t xml:space="preserve"> </w:t>
      </w:r>
    </w:p>
    <w:p w14:paraId="4DD3C6A6">
      <w:pPr>
        <w:pageBreakBefore w:val="0"/>
        <w:kinsoku/>
        <w:wordWrap w:val="0"/>
        <w:overflowPunct/>
        <w:bidi w:val="0"/>
        <w:rPr>
          <w:rFonts w:hint="eastAsia"/>
          <w:color w:val="000000" w:themeColor="text1"/>
          <w:highlight w:val="none"/>
          <w14:textFill>
            <w14:solidFill>
              <w14:schemeClr w14:val="tx1"/>
            </w14:solidFill>
          </w14:textFill>
        </w:rPr>
      </w:pPr>
    </w:p>
    <w:p w14:paraId="34FF1D44">
      <w:pPr>
        <w:pStyle w:val="3"/>
        <w:pageBreakBefore w:val="0"/>
        <w:kinsoku/>
        <w:wordWrap w:val="0"/>
        <w:overflowPunct/>
        <w:bidi w:val="0"/>
        <w:jc w:val="center"/>
        <w:rPr>
          <w:rStyle w:val="39"/>
          <w:rFonts w:hint="eastAsia" w:ascii="Times New Roman" w:hAnsi="Times New Roman"/>
          <w:bCs/>
          <w:smallCaps w:val="0"/>
          <w:color w:val="000000" w:themeColor="text1"/>
          <w:highlight w:val="none"/>
          <w14:textFill>
            <w14:solidFill>
              <w14:schemeClr w14:val="tx1"/>
            </w14:solidFill>
          </w14:textFill>
        </w:rPr>
      </w:pPr>
      <w:r>
        <w:rPr>
          <w:rStyle w:val="80"/>
          <w:rFonts w:hint="eastAsia" w:ascii="Times New Roman" w:hAnsi="Times New Roman"/>
          <w:bCs/>
          <w:smallCaps w:val="0"/>
          <w:color w:val="000000" w:themeColor="text1"/>
          <w:highlight w:val="none"/>
          <w14:textFill>
            <w14:solidFill>
              <w14:schemeClr w14:val="tx1"/>
            </w14:solidFill>
          </w14:textFill>
        </w:rPr>
        <w:br w:type="page"/>
      </w:r>
      <w:bookmarkEnd w:id="1455"/>
      <w:bookmarkEnd w:id="1456"/>
      <w:bookmarkEnd w:id="1457"/>
      <w:bookmarkEnd w:id="1458"/>
      <w:bookmarkStart w:id="1459" w:name="_Toc12192"/>
      <w:r>
        <w:rPr>
          <w:rStyle w:val="39"/>
          <w:rFonts w:hint="eastAsia" w:ascii="Times New Roman" w:hAnsi="Times New Roman"/>
          <w:bCs/>
          <w:smallCaps w:val="0"/>
          <w:color w:val="000000" w:themeColor="text1"/>
          <w:highlight w:val="none"/>
          <w14:textFill>
            <w14:solidFill>
              <w14:schemeClr w14:val="tx1"/>
            </w14:solidFill>
          </w14:textFill>
        </w:rPr>
        <w:t>六、拟分包项目情况表</w:t>
      </w:r>
      <w:bookmarkEnd w:id="1459"/>
    </w:p>
    <w:tbl>
      <w:tblPr>
        <w:tblStyle w:val="22"/>
        <w:tblW w:w="8525" w:type="dxa"/>
        <w:jc w:val="center"/>
        <w:tblLayout w:type="fixed"/>
        <w:tblCellMar>
          <w:top w:w="28" w:type="dxa"/>
          <w:left w:w="108" w:type="dxa"/>
          <w:bottom w:w="28" w:type="dxa"/>
          <w:right w:w="108" w:type="dxa"/>
        </w:tblCellMar>
      </w:tblPr>
      <w:tblGrid>
        <w:gridCol w:w="2138"/>
        <w:gridCol w:w="2265"/>
        <w:gridCol w:w="1984"/>
        <w:gridCol w:w="2138"/>
      </w:tblGrid>
      <w:tr w14:paraId="6C377EB1">
        <w:tblPrEx>
          <w:tblCellMar>
            <w:top w:w="28" w:type="dxa"/>
            <w:left w:w="108" w:type="dxa"/>
            <w:bottom w:w="28" w:type="dxa"/>
            <w:right w:w="108" w:type="dxa"/>
          </w:tblCellMar>
        </w:tblPrEx>
        <w:trPr>
          <w:trHeight w:val="539"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E06E0D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拟分包的工程项目</w:t>
            </w: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75E6E1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主要工程内容</w:t>
            </w: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567086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预计造价（万元）</w:t>
            </w:r>
          </w:p>
        </w:tc>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755A41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56CFADB8">
        <w:tblPrEx>
          <w:tblCellMar>
            <w:top w:w="28" w:type="dxa"/>
            <w:left w:w="108" w:type="dxa"/>
            <w:bottom w:w="28" w:type="dxa"/>
            <w:right w:w="108" w:type="dxa"/>
          </w:tblCellMar>
        </w:tblPrEx>
        <w:trPr>
          <w:trHeight w:val="539"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B594C30">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2482B5A">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490CB71">
            <w:pPr>
              <w:keepNext w:val="0"/>
              <w:keepLines w:val="0"/>
              <w:pageBreakBefore w:val="0"/>
              <w:suppressLineNumbers w:val="0"/>
              <w:kinsoku/>
              <w:wordWrap w:val="0"/>
              <w:overflowPunct/>
              <w:bidi w:val="0"/>
              <w:spacing w:before="0" w:beforeAutospacing="0" w:after="0" w:afterAutospacing="0"/>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restar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C3EE645">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若无分包计划，则投标人应在本表填写“无”或“/”</w:t>
            </w:r>
          </w:p>
          <w:p w14:paraId="0CF8A744">
            <w:pPr>
              <w:keepNext w:val="0"/>
              <w:keepLines w:val="0"/>
              <w:pageBreakBefore w:val="0"/>
              <w:suppressLineNumbers w:val="0"/>
              <w:kinsoku/>
              <w:wordWrap w:val="0"/>
              <w:overflowPunct/>
              <w:bidi w:val="0"/>
              <w:spacing w:before="0" w:beforeAutospacing="0" w:after="0" w:afterAutospacing="0"/>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4C04EEB1">
        <w:tblPrEx>
          <w:tblCellMar>
            <w:top w:w="28" w:type="dxa"/>
            <w:left w:w="108" w:type="dxa"/>
            <w:bottom w:w="28" w:type="dxa"/>
            <w:right w:w="108" w:type="dxa"/>
          </w:tblCellMar>
        </w:tblPrEx>
        <w:trPr>
          <w:trHeight w:val="683"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1935E20">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A5ADD5E">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D1A3063">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632EBF7">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74749CED">
        <w:tblPrEx>
          <w:tblCellMar>
            <w:top w:w="28" w:type="dxa"/>
            <w:left w:w="108" w:type="dxa"/>
            <w:bottom w:w="28" w:type="dxa"/>
            <w:right w:w="108" w:type="dxa"/>
          </w:tblCellMar>
        </w:tblPrEx>
        <w:trPr>
          <w:trHeight w:val="553"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9FEBCD3">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0496B78">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390EFC8">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E715811">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6B56BD2B">
        <w:tblPrEx>
          <w:tblCellMar>
            <w:top w:w="28" w:type="dxa"/>
            <w:left w:w="108" w:type="dxa"/>
            <w:bottom w:w="28" w:type="dxa"/>
            <w:right w:w="108" w:type="dxa"/>
          </w:tblCellMar>
        </w:tblPrEx>
        <w:trPr>
          <w:trHeight w:val="539"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F7E65C3">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7C6863C">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2D74D6F">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ED1F1E9">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4C5E1BCF">
        <w:tblPrEx>
          <w:tblCellMar>
            <w:top w:w="28" w:type="dxa"/>
            <w:left w:w="108" w:type="dxa"/>
            <w:bottom w:w="28" w:type="dxa"/>
            <w:right w:w="108" w:type="dxa"/>
          </w:tblCellMar>
        </w:tblPrEx>
        <w:trPr>
          <w:trHeight w:val="720"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6FF0115">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8C500B0">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4088B20">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4215421">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4D15FC4C">
        <w:tblPrEx>
          <w:tblCellMar>
            <w:top w:w="28" w:type="dxa"/>
            <w:left w:w="108" w:type="dxa"/>
            <w:bottom w:w="28" w:type="dxa"/>
            <w:right w:w="108" w:type="dxa"/>
          </w:tblCellMar>
        </w:tblPrEx>
        <w:trPr>
          <w:trHeight w:val="552"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4C66412">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B3189B3">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170FB18">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B65A911">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2EA603D5">
        <w:tblPrEx>
          <w:tblCellMar>
            <w:top w:w="28" w:type="dxa"/>
            <w:left w:w="108" w:type="dxa"/>
            <w:bottom w:w="28" w:type="dxa"/>
            <w:right w:w="108" w:type="dxa"/>
          </w:tblCellMar>
        </w:tblPrEx>
        <w:trPr>
          <w:trHeight w:val="552"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0B57C21">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B38FBF8">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1216231">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7FEB7E9">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76D908F6">
        <w:tblPrEx>
          <w:tblCellMar>
            <w:top w:w="28" w:type="dxa"/>
            <w:left w:w="108" w:type="dxa"/>
            <w:bottom w:w="28" w:type="dxa"/>
            <w:right w:w="108" w:type="dxa"/>
          </w:tblCellMar>
        </w:tblPrEx>
        <w:trPr>
          <w:trHeight w:val="553"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3650AB7">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B5C377B">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9DF94BB">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A27043B">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1235F7E7">
        <w:tblPrEx>
          <w:tblCellMar>
            <w:top w:w="28" w:type="dxa"/>
            <w:left w:w="108" w:type="dxa"/>
            <w:bottom w:w="28" w:type="dxa"/>
            <w:right w:w="108" w:type="dxa"/>
          </w:tblCellMar>
        </w:tblPrEx>
        <w:trPr>
          <w:trHeight w:val="552"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60F2076">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42717D9">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B0CBB19">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9ED608D">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07A350A9">
        <w:tblPrEx>
          <w:tblCellMar>
            <w:top w:w="28" w:type="dxa"/>
            <w:left w:w="108" w:type="dxa"/>
            <w:bottom w:w="28" w:type="dxa"/>
            <w:right w:w="108" w:type="dxa"/>
          </w:tblCellMar>
        </w:tblPrEx>
        <w:trPr>
          <w:trHeight w:val="552"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1B1ED36">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12849BD">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E7A8723">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7CE32CD">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494EED01">
        <w:tblPrEx>
          <w:tblCellMar>
            <w:top w:w="28" w:type="dxa"/>
            <w:left w:w="108" w:type="dxa"/>
            <w:bottom w:w="28" w:type="dxa"/>
            <w:right w:w="108" w:type="dxa"/>
          </w:tblCellMar>
        </w:tblPrEx>
        <w:trPr>
          <w:trHeight w:val="553"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AB0401D">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3E2496E">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C9C6346">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EB801BF">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76541DC1">
        <w:tblPrEx>
          <w:tblCellMar>
            <w:top w:w="28" w:type="dxa"/>
            <w:left w:w="108" w:type="dxa"/>
            <w:bottom w:w="28" w:type="dxa"/>
            <w:right w:w="108" w:type="dxa"/>
          </w:tblCellMar>
        </w:tblPrEx>
        <w:trPr>
          <w:trHeight w:val="552"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33B6B44">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28EE91B">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1728F0F">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C8F1F9E">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4A616212">
        <w:tblPrEx>
          <w:tblCellMar>
            <w:top w:w="28" w:type="dxa"/>
            <w:left w:w="108" w:type="dxa"/>
            <w:bottom w:w="28" w:type="dxa"/>
            <w:right w:w="108" w:type="dxa"/>
          </w:tblCellMar>
        </w:tblPrEx>
        <w:trPr>
          <w:trHeight w:val="552"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D9FFC08">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8389C15">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550F851">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F45A2EB">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45E9BE59">
        <w:tblPrEx>
          <w:tblCellMar>
            <w:top w:w="28" w:type="dxa"/>
            <w:left w:w="108" w:type="dxa"/>
            <w:bottom w:w="28" w:type="dxa"/>
            <w:right w:w="108" w:type="dxa"/>
          </w:tblCellMar>
        </w:tblPrEx>
        <w:trPr>
          <w:trHeight w:val="553"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B360E87">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4041783">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483EE6C">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466FA54">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2F29FF4A">
        <w:tblPrEx>
          <w:tblCellMar>
            <w:top w:w="28" w:type="dxa"/>
            <w:left w:w="108" w:type="dxa"/>
            <w:bottom w:w="28" w:type="dxa"/>
            <w:right w:w="108" w:type="dxa"/>
          </w:tblCellMar>
        </w:tblPrEx>
        <w:trPr>
          <w:trHeight w:val="552"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2FC824D">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24D0B6F">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8CF4AB5">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540B8E4">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7782CE53">
        <w:tblPrEx>
          <w:tblCellMar>
            <w:top w:w="28" w:type="dxa"/>
            <w:left w:w="108" w:type="dxa"/>
            <w:bottom w:w="28" w:type="dxa"/>
            <w:right w:w="108" w:type="dxa"/>
          </w:tblCellMar>
        </w:tblPrEx>
        <w:trPr>
          <w:trHeight w:val="553" w:hRule="exact"/>
          <w:jc w:val="center"/>
        </w:trPr>
        <w:tc>
          <w:tcPr>
            <w:tcW w:w="2138"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2CC23E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265"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1EDAA0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C008248">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D9C2982">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r w14:paraId="791062E8">
        <w:tblPrEx>
          <w:tblCellMar>
            <w:top w:w="28" w:type="dxa"/>
            <w:left w:w="108" w:type="dxa"/>
            <w:bottom w:w="28" w:type="dxa"/>
            <w:right w:w="108" w:type="dxa"/>
          </w:tblCellMar>
        </w:tblPrEx>
        <w:trPr>
          <w:trHeight w:val="567" w:hRule="exact"/>
          <w:jc w:val="center"/>
        </w:trPr>
        <w:tc>
          <w:tcPr>
            <w:tcW w:w="4403" w:type="dxa"/>
            <w:gridSpan w:val="2"/>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F2BB81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拟分包工程造价合计（万元）</w:t>
            </w:r>
          </w:p>
        </w:tc>
        <w:tc>
          <w:tcPr>
            <w:tcW w:w="1984" w:type="dxa"/>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F0475E9">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c>
          <w:tcPr>
            <w:tcW w:w="2138" w:type="dxa"/>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723C828">
            <w:pPr>
              <w:keepNext w:val="0"/>
              <w:keepLines w:val="0"/>
              <w:pageBreakBefore w:val="0"/>
              <w:suppressLineNumbers w:val="0"/>
              <w:kinsoku/>
              <w:wordWrap w:val="0"/>
              <w:overflowPunct/>
              <w:bidi w:val="0"/>
              <w:spacing w:before="0" w:beforeAutospacing="0" w:after="0" w:afterAutospacing="0" w:line="440" w:lineRule="exact"/>
              <w:ind w:left="120" w:leftChars="50" w:right="120" w:rightChars="50"/>
              <w:jc w:val="center"/>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p>
        </w:tc>
      </w:tr>
    </w:tbl>
    <w:p w14:paraId="24FF1C15">
      <w:pPr>
        <w:pageBreakBefore w:val="0"/>
        <w:tabs>
          <w:tab w:val="left" w:pos="2580"/>
          <w:tab w:val="left" w:pos="5940"/>
        </w:tabs>
        <w:kinsoku/>
        <w:wordWrap w:val="0"/>
        <w:overflowPunct/>
        <w:autoSpaceDE w:val="0"/>
        <w:autoSpaceDN w:val="0"/>
        <w:bidi w:val="0"/>
        <w:adjustRightInd w:val="0"/>
        <w:snapToGrid w:val="0"/>
        <w:spacing w:line="400" w:lineRule="exact"/>
        <w:jc w:val="left"/>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7B0D193F">
      <w:pPr>
        <w:pStyle w:val="3"/>
        <w:pageBreakBefore w:val="0"/>
        <w:kinsoku/>
        <w:wordWrap w:val="0"/>
        <w:overflowPunct/>
        <w:bidi w:val="0"/>
        <w:spacing w:before="0" w:after="0"/>
        <w:jc w:val="center"/>
        <w:rPr>
          <w:rStyle w:val="39"/>
          <w:rFonts w:hint="eastAsia" w:ascii="Times New Roman" w:hAnsi="Times New Roman"/>
          <w:bCs/>
          <w:smallCaps w:val="0"/>
          <w:color w:val="000000" w:themeColor="text1"/>
          <w:highlight w:val="none"/>
          <w14:textFill>
            <w14:solidFill>
              <w14:schemeClr w14:val="tx1"/>
            </w14:solidFill>
          </w14:textFill>
        </w:rPr>
      </w:pPr>
      <w:r>
        <w:rPr>
          <w:rFonts w:hint="eastAsia" w:ascii="Times New Roman" w:hAnsi="Times New Roman" w:eastAsia="宋体" w:cs="宋体"/>
          <w:b/>
          <w:bCs w:val="0"/>
          <w:smallCaps w:val="0"/>
          <w:color w:val="000000" w:themeColor="text1"/>
          <w:sz w:val="28"/>
          <w:szCs w:val="22"/>
          <w:highlight w:val="none"/>
          <w14:textFill>
            <w14:solidFill>
              <w14:schemeClr w14:val="tx1"/>
            </w14:solidFill>
          </w14:textFill>
        </w:rPr>
        <w:br w:type="page"/>
      </w:r>
      <w:bookmarkStart w:id="1460" w:name="_Toc18769"/>
      <w:r>
        <w:rPr>
          <w:rStyle w:val="39"/>
          <w:rFonts w:hint="eastAsia" w:ascii="Times New Roman" w:hAnsi="Times New Roman"/>
          <w:bCs/>
          <w:smallCaps w:val="0"/>
          <w:color w:val="000000" w:themeColor="text1"/>
          <w:highlight w:val="none"/>
          <w14:textFill>
            <w14:solidFill>
              <w14:schemeClr w14:val="tx1"/>
            </w14:solidFill>
          </w14:textFill>
        </w:rPr>
        <w:t>七、资格审查资料</w:t>
      </w:r>
      <w:bookmarkEnd w:id="1460"/>
    </w:p>
    <w:p w14:paraId="5570622C">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（一）投标人基本情况表</w:t>
      </w:r>
      <w:bookmarkEnd w:id="1437"/>
      <w:bookmarkEnd w:id="1438"/>
      <w:bookmarkEnd w:id="1441"/>
      <w:bookmarkEnd w:id="1442"/>
      <w:bookmarkEnd w:id="1443"/>
    </w:p>
    <w:tbl>
      <w:tblPr>
        <w:tblStyle w:val="22"/>
        <w:tblW w:w="0" w:type="auto"/>
        <w:tblInd w:w="-5" w:type="dxa"/>
        <w:tblLayout w:type="fixed"/>
        <w:tblCellMar>
          <w:top w:w="0" w:type="dxa"/>
          <w:left w:w="0" w:type="dxa"/>
          <w:bottom w:w="0" w:type="dxa"/>
          <w:right w:w="0" w:type="dxa"/>
        </w:tblCellMar>
      </w:tblPr>
      <w:tblGrid>
        <w:gridCol w:w="1728"/>
        <w:gridCol w:w="898"/>
        <w:gridCol w:w="951"/>
        <w:gridCol w:w="840"/>
        <w:gridCol w:w="420"/>
        <w:gridCol w:w="96"/>
        <w:gridCol w:w="1293"/>
        <w:gridCol w:w="491"/>
        <w:gridCol w:w="859"/>
        <w:gridCol w:w="992"/>
      </w:tblGrid>
      <w:tr w14:paraId="20B57C6E">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58038E8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bookmarkStart w:id="1461" w:name="_Toc390411623"/>
            <w:bookmarkStart w:id="1462" w:name="_Toc421917003"/>
            <w:r>
              <w:rPr>
                <w:rFonts w:hint="eastAsia" w:ascii="Times New Roman" w:hAnsi="Times New Roman"/>
                <w:smallCaps w:val="0"/>
                <w:color w:val="000000" w:themeColor="text1"/>
                <w:highlight w:val="none"/>
                <w14:textFill>
                  <w14:solidFill>
                    <w14:schemeClr w14:val="tx1"/>
                  </w14:solidFill>
                </w14:textFill>
              </w:rPr>
              <w:t>投标人名称</w:t>
            </w:r>
          </w:p>
        </w:tc>
        <w:tc>
          <w:tcPr>
            <w:tcW w:w="6840" w:type="dxa"/>
            <w:gridSpan w:val="9"/>
            <w:tcBorders>
              <w:top w:val="single" w:color="000000" w:sz="4" w:space="0"/>
              <w:left w:val="single" w:color="000000" w:sz="4" w:space="0"/>
              <w:bottom w:val="single" w:color="000000" w:sz="4" w:space="0"/>
              <w:right w:val="single" w:color="000000" w:sz="4" w:space="0"/>
            </w:tcBorders>
            <w:noWrap w:val="0"/>
            <w:vAlign w:val="center"/>
          </w:tcPr>
          <w:p w14:paraId="43B1D79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96AD39A">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4C0D8D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注册地址</w:t>
            </w:r>
          </w:p>
        </w:tc>
        <w:tc>
          <w:tcPr>
            <w:tcW w:w="3205" w:type="dxa"/>
            <w:gridSpan w:val="5"/>
            <w:tcBorders>
              <w:top w:val="single" w:color="000000" w:sz="4" w:space="0"/>
              <w:left w:val="single" w:color="000000" w:sz="4" w:space="0"/>
              <w:bottom w:val="single" w:color="000000" w:sz="4" w:space="0"/>
              <w:right w:val="single" w:color="000000" w:sz="4" w:space="0"/>
            </w:tcBorders>
            <w:noWrap w:val="0"/>
            <w:vAlign w:val="center"/>
          </w:tcPr>
          <w:p w14:paraId="24A89D1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14:paraId="54B85A6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p>
        </w:tc>
        <w:tc>
          <w:tcPr>
            <w:tcW w:w="2342" w:type="dxa"/>
            <w:gridSpan w:val="3"/>
            <w:tcBorders>
              <w:top w:val="single" w:color="000000" w:sz="4" w:space="0"/>
              <w:left w:val="single" w:color="000000" w:sz="4" w:space="0"/>
              <w:bottom w:val="single" w:color="000000" w:sz="4" w:space="0"/>
              <w:right w:val="single" w:color="000000" w:sz="4" w:space="0"/>
            </w:tcBorders>
            <w:noWrap w:val="0"/>
            <w:vAlign w:val="center"/>
          </w:tcPr>
          <w:p w14:paraId="56746BD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7B52B749">
        <w:tblPrEx>
          <w:tblCellMar>
            <w:top w:w="0" w:type="dxa"/>
            <w:left w:w="0" w:type="dxa"/>
            <w:bottom w:w="0" w:type="dxa"/>
            <w:right w:w="0" w:type="dxa"/>
          </w:tblCellMar>
        </w:tblPrEx>
        <w:trPr>
          <w:trHeight w:val="567" w:hRule="atLeast"/>
        </w:trPr>
        <w:tc>
          <w:tcPr>
            <w:tcW w:w="1728" w:type="dxa"/>
            <w:vMerge w:val="restart"/>
            <w:tcBorders>
              <w:top w:val="single" w:color="000000" w:sz="4" w:space="0"/>
              <w:left w:val="single" w:color="000000" w:sz="4" w:space="0"/>
              <w:bottom w:val="single" w:color="000000" w:sz="4" w:space="0"/>
              <w:right w:val="single" w:color="000000" w:sz="4" w:space="0"/>
            </w:tcBorders>
            <w:noWrap w:val="0"/>
            <w:vAlign w:val="center"/>
          </w:tcPr>
          <w:p w14:paraId="574612C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联系方式</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1C28B2A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联系人</w:t>
            </w:r>
          </w:p>
        </w:tc>
        <w:tc>
          <w:tcPr>
            <w:tcW w:w="2307" w:type="dxa"/>
            <w:gridSpan w:val="4"/>
            <w:tcBorders>
              <w:top w:val="single" w:color="000000" w:sz="4" w:space="0"/>
              <w:left w:val="single" w:color="000000" w:sz="4" w:space="0"/>
              <w:bottom w:val="single" w:color="000000" w:sz="4" w:space="0"/>
              <w:right w:val="single" w:color="000000" w:sz="4" w:space="0"/>
            </w:tcBorders>
            <w:noWrap w:val="0"/>
            <w:vAlign w:val="center"/>
          </w:tcPr>
          <w:p w14:paraId="2703053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14:paraId="3DFF9D0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电 </w:t>
            </w:r>
            <w:r>
              <w:rPr>
                <w:rFonts w:hint="eastAsia" w:ascii="Times New Roman" w:hAnsi="Times New Roman"/>
                <w:smallCaps w:val="0"/>
                <w:color w:val="000000" w:themeColor="text1"/>
                <w:highlight w:val="non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 xml:space="preserve"> 话</w:t>
            </w:r>
          </w:p>
        </w:tc>
        <w:tc>
          <w:tcPr>
            <w:tcW w:w="2342" w:type="dxa"/>
            <w:gridSpan w:val="3"/>
            <w:tcBorders>
              <w:top w:val="single" w:color="000000" w:sz="4" w:space="0"/>
              <w:left w:val="single" w:color="000000" w:sz="4" w:space="0"/>
              <w:bottom w:val="single" w:color="000000" w:sz="4" w:space="0"/>
              <w:right w:val="single" w:color="000000" w:sz="4" w:space="0"/>
            </w:tcBorders>
            <w:noWrap w:val="0"/>
            <w:vAlign w:val="center"/>
          </w:tcPr>
          <w:p w14:paraId="2097F00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7858711">
        <w:tblPrEx>
          <w:tblCellMar>
            <w:top w:w="0" w:type="dxa"/>
            <w:left w:w="0" w:type="dxa"/>
            <w:bottom w:w="0" w:type="dxa"/>
            <w:right w:w="0" w:type="dxa"/>
          </w:tblCellMar>
        </w:tblPrEx>
        <w:trPr>
          <w:trHeight w:val="567" w:hRule="atLeast"/>
        </w:trPr>
        <w:tc>
          <w:tcPr>
            <w:tcW w:w="17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51A9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1269BBF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传  真</w:t>
            </w:r>
          </w:p>
        </w:tc>
        <w:tc>
          <w:tcPr>
            <w:tcW w:w="2307" w:type="dxa"/>
            <w:gridSpan w:val="4"/>
            <w:tcBorders>
              <w:top w:val="single" w:color="000000" w:sz="4" w:space="0"/>
              <w:left w:val="single" w:color="000000" w:sz="4" w:space="0"/>
              <w:bottom w:val="single" w:color="000000" w:sz="4" w:space="0"/>
              <w:right w:val="single" w:color="000000" w:sz="4" w:space="0"/>
            </w:tcBorders>
            <w:noWrap w:val="0"/>
            <w:vAlign w:val="center"/>
          </w:tcPr>
          <w:p w14:paraId="2A80F2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14:paraId="3EB2D3F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电子邮件</w:t>
            </w:r>
          </w:p>
        </w:tc>
        <w:tc>
          <w:tcPr>
            <w:tcW w:w="2342" w:type="dxa"/>
            <w:gridSpan w:val="3"/>
            <w:tcBorders>
              <w:top w:val="single" w:color="000000" w:sz="4" w:space="0"/>
              <w:left w:val="single" w:color="000000" w:sz="4" w:space="0"/>
              <w:bottom w:val="single" w:color="000000" w:sz="4" w:space="0"/>
              <w:right w:val="single" w:color="000000" w:sz="4" w:space="0"/>
            </w:tcBorders>
            <w:noWrap w:val="0"/>
            <w:vAlign w:val="center"/>
          </w:tcPr>
          <w:p w14:paraId="6C9E1FB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36CD444">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461E4CF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0C3EA73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姓名</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6AD9C7A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0" w:type="dxa"/>
            <w:gridSpan w:val="2"/>
            <w:tcBorders>
              <w:top w:val="single" w:color="000000" w:sz="4" w:space="0"/>
              <w:left w:val="single" w:color="000000" w:sz="4" w:space="0"/>
              <w:bottom w:val="single" w:color="000000" w:sz="4" w:space="0"/>
              <w:right w:val="single" w:color="000000" w:sz="4" w:space="0"/>
            </w:tcBorders>
            <w:noWrap w:val="0"/>
            <w:vAlign w:val="center"/>
          </w:tcPr>
          <w:p w14:paraId="42C4CEF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技术职称</w:t>
            </w:r>
          </w:p>
        </w:tc>
        <w:tc>
          <w:tcPr>
            <w:tcW w:w="1880" w:type="dxa"/>
            <w:gridSpan w:val="3"/>
            <w:tcBorders>
              <w:top w:val="single" w:color="000000" w:sz="4" w:space="0"/>
              <w:left w:val="single" w:color="000000" w:sz="4" w:space="0"/>
              <w:bottom w:val="single" w:color="000000" w:sz="4" w:space="0"/>
              <w:right w:val="single" w:color="000000" w:sz="4" w:space="0"/>
            </w:tcBorders>
            <w:noWrap w:val="0"/>
            <w:vAlign w:val="center"/>
          </w:tcPr>
          <w:p w14:paraId="01E513A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67BA090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电话</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A28084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489BD1C9">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297C8CE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技术负责人</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60A43F5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姓名</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67FCB1E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60" w:type="dxa"/>
            <w:gridSpan w:val="2"/>
            <w:tcBorders>
              <w:top w:val="single" w:color="000000" w:sz="4" w:space="0"/>
              <w:left w:val="single" w:color="000000" w:sz="4" w:space="0"/>
              <w:bottom w:val="single" w:color="000000" w:sz="4" w:space="0"/>
              <w:right w:val="single" w:color="000000" w:sz="4" w:space="0"/>
            </w:tcBorders>
            <w:noWrap w:val="0"/>
            <w:vAlign w:val="center"/>
          </w:tcPr>
          <w:p w14:paraId="636CFB9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技术职称</w:t>
            </w:r>
          </w:p>
        </w:tc>
        <w:tc>
          <w:tcPr>
            <w:tcW w:w="1880" w:type="dxa"/>
            <w:gridSpan w:val="3"/>
            <w:tcBorders>
              <w:top w:val="single" w:color="000000" w:sz="4" w:space="0"/>
              <w:left w:val="single" w:color="000000" w:sz="4" w:space="0"/>
              <w:bottom w:val="single" w:color="000000" w:sz="4" w:space="0"/>
              <w:right w:val="single" w:color="000000" w:sz="4" w:space="0"/>
            </w:tcBorders>
            <w:noWrap w:val="0"/>
            <w:vAlign w:val="center"/>
          </w:tcPr>
          <w:p w14:paraId="559EE6B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41CC2D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电话</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51325B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5D8ECB1D">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168F811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成立时间</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239E8E3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991" w:type="dxa"/>
            <w:gridSpan w:val="7"/>
            <w:tcBorders>
              <w:top w:val="single" w:color="000000" w:sz="4" w:space="0"/>
              <w:left w:val="single" w:color="000000" w:sz="4" w:space="0"/>
              <w:bottom w:val="single" w:color="000000" w:sz="4" w:space="0"/>
              <w:right w:val="single" w:color="000000" w:sz="4" w:space="0"/>
            </w:tcBorders>
            <w:noWrap w:val="0"/>
            <w:vAlign w:val="center"/>
          </w:tcPr>
          <w:p w14:paraId="368727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员工总人数</w:t>
            </w:r>
            <w:r>
              <w:rPr>
                <w:rFonts w:hint="eastAsia" w:ascii="Times New Roman" w:hAnsi="Times New Roman"/>
                <w:smallCaps w:val="0"/>
                <w:color w:val="000000" w:themeColor="text1"/>
                <w:highlight w:val="none"/>
                <w:lang w:eastAsia="zh-CN"/>
                <w14:textFill>
                  <w14:solidFill>
                    <w14:schemeClr w14:val="tx1"/>
                  </w14:solidFill>
                </w14:textFill>
              </w:rPr>
              <w:t>：</w:t>
            </w:r>
          </w:p>
        </w:tc>
      </w:tr>
      <w:tr w14:paraId="76443F60">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2E7C0D6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企业资质等级</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5BC83B0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E48363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其中</w:t>
            </w: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35D007A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p w14:paraId="717BE29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（或注册建造师）</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270DED8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5F7C6CA4">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652B53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统一社会信用代码</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0F2941D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B929D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4C4CA24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高级职称人员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3286810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36DC6B47">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169B964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注册资本</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5A49B0D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082B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523DCED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中级职称人员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38C1F01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4B39C140">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601C46D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基本账户开户银行</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1AAC9A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5D8A7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4D52CA6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初级职称人员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3C21D1A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4F86AF0">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6DB2981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基本账户银行账号</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0E3D453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32D09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339320B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        工</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30279A8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A3531FA">
        <w:tblPrEx>
          <w:tblCellMar>
            <w:top w:w="0" w:type="dxa"/>
            <w:left w:w="0" w:type="dxa"/>
            <w:bottom w:w="0" w:type="dxa"/>
            <w:right w:w="0" w:type="dxa"/>
          </w:tblCellMar>
        </w:tblPrEx>
        <w:trPr>
          <w:trHeight w:val="807" w:hRule="atLeast"/>
        </w:trPr>
        <w:tc>
          <w:tcPr>
            <w:tcW w:w="1728" w:type="dxa"/>
            <w:tcBorders>
              <w:top w:val="single" w:color="000000" w:sz="4" w:space="0"/>
              <w:left w:val="single" w:color="000000" w:sz="4" w:space="0"/>
              <w:bottom w:val="single" w:color="auto" w:sz="4" w:space="0"/>
              <w:right w:val="single" w:color="000000" w:sz="4" w:space="0"/>
            </w:tcBorders>
            <w:noWrap w:val="0"/>
            <w:vAlign w:val="center"/>
          </w:tcPr>
          <w:p w14:paraId="51EE4F0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经营范围</w:t>
            </w:r>
          </w:p>
        </w:tc>
        <w:tc>
          <w:tcPr>
            <w:tcW w:w="6840" w:type="dxa"/>
            <w:gridSpan w:val="9"/>
            <w:tcBorders>
              <w:top w:val="single" w:color="000000" w:sz="4" w:space="0"/>
              <w:left w:val="single" w:color="000000" w:sz="4" w:space="0"/>
              <w:bottom w:val="single" w:color="auto" w:sz="4" w:space="0"/>
              <w:right w:val="single" w:color="000000" w:sz="4" w:space="0"/>
            </w:tcBorders>
            <w:noWrap w:val="0"/>
            <w:vAlign w:val="center"/>
          </w:tcPr>
          <w:p w14:paraId="3CCAE319">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51AAF77A">
        <w:tblPrEx>
          <w:tblCellMar>
            <w:top w:w="0" w:type="dxa"/>
            <w:left w:w="0" w:type="dxa"/>
            <w:bottom w:w="0" w:type="dxa"/>
            <w:right w:w="0" w:type="dxa"/>
          </w:tblCellMar>
        </w:tblPrEx>
        <w:trPr>
          <w:trHeight w:val="2121" w:hRule="atLeast"/>
        </w:trPr>
        <w:tc>
          <w:tcPr>
            <w:tcW w:w="1728" w:type="dxa"/>
            <w:tcBorders>
              <w:top w:val="single" w:color="000000" w:sz="4" w:space="0"/>
              <w:left w:val="single" w:color="000000" w:sz="4" w:space="0"/>
              <w:bottom w:val="single" w:color="auto" w:sz="4" w:space="0"/>
              <w:right w:val="single" w:color="000000" w:sz="4" w:space="0"/>
            </w:tcBorders>
            <w:noWrap w:val="0"/>
            <w:vAlign w:val="center"/>
          </w:tcPr>
          <w:p w14:paraId="378B38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投标人关联</w:t>
            </w:r>
          </w:p>
          <w:p w14:paraId="3D4755D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企业情况</w:t>
            </w:r>
          </w:p>
        </w:tc>
        <w:tc>
          <w:tcPr>
            <w:tcW w:w="6840" w:type="dxa"/>
            <w:gridSpan w:val="9"/>
            <w:tcBorders>
              <w:top w:val="single" w:color="000000" w:sz="4" w:space="0"/>
              <w:left w:val="single" w:color="000000" w:sz="4" w:space="0"/>
              <w:bottom w:val="single" w:color="auto" w:sz="4" w:space="0"/>
              <w:right w:val="single" w:color="000000" w:sz="4" w:space="0"/>
            </w:tcBorders>
            <w:noWrap w:val="0"/>
            <w:vAlign w:val="center"/>
          </w:tcPr>
          <w:p w14:paraId="3D0BE3CB">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投标人应提供关联企业情况，包括</w:t>
            </w:r>
            <w:r>
              <w:rPr>
                <w:rFonts w:hint="eastAsia" w:ascii="Times New Roman" w:hAnsi="Times New Roman"/>
                <w:smallCaps w:val="0"/>
                <w:color w:val="000000" w:themeColor="text1"/>
                <w:highlight w:val="none"/>
                <w:lang w:eastAsia="zh-CN"/>
                <w14:textFill>
                  <w14:solidFill>
                    <w14:schemeClr w14:val="tx1"/>
                  </w14:solidFill>
                </w14:textFill>
              </w:rPr>
              <w:t>：</w:t>
            </w:r>
          </w:p>
          <w:p w14:paraId="503DA32D">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（1）投标人的所有股东名称及相应股权（出资额）比例；如投标人为上市公司，投标人应提供股权占公司股份总数__%以上的所有股东名称及相应股权比例；</w:t>
            </w:r>
          </w:p>
          <w:p w14:paraId="54BA244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（2）投标人投资（控股）或管理的下属企业名称、持有股权（出资额）比例；</w:t>
            </w:r>
          </w:p>
          <w:p w14:paraId="286DA2B1">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（3）与投标人单位负责人（即法定代表人）为同一人的其他单位名称。</w:t>
            </w:r>
          </w:p>
        </w:tc>
      </w:tr>
      <w:tr w14:paraId="50F512D3">
        <w:tblPrEx>
          <w:tblCellMar>
            <w:top w:w="0" w:type="dxa"/>
            <w:left w:w="0" w:type="dxa"/>
            <w:bottom w:w="0" w:type="dxa"/>
            <w:right w:w="0" w:type="dxa"/>
          </w:tblCellMar>
        </w:tblPrEx>
        <w:trPr>
          <w:trHeight w:val="692"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5D422F9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c>
          <w:tcPr>
            <w:tcW w:w="6840" w:type="dxa"/>
            <w:gridSpan w:val="9"/>
            <w:tcBorders>
              <w:top w:val="single" w:color="auto" w:sz="4" w:space="0"/>
              <w:left w:val="single" w:color="auto" w:sz="4" w:space="0"/>
              <w:bottom w:val="single" w:color="auto" w:sz="4" w:space="0"/>
              <w:right w:val="single" w:color="auto" w:sz="4" w:space="0"/>
            </w:tcBorders>
            <w:noWrap w:val="0"/>
            <w:vAlign w:val="center"/>
          </w:tcPr>
          <w:p w14:paraId="55CBA627">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bookmarkEnd w:id="1461"/>
      <w:bookmarkEnd w:id="1462"/>
    </w:tbl>
    <w:p w14:paraId="2D361F36">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投标人应根据招标文件第二章“投标人须知”前附表附录1的要求在本表后附资质证书副本、安全生产许可证、营业执照副本等材料。接受联合体的，联合体成员分别填写。</w:t>
      </w:r>
      <w:r>
        <w:rPr>
          <w:rFonts w:hint="eastAsia" w:ascii="Times New Roman" w:hAnsi="Times New Roman"/>
          <w:smallCaps w:val="0"/>
          <w:color w:val="000000" w:themeColor="text1"/>
          <w:highlight w:val="none"/>
          <w:lang w:eastAsia="zh-CN"/>
          <w14:textFill>
            <w14:solidFill>
              <w14:schemeClr w14:val="tx1"/>
            </w14:solidFill>
          </w14:textFill>
        </w:rPr>
        <w:t>有关证明材料必须放在本章节。</w:t>
      </w:r>
    </w:p>
    <w:p w14:paraId="3B699E95">
      <w:pPr>
        <w:pStyle w:val="72"/>
        <w:pageBreakBefore w:val="0"/>
        <w:numPr>
          <w:ilvl w:val="0"/>
          <w:numId w:val="11"/>
        </w:numPr>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eastAsia="宋体" w:cs="宋体"/>
          <w:smallCaps w:val="0"/>
          <w:color w:val="000000" w:themeColor="text1"/>
          <w:szCs w:val="22"/>
          <w:highlight w:val="none"/>
          <w14:textFill>
            <w14:solidFill>
              <w14:schemeClr w14:val="tx1"/>
            </w14:solidFill>
          </w14:textFill>
        </w:rPr>
        <w:br w:type="page"/>
      </w:r>
      <w:bookmarkStart w:id="1463" w:name="_Toc535241087"/>
      <w:bookmarkStart w:id="1464" w:name="_Toc535241133"/>
      <w:bookmarkStart w:id="1465" w:name="_Toc535241230"/>
      <w:r>
        <w:rPr>
          <w:rFonts w:hint="eastAsia" w:ascii="Times New Roman" w:hAnsi="Times New Roman"/>
          <w:smallCaps w:val="0"/>
          <w:color w:val="000000" w:themeColor="text1"/>
          <w:highlight w:val="none"/>
          <w14:textFill>
            <w14:solidFill>
              <w14:schemeClr w14:val="tx1"/>
            </w14:solidFill>
          </w14:textFill>
        </w:rPr>
        <w:t>近年财务状况</w:t>
      </w:r>
    </w:p>
    <w:p w14:paraId="684E602B">
      <w:pPr>
        <w:pStyle w:val="72"/>
        <w:pageBreakBefore w:val="0"/>
        <w:numPr>
          <w:ilvl w:val="0"/>
          <w:numId w:val="0"/>
        </w:numPr>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（格式自拟）</w:t>
      </w:r>
    </w:p>
    <w:p w14:paraId="6C54FC7D">
      <w:pPr>
        <w:pageBreakBefore w:val="0"/>
        <w:kinsoku/>
        <w:wordWrap w:val="0"/>
        <w:overflowPunct/>
        <w:bidi w:val="0"/>
        <w:rPr>
          <w:rFonts w:hint="eastAsia" w:ascii="Times New Roman" w:hAnsi="Times New Roman" w:cs="宋体"/>
          <w:smallCaps w:val="0"/>
          <w:color w:val="000000" w:themeColor="text1"/>
          <w:highlight w:val="none"/>
          <w14:textFill>
            <w14:solidFill>
              <w14:schemeClr w14:val="tx1"/>
            </w14:solidFill>
          </w14:textFill>
        </w:rPr>
      </w:pPr>
    </w:p>
    <w:bookmarkEnd w:id="1463"/>
    <w:bookmarkEnd w:id="1464"/>
    <w:bookmarkEnd w:id="1465"/>
    <w:p w14:paraId="50A104FF">
      <w:pPr>
        <w:pageBreakBefore w:val="0"/>
        <w:kinsoku/>
        <w:wordWrap w:val="0"/>
        <w:overflowPunct/>
        <w:bidi w:val="0"/>
        <w:rPr>
          <w:rFonts w:hint="eastAsia" w:ascii="Times New Roman" w:hAnsi="Times New Roman" w:eastAsia="宋体" w:cs="宋体"/>
          <w:bCs/>
          <w:smallCap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bCs/>
          <w:smallCaps w:val="0"/>
          <w:color w:val="000000" w:themeColor="text1"/>
          <w:sz w:val="24"/>
          <w:szCs w:val="24"/>
          <w:highlight w:val="none"/>
          <w:lang w:eastAsia="zh-CN"/>
          <w14:textFill>
            <w14:solidFill>
              <w14:schemeClr w14:val="tx1"/>
            </w14:solidFill>
          </w14:textFill>
        </w:rPr>
        <w:br w:type="page"/>
      </w:r>
    </w:p>
    <w:p w14:paraId="526530A7">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三</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投标人业绩基本情况表（资格审查）</w:t>
      </w:r>
    </w:p>
    <w:p w14:paraId="70AFE5D6">
      <w:pPr>
        <w:pageBreakBefore w:val="0"/>
        <w:kinsoku/>
        <w:wordWrap w:val="0"/>
        <w:overflowPunct/>
        <w:bidi w:val="0"/>
        <w:jc w:val="center"/>
        <w:rPr>
          <w:rFonts w:hint="eastAsia" w:ascii="Times New Roman" w:hAnsi="Times New Roman" w:eastAsia="宋体" w:cs="宋体"/>
          <w:bCs/>
          <w:smallCaps w:val="0"/>
          <w:color w:val="000000" w:themeColor="text1"/>
          <w:sz w:val="24"/>
          <w:szCs w:val="24"/>
          <w:highlight w:val="none"/>
          <w14:textFill>
            <w14:solidFill>
              <w14:schemeClr w14:val="tx1"/>
            </w14:solidFill>
          </w14:textFill>
        </w:rPr>
      </w:pP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7"/>
        <w:gridCol w:w="6364"/>
        <w:gridCol w:w="1250"/>
      </w:tblGrid>
      <w:tr w14:paraId="0637D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082FEF2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业绩序号</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537124C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项目名称（合同名称）</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776421B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70DEA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7B2BC7E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28A3C8C6">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eastAsia="宋体" w:cs="宋体"/>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0221AE21">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eastAsia="宋体" w:cs="宋体"/>
                <w:smallCaps w:val="0"/>
                <w:color w:val="000000" w:themeColor="text1"/>
                <w:highlight w:val="none"/>
                <w14:textFill>
                  <w14:solidFill>
                    <w14:schemeClr w14:val="tx1"/>
                  </w14:solidFill>
                </w14:textFill>
              </w:rPr>
            </w:pPr>
          </w:p>
        </w:tc>
      </w:tr>
      <w:tr w14:paraId="77211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6266B15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001AA4E9">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eastAsia="宋体" w:cs="宋体"/>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085C7603">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eastAsia="宋体" w:cs="宋体"/>
                <w:smallCaps w:val="0"/>
                <w:color w:val="000000" w:themeColor="text1"/>
                <w:highlight w:val="none"/>
                <w14:textFill>
                  <w14:solidFill>
                    <w14:schemeClr w14:val="tx1"/>
                  </w14:solidFill>
                </w14:textFill>
              </w:rPr>
            </w:pPr>
          </w:p>
        </w:tc>
      </w:tr>
      <w:tr w14:paraId="5DE0E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6EAE10C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6C95A9FF">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eastAsia="宋体" w:cs="宋体"/>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3AF103F0">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eastAsia="宋体" w:cs="宋体"/>
                <w:smallCaps w:val="0"/>
                <w:color w:val="000000" w:themeColor="text1"/>
                <w:highlight w:val="none"/>
                <w14:textFill>
                  <w14:solidFill>
                    <w14:schemeClr w14:val="tx1"/>
                  </w14:solidFill>
                </w14:textFill>
              </w:rPr>
            </w:pPr>
          </w:p>
        </w:tc>
      </w:tr>
    </w:tbl>
    <w:p w14:paraId="2E35DDEF">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p>
    <w:p w14:paraId="1A6B9141">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1.投标人应将用于资格审查的投标人业绩在上表中列明，按照列明</w:t>
      </w:r>
      <w:r>
        <w:rPr>
          <w:rFonts w:ascii="Times New Roman" w:hAnsi="Times New Roman"/>
          <w:smallCaps w:val="0"/>
          <w:color w:val="000000" w:themeColor="text1"/>
          <w:highlight w:val="none"/>
          <w14:textFill>
            <w14:solidFill>
              <w14:schemeClr w14:val="tx1"/>
            </w14:solidFill>
          </w14:textFill>
        </w:rPr>
        <w:t>的</w:t>
      </w:r>
      <w:r>
        <w:rPr>
          <w:rFonts w:hint="eastAsia" w:ascii="Times New Roman" w:hAnsi="Times New Roman"/>
          <w:smallCaps w:val="0"/>
          <w:color w:val="000000" w:themeColor="text1"/>
          <w:highlight w:val="none"/>
          <w14:textFill>
            <w14:solidFill>
              <w14:schemeClr w14:val="tx1"/>
            </w14:solidFill>
          </w14:textFill>
        </w:rPr>
        <w:t>业绩序号先后</w:t>
      </w:r>
      <w:r>
        <w:rPr>
          <w:rFonts w:ascii="Times New Roman" w:hAnsi="Times New Roman"/>
          <w:smallCaps w:val="0"/>
          <w:color w:val="000000" w:themeColor="text1"/>
          <w:highlight w:val="none"/>
          <w14:textFill>
            <w14:solidFill>
              <w14:schemeClr w14:val="tx1"/>
            </w14:solidFill>
          </w14:textFill>
        </w:rPr>
        <w:t>顺序</w:t>
      </w:r>
      <w:r>
        <w:rPr>
          <w:rFonts w:hint="eastAsia" w:ascii="Times New Roman" w:hAnsi="Times New Roman"/>
          <w:smallCaps w:val="0"/>
          <w:color w:val="000000" w:themeColor="text1"/>
          <w:highlight w:val="none"/>
          <w14:textFill>
            <w14:solidFill>
              <w14:schemeClr w14:val="tx1"/>
            </w14:solidFill>
          </w14:textFill>
        </w:rPr>
        <w:t>依次填写“投标人</w:t>
      </w:r>
      <w:r>
        <w:rPr>
          <w:rFonts w:hint="eastAsia" w:ascii="Times New Roman" w:hAnsi="Times New Roman"/>
          <w:smallCaps w:val="0"/>
          <w:color w:val="000000" w:themeColor="text1"/>
          <w:highlight w:val="none"/>
          <w:lang w:eastAsia="zh-CN"/>
          <w14:textFill>
            <w14:solidFill>
              <w14:schemeClr w14:val="tx1"/>
            </w14:solidFill>
          </w14:textFill>
        </w:rPr>
        <w:t>近年完成的类似项目情况</w:t>
      </w:r>
      <w:r>
        <w:rPr>
          <w:rFonts w:ascii="Times New Roman" w:hAnsi="Times New Roman"/>
          <w:smallCaps w:val="0"/>
          <w:color w:val="000000" w:themeColor="text1"/>
          <w:highlight w:val="none"/>
          <w14:textFill>
            <w14:solidFill>
              <w14:schemeClr w14:val="tx1"/>
            </w14:solidFill>
          </w14:textFill>
        </w:rPr>
        <w:t>表</w:t>
      </w:r>
      <w:r>
        <w:rPr>
          <w:rFonts w:hint="eastAsia" w:ascii="Times New Roman" w:hAnsi="Times New Roman"/>
          <w:smallCaps w:val="0"/>
          <w:color w:val="000000" w:themeColor="text1"/>
          <w:highlight w:val="none"/>
          <w14:textFill>
            <w14:solidFill>
              <w14:schemeClr w14:val="tx1"/>
            </w14:solidFill>
          </w14:textFill>
        </w:rPr>
        <w:t>（资格</w:t>
      </w:r>
      <w:r>
        <w:rPr>
          <w:rFonts w:ascii="Times New Roman" w:hAnsi="Times New Roman"/>
          <w:smallCaps w:val="0"/>
          <w:color w:val="000000" w:themeColor="text1"/>
          <w:highlight w:val="none"/>
          <w14:textFill>
            <w14:solidFill>
              <w14:schemeClr w14:val="tx1"/>
            </w14:solidFill>
          </w14:textFill>
        </w:rPr>
        <w:t>审查</w:t>
      </w:r>
      <w:r>
        <w:rPr>
          <w:rFonts w:hint="eastAsia" w:ascii="Times New Roman" w:hAnsi="Times New Roman"/>
          <w:smallCaps w:val="0"/>
          <w:color w:val="000000" w:themeColor="text1"/>
          <w:highlight w:val="none"/>
          <w14:textFill>
            <w14:solidFill>
              <w14:schemeClr w14:val="tx1"/>
            </w14:solidFill>
          </w14:textFill>
        </w:rPr>
        <w:t>）”，并附相应业绩证明材料。</w:t>
      </w:r>
    </w:p>
    <w:p w14:paraId="0247647B">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2.评标</w:t>
      </w:r>
      <w:r>
        <w:rPr>
          <w:rFonts w:ascii="Times New Roman" w:hAnsi="Times New Roman"/>
          <w:smallCaps w:val="0"/>
          <w:color w:val="000000" w:themeColor="text1"/>
          <w:highlight w:val="none"/>
          <w14:textFill>
            <w14:solidFill>
              <w14:schemeClr w14:val="tx1"/>
            </w14:solidFill>
          </w14:textFill>
        </w:rPr>
        <w:t>委员会应当按照上表</w:t>
      </w:r>
      <w:r>
        <w:rPr>
          <w:rFonts w:hint="eastAsia" w:ascii="Times New Roman" w:hAnsi="Times New Roman"/>
          <w:smallCaps w:val="0"/>
          <w:color w:val="000000" w:themeColor="text1"/>
          <w:highlight w:val="none"/>
          <w14:textFill>
            <w14:solidFill>
              <w14:schemeClr w14:val="tx1"/>
            </w14:solidFill>
          </w14:textFill>
        </w:rPr>
        <w:t>列明</w:t>
      </w:r>
      <w:r>
        <w:rPr>
          <w:rFonts w:ascii="Times New Roman" w:hAnsi="Times New Roman"/>
          <w:smallCaps w:val="0"/>
          <w:color w:val="000000" w:themeColor="text1"/>
          <w:highlight w:val="none"/>
          <w14:textFill>
            <w14:solidFill>
              <w14:schemeClr w14:val="tx1"/>
            </w14:solidFill>
          </w14:textFill>
        </w:rPr>
        <w:t>的</w:t>
      </w:r>
      <w:r>
        <w:rPr>
          <w:rFonts w:hint="eastAsia" w:ascii="Times New Roman" w:hAnsi="Times New Roman"/>
          <w:smallCaps w:val="0"/>
          <w:color w:val="000000" w:themeColor="text1"/>
          <w:highlight w:val="none"/>
          <w14:textFill>
            <w14:solidFill>
              <w14:schemeClr w14:val="tx1"/>
            </w14:solidFill>
          </w14:textFill>
        </w:rPr>
        <w:t>业绩序号先后</w:t>
      </w:r>
      <w:r>
        <w:rPr>
          <w:rFonts w:ascii="Times New Roman" w:hAnsi="Times New Roman"/>
          <w:smallCaps w:val="0"/>
          <w:color w:val="000000" w:themeColor="text1"/>
          <w:highlight w:val="none"/>
          <w14:textFill>
            <w14:solidFill>
              <w14:schemeClr w14:val="tx1"/>
            </w14:solidFill>
          </w14:textFill>
        </w:rPr>
        <w:t>顺序</w:t>
      </w:r>
      <w:r>
        <w:rPr>
          <w:rFonts w:hint="eastAsia" w:ascii="Times New Roman" w:hAnsi="Times New Roman"/>
          <w:smallCaps w:val="0"/>
          <w:color w:val="000000" w:themeColor="text1"/>
          <w:highlight w:val="none"/>
          <w14:textFill>
            <w14:solidFill>
              <w14:schemeClr w14:val="tx1"/>
            </w14:solidFill>
          </w14:textFill>
        </w:rPr>
        <w:t>依次</w:t>
      </w:r>
      <w:r>
        <w:rPr>
          <w:rFonts w:ascii="Times New Roman" w:hAnsi="Times New Roman"/>
          <w:smallCaps w:val="0"/>
          <w:color w:val="000000" w:themeColor="text1"/>
          <w:highlight w:val="none"/>
          <w14:textFill>
            <w14:solidFill>
              <w14:schemeClr w14:val="tx1"/>
            </w14:solidFill>
          </w14:textFill>
        </w:rPr>
        <w:t>进行评审，</w:t>
      </w:r>
      <w:r>
        <w:rPr>
          <w:rFonts w:hint="eastAsia" w:ascii="Times New Roman" w:hAnsi="Times New Roman"/>
          <w:smallCaps w:val="0"/>
          <w:color w:val="000000" w:themeColor="text1"/>
          <w:highlight w:val="none"/>
          <w14:textFill>
            <w14:solidFill>
              <w14:schemeClr w14:val="tx1"/>
            </w14:solidFill>
          </w14:textFill>
        </w:rPr>
        <w:t>且仅评审“附录3  资格审查条件（业绩最低要求）”规定数量的业绩，超出规定数量部分或未在上表列明的业绩均不作为资格审查投标人业绩予以评审。</w:t>
      </w:r>
    </w:p>
    <w:p w14:paraId="58EED25C">
      <w:pPr>
        <w:pageBreakBefore w:val="0"/>
        <w:kinsoku/>
        <w:wordWrap w:val="0"/>
        <w:overflowPunct/>
        <w:bidi w:val="0"/>
        <w:spacing w:line="360" w:lineRule="auto"/>
        <w:ind w:firstLine="3600" w:firstLineChars="1500"/>
        <w:rPr>
          <w:rFonts w:hint="eastAsia" w:ascii="Times New Roman" w:hAnsi="Times New Roman"/>
          <w:smallCaps w:val="0"/>
          <w:color w:val="000000" w:themeColor="text1"/>
          <w:highlight w:val="none"/>
          <w14:textFill>
            <w14:solidFill>
              <w14:schemeClr w14:val="tx1"/>
            </w14:solidFill>
          </w14:textFill>
        </w:rPr>
      </w:pPr>
    </w:p>
    <w:p w14:paraId="3E97ECEB">
      <w:pPr>
        <w:pageBreakBefore w:val="0"/>
        <w:kinsoku/>
        <w:wordWrap w:val="0"/>
        <w:overflowPunct/>
        <w:bidi w:val="0"/>
        <w:spacing w:line="360" w:lineRule="auto"/>
        <w:ind w:firstLine="3600" w:firstLineChars="1500"/>
        <w:rPr>
          <w:rFonts w:hint="eastAsia" w:ascii="Times New Roman" w:hAnsi="Times New Roman"/>
          <w:smallCaps w:val="0"/>
          <w:color w:val="000000" w:themeColor="text1"/>
          <w:highlight w:val="none"/>
          <w14:textFill>
            <w14:solidFill>
              <w14:schemeClr w14:val="tx1"/>
            </w14:solidFill>
          </w14:textFill>
        </w:rPr>
      </w:pPr>
    </w:p>
    <w:p w14:paraId="2E57246F">
      <w:pPr>
        <w:pageBreakBefore w:val="0"/>
        <w:kinsoku/>
        <w:wordWrap w:val="0"/>
        <w:overflowPunct/>
        <w:bidi w:val="0"/>
        <w:spacing w:line="360" w:lineRule="auto"/>
        <w:ind w:firstLine="3600" w:firstLineChars="1500"/>
        <w:rPr>
          <w:rFonts w:hint="eastAsia" w:ascii="Times New Roman" w:hAnsi="Times New Roman"/>
          <w:smallCaps w:val="0"/>
          <w:color w:val="000000" w:themeColor="text1"/>
          <w:highlight w:val="none"/>
          <w14:textFill>
            <w14:solidFill>
              <w14:schemeClr w14:val="tx1"/>
            </w14:solidFill>
          </w14:textFill>
        </w:rPr>
      </w:pPr>
    </w:p>
    <w:p w14:paraId="13F4FB44">
      <w:pPr>
        <w:pStyle w:val="79"/>
        <w:pageBreakBefore w:val="0"/>
        <w:kinsoku/>
        <w:wordWrap w:val="0"/>
        <w:overflowPunct/>
        <w:bidi w:val="0"/>
        <w:jc w:val="right"/>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29334DC2">
      <w:pPr>
        <w:pStyle w:val="79"/>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18419ABA">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4BAEE4AA">
      <w:pPr>
        <w:pageBreakBefore w:val="0"/>
        <w:kinsoku/>
        <w:wordWrap w:val="0"/>
        <w:overflowPunct/>
        <w:bidi w:val="0"/>
        <w:jc w:val="center"/>
        <w:rPr>
          <w:rStyle w:val="73"/>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Cs/>
          <w:smallCaps w:val="0"/>
          <w:color w:val="000000" w:themeColor="text1"/>
          <w:sz w:val="24"/>
          <w:highlight w:val="none"/>
          <w14:textFill>
            <w14:solidFill>
              <w14:schemeClr w14:val="tx1"/>
            </w14:solidFill>
          </w14:textFill>
        </w:rPr>
        <w:br w:type="page"/>
      </w:r>
      <w:r>
        <w:rPr>
          <w:rStyle w:val="73"/>
          <w:rFonts w:hint="eastAsia" w:ascii="Times New Roman" w:hAnsi="Times New Roman"/>
          <w:smallCaps w:val="0"/>
          <w:color w:val="000000" w:themeColor="text1"/>
          <w:highlight w:val="none"/>
          <w14:textFill>
            <w14:solidFill>
              <w14:schemeClr w14:val="tx1"/>
            </w14:solidFill>
          </w14:textFill>
        </w:rPr>
        <w:t>投标人近年完成的类似项目情况表（资格审查）</w:t>
      </w:r>
    </w:p>
    <w:tbl>
      <w:tblPr>
        <w:tblStyle w:val="22"/>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14:paraId="3524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DAF988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194A043">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2B2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85F792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0063C83">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737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CF49D7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346050B">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24D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AD525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9A8D3DE">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9C3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7A5BF2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E1EA4A7">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FC5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828768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46A23BE">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672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BECC2B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A449D53">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C5F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92A00D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E3140F8">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266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1D5B74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竣工日期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50F5998">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BA1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83732C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承担的工作</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B210746">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F92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E4276F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工程质量</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91AF403">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30B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AABF3D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p w14:paraId="07FE543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（或注册建造师）</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011DD7C">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CF1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A1BFCA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4785CFD">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056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D41C8C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监理单位及联系电话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535AB9C">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E84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1F9C2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总监理工程师及电话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BFD77A6">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685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D18BA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177CF23">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4AC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9B81B4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695F2E3">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36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szCs w:val="22"/>
                <w:highlight w:val="none"/>
                <w14:textFill>
                  <w14:solidFill>
                    <w14:schemeClr w14:val="tx1"/>
                  </w14:solidFill>
                </w14:textFill>
              </w:rPr>
              <w:t>资格审查用业绩</w:t>
            </w:r>
          </w:p>
        </w:tc>
      </w:tr>
    </w:tbl>
    <w:p w14:paraId="74CD6CE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投标人应根据招标文件第二章“投标人须知”前附表附录3的要求在本表后附相关证明材料。</w:t>
      </w:r>
    </w:p>
    <w:p w14:paraId="45612B1D">
      <w:pPr>
        <w:pageBreakBefore w:val="0"/>
        <w:kinsoku/>
        <w:wordWrap w:val="0"/>
        <w:overflowPunct/>
        <w:bidi w:val="0"/>
        <w:rPr>
          <w:rFonts w:hint="eastAsia" w:ascii="Times New Roman" w:hAnsi="Times New Roman" w:eastAsia="宋体" w:cs="宋体"/>
          <w:bCs/>
          <w:smallCap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bCs/>
          <w:smallCaps w:val="0"/>
          <w:color w:val="000000" w:themeColor="text1"/>
          <w:sz w:val="24"/>
          <w:szCs w:val="24"/>
          <w:highlight w:val="none"/>
          <w:lang w:eastAsia="zh-CN"/>
          <w14:textFill>
            <w14:solidFill>
              <w14:schemeClr w14:val="tx1"/>
            </w14:solidFill>
          </w14:textFill>
        </w:rPr>
        <w:br w:type="page"/>
      </w:r>
    </w:p>
    <w:p w14:paraId="5558EB8A">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四</w:t>
      </w:r>
      <w:r>
        <w:rPr>
          <w:rFonts w:hint="eastAsia" w:ascii="Times New Roman" w:hAnsi="Times New Roman"/>
          <w:smallCaps w:val="0"/>
          <w:color w:val="000000" w:themeColor="text1"/>
          <w:highlight w:val="none"/>
          <w:lang w:eastAsia="zh-CN"/>
          <w14:textFill>
            <w14:solidFill>
              <w14:schemeClr w14:val="tx1"/>
            </w14:solidFill>
          </w14:textFill>
        </w:rPr>
        <w:t>）项目经理</w:t>
      </w:r>
      <w:r>
        <w:rPr>
          <w:rFonts w:hint="eastAsia" w:ascii="Times New Roman" w:hAnsi="Times New Roman"/>
          <w:smallCaps w:val="0"/>
          <w:color w:val="000000" w:themeColor="text1"/>
          <w:highlight w:val="none"/>
          <w14:textFill>
            <w14:solidFill>
              <w14:schemeClr w14:val="tx1"/>
            </w14:solidFill>
          </w14:textFill>
        </w:rPr>
        <w:t>业绩基本情况表（资格审查）</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7"/>
        <w:gridCol w:w="6364"/>
        <w:gridCol w:w="1250"/>
      </w:tblGrid>
      <w:tr w14:paraId="64DAD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200FC7C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业绩序号</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05704AE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项目名称（合同名称）</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3D51A08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33BFF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5646E25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005DD71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35A399F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51165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06A8F9D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3934DB0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1858CA2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A9C8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34AA6A8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350E970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28CE8AB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bl>
    <w:p w14:paraId="61F84320">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p>
    <w:p w14:paraId="4C9FEBA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1.投标人应将用于资格审查的</w:t>
      </w:r>
      <w:r>
        <w:rPr>
          <w:rFonts w:hint="eastAsia" w:ascii="Times New Roman" w:hAnsi="Times New Roman"/>
          <w:smallCaps w:val="0"/>
          <w:color w:val="000000" w:themeColor="text1"/>
          <w:highlight w:val="none"/>
          <w:lang w:eastAsia="zh-CN"/>
          <w14:textFill>
            <w14:solidFill>
              <w14:schemeClr w14:val="tx1"/>
            </w14:solidFill>
          </w14:textFill>
        </w:rPr>
        <w:t>项目经理</w:t>
      </w:r>
      <w:r>
        <w:rPr>
          <w:rFonts w:hint="eastAsia" w:ascii="Times New Roman" w:hAnsi="Times New Roman"/>
          <w:smallCaps w:val="0"/>
          <w:color w:val="000000" w:themeColor="text1"/>
          <w:highlight w:val="none"/>
          <w14:textFill>
            <w14:solidFill>
              <w14:schemeClr w14:val="tx1"/>
            </w14:solidFill>
          </w14:textFill>
        </w:rPr>
        <w:t>业绩在上表中列明，按照列明的业绩序号先后顺序依次填写“</w:t>
      </w:r>
      <w:r>
        <w:rPr>
          <w:rFonts w:hint="eastAsia" w:ascii="Times New Roman" w:hAnsi="Times New Roman"/>
          <w:smallCaps w:val="0"/>
          <w:color w:val="000000" w:themeColor="text1"/>
          <w:highlight w:val="none"/>
          <w:lang w:eastAsia="zh-CN"/>
          <w14:textFill>
            <w14:solidFill>
              <w14:schemeClr w14:val="tx1"/>
            </w14:solidFill>
          </w14:textFill>
        </w:rPr>
        <w:t>项目经理近年完成的类似项目情况</w:t>
      </w:r>
      <w:r>
        <w:rPr>
          <w:rFonts w:hint="eastAsia" w:ascii="Times New Roman" w:hAnsi="Times New Roman"/>
          <w:smallCaps w:val="0"/>
          <w:color w:val="000000" w:themeColor="text1"/>
          <w:highlight w:val="none"/>
          <w14:textFill>
            <w14:solidFill>
              <w14:schemeClr w14:val="tx1"/>
            </w14:solidFill>
          </w14:textFill>
        </w:rPr>
        <w:t>表（资格审查）”，并附相应业绩证明材料。</w:t>
      </w:r>
    </w:p>
    <w:p w14:paraId="2FDB467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2.评标委员会应当按照上表列明的业绩序号先后顺序依次进行评审，且仅评审“附录</w:t>
      </w:r>
      <w:r>
        <w:rPr>
          <w:rFonts w:hint="eastAsia" w:ascii="Times New Roman" w:hAnsi="Times New Roman"/>
          <w:smallCaps w:val="0"/>
          <w:color w:val="000000" w:themeColor="text1"/>
          <w:highlight w:val="none"/>
          <w:lang w:val="en-US" w:eastAsia="zh-CN"/>
          <w14:textFill>
            <w14:solidFill>
              <w14:schemeClr w14:val="tx1"/>
            </w14:solidFill>
          </w14:textFill>
        </w:rPr>
        <w:t>5</w:t>
      </w:r>
      <w:r>
        <w:rPr>
          <w:rFonts w:hint="eastAsia" w:ascii="Times New Roman" w:hAnsi="Times New Roman"/>
          <w:smallCaps w:val="0"/>
          <w:color w:val="000000" w:themeColor="text1"/>
          <w:highlight w:val="none"/>
          <w14:textFill>
            <w14:solidFill>
              <w14:schemeClr w14:val="tx1"/>
            </w14:solidFill>
          </w14:textFill>
        </w:rPr>
        <w:t xml:space="preserve">  资格审查条件（项目经理最低要求）”规定数量的业绩，超出规定数量部分或未在上表列明的业绩均不作为资格审查</w:t>
      </w:r>
      <w:r>
        <w:rPr>
          <w:rFonts w:hint="eastAsia" w:ascii="Times New Roman" w:hAnsi="Times New Roman"/>
          <w:smallCaps w:val="0"/>
          <w:color w:val="000000" w:themeColor="text1"/>
          <w:highlight w:val="none"/>
          <w:lang w:eastAsia="zh-CN"/>
          <w14:textFill>
            <w14:solidFill>
              <w14:schemeClr w14:val="tx1"/>
            </w14:solidFill>
          </w14:textFill>
        </w:rPr>
        <w:t>项目经理</w:t>
      </w:r>
      <w:r>
        <w:rPr>
          <w:rFonts w:hint="eastAsia" w:ascii="Times New Roman" w:hAnsi="Times New Roman"/>
          <w:smallCaps w:val="0"/>
          <w:color w:val="000000" w:themeColor="text1"/>
          <w:highlight w:val="none"/>
          <w14:textFill>
            <w14:solidFill>
              <w14:schemeClr w14:val="tx1"/>
            </w14:solidFill>
          </w14:textFill>
        </w:rPr>
        <w:t>业绩予以评审。</w:t>
      </w:r>
    </w:p>
    <w:p w14:paraId="0F501BF6">
      <w:pPr>
        <w:pageBreakBefore w:val="0"/>
        <w:kinsoku/>
        <w:wordWrap w:val="0"/>
        <w:overflowPunct/>
        <w:bidi w:val="0"/>
        <w:spacing w:line="360" w:lineRule="auto"/>
        <w:ind w:left="4800" w:leftChars="2000" w:right="120" w:rightChars="50"/>
        <w:jc w:val="left"/>
        <w:rPr>
          <w:rFonts w:hint="eastAsia" w:ascii="Times New Roman" w:hAnsi="Times New Roman" w:eastAsia="宋体" w:cs="宋体"/>
          <w:smallCaps w:val="0"/>
          <w:color w:val="000000" w:themeColor="text1"/>
          <w:sz w:val="21"/>
          <w:szCs w:val="21"/>
          <w:highlight w:val="none"/>
          <w14:textFill>
            <w14:solidFill>
              <w14:schemeClr w14:val="tx1"/>
            </w14:solidFill>
          </w14:textFill>
        </w:rPr>
      </w:pPr>
      <w:r>
        <w:rPr>
          <w:rFonts w:hint="eastAsia" w:ascii="Times New Roman" w:hAnsi="Times New Roman" w:eastAsia="宋体" w:cs="宋体"/>
          <w:smallCaps w:val="0"/>
          <w:color w:val="000000" w:themeColor="text1"/>
          <w:sz w:val="21"/>
          <w:szCs w:val="21"/>
          <w:highlight w:val="none"/>
          <w14:textFill>
            <w14:solidFill>
              <w14:schemeClr w14:val="tx1"/>
            </w14:solidFill>
          </w14:textFill>
        </w:rPr>
        <w:t xml:space="preserve"> </w:t>
      </w:r>
    </w:p>
    <w:p w14:paraId="5EE6DB54">
      <w:pPr>
        <w:pageBreakBefore w:val="0"/>
        <w:kinsoku/>
        <w:wordWrap w:val="0"/>
        <w:overflowPunct/>
        <w:bidi w:val="0"/>
        <w:spacing w:line="360" w:lineRule="auto"/>
        <w:ind w:firstLine="3150" w:firstLineChars="1500"/>
        <w:rPr>
          <w:rFonts w:hint="eastAsia" w:ascii="Times New Roman" w:hAnsi="Times New Roman" w:eastAsia="宋体" w:cs="宋体"/>
          <w:smallCaps w:val="0"/>
          <w:color w:val="000000" w:themeColor="text1"/>
          <w:sz w:val="21"/>
          <w:szCs w:val="21"/>
          <w:highlight w:val="none"/>
          <w14:textFill>
            <w14:solidFill>
              <w14:schemeClr w14:val="tx1"/>
            </w14:solidFill>
          </w14:textFill>
        </w:rPr>
      </w:pPr>
    </w:p>
    <w:p w14:paraId="5A419690">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734AB824">
      <w:pPr>
        <w:pStyle w:val="79"/>
        <w:pageBreakBefore w:val="0"/>
        <w:kinsoku/>
        <w:wordWrap w:val="0"/>
        <w:overflowPunct/>
        <w:bidi w:val="0"/>
        <w:jc w:val="righ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4BD2F643">
      <w:pPr>
        <w:pStyle w:val="79"/>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non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0AA5BB31">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43749AE2">
      <w:pPr>
        <w:keepNext/>
        <w:keepLines/>
        <w:pageBreakBefore w:val="0"/>
        <w:kinsoku/>
        <w:wordWrap w:val="0"/>
        <w:overflowPunct/>
        <w:bidi w:val="0"/>
        <w:spacing w:before="120" w:after="120" w:line="360" w:lineRule="auto"/>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Cs/>
          <w:smallCaps w:val="0"/>
          <w:color w:val="000000" w:themeColor="text1"/>
          <w:sz w:val="24"/>
          <w:highlight w:val="none"/>
          <w14:textFill>
            <w14:solidFill>
              <w14:schemeClr w14:val="tx1"/>
            </w14:solidFill>
          </w14:textFill>
        </w:rPr>
        <w:br w:type="page"/>
      </w:r>
      <w:r>
        <w:rPr>
          <w:rStyle w:val="73"/>
          <w:rFonts w:hint="eastAsia" w:ascii="Times New Roman" w:hAnsi="Times New Roman"/>
          <w:smallCaps w:val="0"/>
          <w:color w:val="000000" w:themeColor="text1"/>
          <w:highlight w:val="none"/>
          <w14:textFill>
            <w14:solidFill>
              <w14:schemeClr w14:val="tx1"/>
            </w14:solidFill>
          </w14:textFill>
        </w:rPr>
        <w:t>项目经理近年完成的类似项目情况表（资格审查）</w:t>
      </w:r>
    </w:p>
    <w:tbl>
      <w:tblPr>
        <w:tblStyle w:val="22"/>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14:paraId="2D24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6258A2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A8C10A6">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E6B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63AFDD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939FECD">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FCE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203C42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330CF04">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848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0D3D04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CD61C05">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8CA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0A1EDD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FDEA312">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8C8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3691E1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B206755">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88C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2C8A62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AE72C4F">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4FB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E883B4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245C054">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105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66FAA4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竣工日期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FA2BADD">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E68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AA8EDB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承担的工作</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5AB3729">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798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46A560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工程质量</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2AC7825">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188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C3DAC6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p w14:paraId="371FF8D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（或注册建造师）</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D08808A">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433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129021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83298AD">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982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5C4F12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监理单位及联系电话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575CBA4">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A9D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F2489E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总监理工程师及电话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A2EE4BF">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9FD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79A1B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3E642AC">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B1E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AEC954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934FE7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资格审查用业绩</w:t>
            </w:r>
          </w:p>
        </w:tc>
      </w:tr>
    </w:tbl>
    <w:p w14:paraId="0403D3F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投标人应根据招标文件第二章“投标人须知”前附表附录5的要求在本表后附相关证明材料。</w:t>
      </w:r>
    </w:p>
    <w:p w14:paraId="10A4B5E3">
      <w:pPr>
        <w:pageBreakBefore w:val="0"/>
        <w:kinsoku/>
        <w:wordWrap w:val="0"/>
        <w:overflowPunct/>
        <w:bidi w:val="0"/>
        <w:rPr>
          <w:rFonts w:hint="eastAsia" w:ascii="Times New Roman" w:hAnsi="Times New Roman" w:eastAsia="宋体" w:cs="宋体"/>
          <w:smallCaps w:val="0"/>
          <w:color w:val="000000" w:themeColor="text1"/>
          <w:highlight w:val="none"/>
          <w14:textFill>
            <w14:solidFill>
              <w14:schemeClr w14:val="tx1"/>
            </w14:solidFill>
          </w14:textFill>
        </w:rPr>
      </w:pPr>
      <w:r>
        <w:rPr>
          <w:rFonts w:hint="eastAsia" w:ascii="Times New Roman" w:hAnsi="Times New Roman" w:eastAsia="宋体" w:cs="宋体"/>
          <w:smallCaps w:val="0"/>
          <w:color w:val="000000" w:themeColor="text1"/>
          <w:highlight w:val="none"/>
          <w14:textFill>
            <w14:solidFill>
              <w14:schemeClr w14:val="tx1"/>
            </w14:solidFill>
          </w14:textFill>
        </w:rPr>
        <w:br w:type="page"/>
      </w:r>
    </w:p>
    <w:p w14:paraId="14885795">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（五）投标人信誉情况</w:t>
      </w:r>
    </w:p>
    <w:p w14:paraId="093785EA">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如承诺与实际不符，则视为投标人弄虚作假骗取中标</w:t>
      </w:r>
      <w:r>
        <w:rPr>
          <w:rFonts w:hint="eastAsia" w:ascii="Times New Roman" w:hAnsi="Times New Roman"/>
          <w:smallCaps w:val="0"/>
          <w:color w:val="000000" w:themeColor="text1"/>
          <w:highlight w:val="none"/>
          <w:lang w:val="en-US" w:eastAsia="zh-CN"/>
          <w14:textFill>
            <w14:solidFill>
              <w14:schemeClr w14:val="tx1"/>
            </w14:solidFill>
          </w14:textFill>
        </w:rPr>
        <w:t>，将被取消投标或中标资格并移交招标投标监督管理部门处理，给招标人造成损失的，依法承担赔偿责任。</w:t>
      </w:r>
    </w:p>
    <w:p w14:paraId="3378C75D">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p>
    <w:p w14:paraId="4A9A8B0E">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p>
    <w:p w14:paraId="24FB41CD">
      <w:pPr>
        <w:pageBreakBefore w:val="0"/>
        <w:kinsoku/>
        <w:wordWrap w:val="0"/>
        <w:overflowPunct/>
        <w:bidi w:val="0"/>
        <w:spacing w:line="360" w:lineRule="auto"/>
        <w:jc w:val="center"/>
        <w:rPr>
          <w:rFonts w:ascii="宋体" w:hAnsi="宋体" w:cs="宋体"/>
          <w:color w:val="000000" w:themeColor="text1"/>
          <w:sz w:val="32"/>
          <w:szCs w:val="32"/>
          <w:highlight w:val="none"/>
          <w:u w:val="singl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投标人信誉承诺书</w:t>
      </w:r>
    </w:p>
    <w:p w14:paraId="7B8E73B7">
      <w:pPr>
        <w:pageBreakBefore w:val="0"/>
        <w:kinsoku/>
        <w:wordWrap w:val="0"/>
        <w:overflowPunct/>
        <w:bidi w:val="0"/>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本企业郑重承诺：</w:t>
      </w:r>
    </w:p>
    <w:p w14:paraId="6D6EB093">
      <w:pPr>
        <w:pStyle w:val="6"/>
        <w:pageBreakBefore w:val="0"/>
        <w:kinsoku/>
        <w:wordWrap w:val="0"/>
        <w:overflowPunct/>
        <w:bidi w:val="0"/>
        <w:spacing w:line="360" w:lineRule="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我公司在投标截止时间前不存在以下几种情形，同时我公司符合招标文件中对信誉要求的全部规定，不存在“投标人须知”1.4.3及1.4.4中所列情形。否则我公司将接受联合惩戒，中标无效</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如我方存在不实承诺的，视为弄虚作假，可依法追究我方法律责任。</w:t>
      </w:r>
    </w:p>
    <w:p w14:paraId="767F06F7">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、被最高人民法院在“执行信息公开网”网站</w:t>
      </w:r>
      <w:r>
        <w:rPr>
          <w:rFonts w:hint="eastAsia"/>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http://zxgk.court.gov.cn/）</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列入“失信被执行人”名单；</w:t>
      </w:r>
    </w:p>
    <w:p w14:paraId="77F6ABBD">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、被国家市场监督管理部门在国家企业信用信息公示系统（www.gsxt.gov.cn）中列入严重违法失信企业名单</w:t>
      </w: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w:t>
      </w:r>
    </w:p>
    <w:p w14:paraId="02678C6C">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、被全国建筑市场监管公共服务平台（jzsc.mohurd.gov.cn）列入“黑名单记录”（</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以</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全国建筑市场监管公共服务平台“黑名单记录”里的企业查询网页截图）</w:t>
      </w:r>
    </w:p>
    <w:p w14:paraId="55917903">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4、被全国建筑市场监管公共服务平台（jzsc.mohurd.gov.cn）标记为“资质异常”企业（以全国建筑市场监管公共服务平台“动态核查”里的企业查询网页截图为准）。</w:t>
      </w:r>
    </w:p>
    <w:p w14:paraId="33D3A92A">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5、我方在开标日前（含当日）24个月内被淮南市及其所辖县、区（园区）行业主管部门以串通投标、弄虚作假、出借资质、转包、违法分包等违法违规行为进行行政处罚（以行政处罚决定书下达日期为准）；我方拟派的项目经理被淮南市建设管理部门记不良行为记录且在公示期内（以公布日期为准）。</w:t>
      </w:r>
    </w:p>
    <w:p w14:paraId="44D429F7">
      <w:pPr>
        <w:pageBreakBefore w:val="0"/>
        <w:kinsoku/>
        <w:wordWrap w:val="0"/>
        <w:overflowPunct/>
        <w:bidi w:val="0"/>
        <w:spacing w:line="360" w:lineRule="auto"/>
        <w:ind w:firstLine="4320" w:firstLineChars="1800"/>
        <w:rPr>
          <w:rFonts w:ascii="宋体" w:hAnsi="宋体" w:cs="宋体"/>
          <w:color w:val="000000" w:themeColor="text1"/>
          <w:sz w:val="24"/>
          <w:szCs w:val="24"/>
          <w:highlight w:val="none"/>
          <w14:textFill>
            <w14:solidFill>
              <w14:schemeClr w14:val="tx1"/>
            </w14:solidFill>
          </w14:textFill>
        </w:rPr>
      </w:pPr>
    </w:p>
    <w:p w14:paraId="239B3772">
      <w:pPr>
        <w:pageBreakBefore w:val="0"/>
        <w:kinsoku/>
        <w:wordWrap w:val="0"/>
        <w:overflowPunct/>
        <w:bidi w:val="0"/>
        <w:spacing w:line="360" w:lineRule="auto"/>
        <w:ind w:firstLine="4320" w:firstLineChars="1800"/>
        <w:rPr>
          <w:rFonts w:ascii="宋体" w:hAnsi="宋体" w:cs="宋体"/>
          <w:color w:val="000000" w:themeColor="text1"/>
          <w:sz w:val="24"/>
          <w:szCs w:val="24"/>
          <w:highlight w:val="none"/>
          <w14:textFill>
            <w14:solidFill>
              <w14:schemeClr w14:val="tx1"/>
            </w14:solidFill>
          </w14:textFill>
        </w:rPr>
      </w:pPr>
    </w:p>
    <w:p w14:paraId="05A21DE6">
      <w:pPr>
        <w:pageBreakBefore w:val="0"/>
        <w:kinsoku/>
        <w:wordWrap w:val="0"/>
        <w:overflowPunct/>
        <w:bidi w:val="0"/>
        <w:spacing w:line="360" w:lineRule="auto"/>
        <w:ind w:firstLine="4320" w:firstLineChars="18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投标人（盖章）：         </w:t>
      </w:r>
    </w:p>
    <w:p w14:paraId="60C6DD40">
      <w:pPr>
        <w:pStyle w:val="18"/>
        <w:pageBreakBefore w:val="0"/>
        <w:widowControl w:val="0"/>
        <w:kinsoku/>
        <w:wordWrap w:val="0"/>
        <w:overflowPunct/>
        <w:bidi w:val="0"/>
        <w:spacing w:before="0" w:beforeAutospacing="0" w:after="0" w:afterAutospacing="0"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                                                年   月    日</w:t>
      </w:r>
    </w:p>
    <w:p w14:paraId="5ECA3AFB">
      <w:pPr>
        <w:pStyle w:val="79"/>
        <w:pageBreakBefore w:val="0"/>
        <w:kinsoku/>
        <w:wordWrap w:val="0"/>
        <w:overflowPunct/>
        <w:bidi w:val="0"/>
        <w:rPr>
          <w:rFonts w:hint="eastAsia" w:ascii="Times New Roman" w:hAnsi="Times New Roman"/>
          <w:smallCaps w:val="0"/>
          <w:color w:val="000000" w:themeColor="text1"/>
          <w:highlight w:val="none"/>
          <w:lang w:val="en-US" w:eastAsia="zh-CN"/>
          <w14:textFill>
            <w14:solidFill>
              <w14:schemeClr w14:val="tx1"/>
            </w14:solidFill>
          </w14:textFill>
        </w:rPr>
      </w:pPr>
    </w:p>
    <w:p w14:paraId="50A5249E">
      <w:pPr>
        <w:pageBreakBefore w:val="0"/>
        <w:kinsoku/>
        <w:wordWrap w:val="0"/>
        <w:overflowPunct/>
        <w:bidi w:val="0"/>
        <w:rPr>
          <w:rStyle w:val="80"/>
          <w:rFonts w:hint="eastAsia" w:ascii="Times New Roman" w:hAnsi="Times New Roman"/>
          <w:bCs/>
          <w:smallCaps w:val="0"/>
          <w:color w:val="000000" w:themeColor="text1"/>
          <w:highlight w:val="none"/>
          <w14:textFill>
            <w14:solidFill>
              <w14:schemeClr w14:val="tx1"/>
            </w14:solidFill>
          </w14:textFill>
        </w:rPr>
      </w:pPr>
      <w:bookmarkStart w:id="1466" w:name="_Toc421917005"/>
      <w:bookmarkStart w:id="1467" w:name="_Toc460227112"/>
      <w:bookmarkStart w:id="1468" w:name="_Toc390411625"/>
      <w:bookmarkStart w:id="1469" w:name="_Toc460660227"/>
      <w:r>
        <w:rPr>
          <w:rStyle w:val="80"/>
          <w:rFonts w:hint="eastAsia" w:ascii="Times New Roman" w:hAnsi="Times New Roman"/>
          <w:bCs/>
          <w:smallCaps w:val="0"/>
          <w:color w:val="000000" w:themeColor="text1"/>
          <w:highlight w:val="none"/>
          <w14:textFill>
            <w14:solidFill>
              <w14:schemeClr w14:val="tx1"/>
            </w14:solidFill>
          </w14:textFill>
        </w:rPr>
        <w:br w:type="page"/>
      </w:r>
    </w:p>
    <w:p w14:paraId="0C515485">
      <w:pPr>
        <w:keepNext w:val="0"/>
        <w:keepLines w:val="0"/>
        <w:pageBreakBefore w:val="0"/>
        <w:widowControl/>
        <w:kinsoku/>
        <w:wordWrap w:val="0"/>
        <w:overflowPunct/>
        <w:topLinePunct w:val="0"/>
        <w:autoSpaceDE w:val="0"/>
        <w:autoSpaceDN w:val="0"/>
        <w:bidi w:val="0"/>
        <w:adjustRightInd/>
        <w:snapToGrid/>
        <w:spacing w:line="603" w:lineRule="exact"/>
        <w:jc w:val="center"/>
        <w:textAlignment w:val="baseline"/>
        <w:outlineLvl w:val="0"/>
        <w:rPr>
          <w:rFonts w:hint="eastAsia" w:ascii="华文中宋" w:hAnsi="华文中宋" w:eastAsia="华文中宋" w:cs="华文中宋"/>
          <w:b w:val="0"/>
          <w:bCs w:val="0"/>
          <w:color w:val="000000" w:themeColor="text1"/>
          <w:spacing w:val="0"/>
          <w:w w:val="100"/>
          <w:sz w:val="36"/>
          <w:szCs w:val="36"/>
          <w:highlight w:val="none"/>
          <w14:textFill>
            <w14:solidFill>
              <w14:schemeClr w14:val="tx1"/>
            </w14:solidFill>
          </w14:textFill>
        </w:rPr>
      </w:pPr>
      <w:r>
        <w:rPr>
          <w:rFonts w:hint="eastAsia" w:ascii="华文中宋" w:hAnsi="华文中宋" w:eastAsia="华文中宋" w:cs="华文中宋"/>
          <w:b w:val="0"/>
          <w:bCs w:val="0"/>
          <w:color w:val="000000" w:themeColor="text1"/>
          <w:spacing w:val="0"/>
          <w:w w:val="100"/>
          <w:position w:val="3"/>
          <w:sz w:val="36"/>
          <w:szCs w:val="36"/>
          <w:highlight w:val="none"/>
          <w14:textFill>
            <w14:solidFill>
              <w14:schemeClr w14:val="tx1"/>
            </w14:solidFill>
          </w14:textFill>
        </w:rPr>
        <w:t>投标人承诺书</w:t>
      </w:r>
    </w:p>
    <w:p w14:paraId="179F1F83">
      <w:pPr>
        <w:pStyle w:val="7"/>
        <w:keepNext w:val="0"/>
        <w:keepLines w:val="0"/>
        <w:pageBreakBefore w:val="0"/>
        <w:widowControl/>
        <w:kinsoku/>
        <w:wordWrap w:val="0"/>
        <w:overflowPunct/>
        <w:topLinePunct w:val="0"/>
        <w:autoSpaceDE w:val="0"/>
        <w:autoSpaceDN w:val="0"/>
        <w:bidi w:val="0"/>
        <w:adjustRightInd/>
        <w:snapToGrid/>
        <w:spacing w:after="0" w:line="336" w:lineRule="auto"/>
        <w:ind w:right="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t xml:space="preserve">致：招标人（项目建设单位）         </w:t>
      </w:r>
    </w:p>
    <w:p w14:paraId="7B5325B9">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为维护公平竞争的市场秩序，在参与</w:t>
      </w:r>
      <w:r>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t>（招标项目</w:t>
      </w:r>
      <w:r>
        <w:rPr>
          <w:rFonts w:hint="eastAsia" w:ascii="宋体" w:hAnsi="宋体" w:cs="宋体"/>
          <w:color w:val="000000" w:themeColor="text1"/>
          <w:spacing w:val="0"/>
          <w:w w:val="100"/>
          <w:sz w:val="24"/>
          <w:szCs w:val="24"/>
          <w:highlight w:val="none"/>
          <w:u w:val="single" w:color="auto"/>
          <w:lang w:val="en-US" w:eastAsia="zh-CN"/>
          <w14:textFill>
            <w14:solidFill>
              <w14:schemeClr w14:val="tx1"/>
            </w14:solidFill>
          </w14:textFill>
        </w:rPr>
        <w:t>名称</w:t>
      </w:r>
      <w:r>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t>）</w:t>
      </w:r>
      <w:r>
        <w:rPr>
          <w:rFonts w:hint="eastAsia" w:ascii="宋体" w:hAnsi="宋体" w:eastAsia="宋体" w:cs="宋体"/>
          <w:color w:val="000000" w:themeColor="text1"/>
          <w:spacing w:val="0"/>
          <w:w w:val="100"/>
          <w:sz w:val="24"/>
          <w:szCs w:val="24"/>
          <w:highlight w:val="none"/>
          <w14:textFill>
            <w14:solidFill>
              <w14:schemeClr w14:val="tx1"/>
            </w14:solidFill>
          </w14:textFill>
        </w:rPr>
        <w:t>的招标投标活动中，本单位自愿作出如下承诺:</w:t>
      </w:r>
    </w:p>
    <w:p w14:paraId="548DFC7C">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一、严格遵守有关法律法规和行业标准规范，依法诚信参加投标，自觉维护公平竞争秩序。</w:t>
      </w:r>
    </w:p>
    <w:p w14:paraId="4EC71B10">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二、不通过受让、租借或者挂靠资质投标；不伪造、变造资质、资格证书或者其他许可证件，投标文件中所提供的业绩、奖项、项目负责人（项目总监）等一切投标材料都是真实、有效、合法的，不以其他任何方式弄虚作假投标。</w:t>
      </w:r>
    </w:p>
    <w:p w14:paraId="6AE5654F">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三、在项目招标投标中不与招标人、招标代理机构或其他投标人串通投标；不与评标委员会成员私下接触，或向招标人、招标代理机构、交易平台运行服务机构、评标委员会成员、行政监督部门人员等行贿谋取中标。</w:t>
      </w:r>
    </w:p>
    <w:p w14:paraId="243A0825">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四、依法维护正当的权益，不恶意提出异议、投诉或者举报，不干扰正常招标投标活动。</w:t>
      </w:r>
    </w:p>
    <w:p w14:paraId="744FB809">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五、中标后，按照招标文件、投标文件签订施工（监理）合同，在签订合同时不向招标人提出附加条件，严格按照招标文件要求提交履约保证金或履约保函，不将中标项目转包、违法分包。</w:t>
      </w:r>
    </w:p>
    <w:p w14:paraId="151A2E30">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六、承诺除非招标文件另有约定，我方参与投标的项目管理机构主要人员均为我单位在职人员，均有劳动合同、社保证明。</w:t>
      </w:r>
    </w:p>
    <w:p w14:paraId="120B3B4C">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t xml:space="preserve">七、（招标人认为需要补充的其他事项： </w:t>
      </w:r>
      <w:r>
        <w:rPr>
          <w:rFonts w:hint="eastAsia" w:ascii="宋体" w:hAnsi="宋体" w:cs="宋体"/>
          <w:color w:val="000000" w:themeColor="text1"/>
          <w:spacing w:val="0"/>
          <w:w w:val="100"/>
          <w:sz w:val="24"/>
          <w:szCs w:val="24"/>
          <w:highlight w:val="none"/>
          <w:u w:val="single" w:color="auto"/>
          <w:lang w:val="en-US" w:eastAsia="zh-CN"/>
          <w14:textFill>
            <w14:solidFill>
              <w14:schemeClr w14:val="tx1"/>
            </w14:solidFill>
          </w14:textFill>
        </w:rPr>
        <w:t xml:space="preserve">            </w:t>
      </w:r>
      <w:r>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t>）</w:t>
      </w:r>
    </w:p>
    <w:p w14:paraId="04BD9FF8">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2"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b/>
          <w:bCs/>
          <w:color w:val="000000" w:themeColor="text1"/>
          <w:spacing w:val="0"/>
          <w:w w:val="100"/>
          <w:sz w:val="24"/>
          <w:szCs w:val="24"/>
          <w:highlight w:val="none"/>
          <w14:textFill>
            <w14:solidFill>
              <w14:schemeClr w14:val="tx1"/>
            </w14:solidFill>
          </w14:textFill>
        </w:rPr>
        <w:t>本承诺函由我单位盖章及法定代表人本人签字确认</w:t>
      </w:r>
      <w:r>
        <w:rPr>
          <w:rFonts w:hint="eastAsia" w:ascii="宋体" w:hAnsi="宋体" w:cs="宋体"/>
          <w:b/>
          <w:bCs/>
          <w:color w:val="000000" w:themeColor="text1"/>
          <w:spacing w:val="0"/>
          <w:w w:val="100"/>
          <w:sz w:val="24"/>
          <w:szCs w:val="24"/>
          <w:highlight w:val="none"/>
          <w:lang w:eastAsia="zh-CN"/>
          <w14:textFill>
            <w14:solidFill>
              <w14:schemeClr w14:val="tx1"/>
            </w14:solidFill>
          </w14:textFill>
        </w:rPr>
        <w:t>（</w:t>
      </w:r>
      <w:r>
        <w:rPr>
          <w:rFonts w:hint="eastAsia" w:ascii="宋体" w:hAnsi="宋体" w:cs="宋体"/>
          <w:b/>
          <w:bCs/>
          <w:color w:val="000000" w:themeColor="text1"/>
          <w:spacing w:val="0"/>
          <w:w w:val="100"/>
          <w:sz w:val="24"/>
          <w:szCs w:val="24"/>
          <w:highlight w:val="none"/>
          <w:lang w:val="en-US" w:eastAsia="zh-CN"/>
          <w14:textFill>
            <w14:solidFill>
              <w14:schemeClr w14:val="tx1"/>
            </w14:solidFill>
          </w14:textFill>
        </w:rPr>
        <w:t>上传签字扫描件</w:t>
      </w:r>
      <w:r>
        <w:rPr>
          <w:rFonts w:hint="eastAsia" w:ascii="宋体" w:hAnsi="宋体" w:cs="宋体"/>
          <w:b/>
          <w:bCs/>
          <w:color w:val="000000" w:themeColor="text1"/>
          <w:spacing w:val="0"/>
          <w:w w:val="100"/>
          <w:sz w:val="24"/>
          <w:szCs w:val="24"/>
          <w:highlight w:val="none"/>
          <w:lang w:eastAsia="zh-CN"/>
          <w14:textFill>
            <w14:solidFill>
              <w14:schemeClr w14:val="tx1"/>
            </w14:solidFill>
          </w14:textFill>
        </w:rPr>
        <w:t>）</w:t>
      </w:r>
      <w:r>
        <w:rPr>
          <w:rFonts w:hint="eastAsia" w:ascii="宋体" w:hAnsi="宋体" w:eastAsia="宋体" w:cs="宋体"/>
          <w:b/>
          <w:bCs/>
          <w:color w:val="000000" w:themeColor="text1"/>
          <w:spacing w:val="0"/>
          <w:w w:val="100"/>
          <w:sz w:val="24"/>
          <w:szCs w:val="24"/>
          <w:highlight w:val="none"/>
          <w14:textFill>
            <w14:solidFill>
              <w14:schemeClr w14:val="tx1"/>
            </w14:solidFill>
          </w14:textFill>
        </w:rPr>
        <w:t>。</w:t>
      </w:r>
      <w:r>
        <w:rPr>
          <w:rFonts w:hint="eastAsia" w:ascii="宋体" w:hAnsi="宋体" w:eastAsia="宋体" w:cs="宋体"/>
          <w:color w:val="000000" w:themeColor="text1"/>
          <w:spacing w:val="0"/>
          <w:w w:val="100"/>
          <w:sz w:val="24"/>
          <w:szCs w:val="24"/>
          <w:highlight w:val="none"/>
          <w14:textFill>
            <w14:solidFill>
              <w14:schemeClr w14:val="tx1"/>
            </w14:solidFill>
          </w14:textFill>
        </w:rPr>
        <w:t>本单位或本单位相关从业人员若有违反本承诺内容的行为，自愿接受招标人给予取消中标资格的处罚（无任何附加条件）；自愿接受相关行政主管部门依法作出的任何行政处理和行政处罚、降低信用等级决定。给招标人造成损失的，依法给予赔偿，并承担法律责任；如果被相关部门依法给予行政处罚、依法追究刑事责任，本单位自愿接受淮南市各类工程招标、政府采购项目业主单位给予 “ 限制承揽业务” 的处理。 （招标人可根据项目实际情况依法增加相关内容。）</w:t>
      </w:r>
    </w:p>
    <w:p w14:paraId="762D9558">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p>
    <w:p w14:paraId="4CE6E6F1">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3840" w:firstLineChars="16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承诺单位（盖章）：</w:t>
      </w:r>
    </w:p>
    <w:p w14:paraId="68C9166E">
      <w:pPr>
        <w:pStyle w:val="7"/>
        <w:keepNext w:val="0"/>
        <w:keepLines w:val="0"/>
        <w:pageBreakBefore w:val="0"/>
        <w:widowControl/>
        <w:kinsoku/>
        <w:wordWrap w:val="0"/>
        <w:overflowPunct/>
        <w:topLinePunct w:val="0"/>
        <w:autoSpaceDE w:val="0"/>
        <w:autoSpaceDN w:val="0"/>
        <w:bidi w:val="0"/>
        <w:adjustRightInd/>
        <w:snapToGrid/>
        <w:spacing w:after="0" w:line="336" w:lineRule="auto"/>
        <w:ind w:left="0" w:right="0" w:firstLine="3855" w:firstLineChars="1600"/>
        <w:jc w:val="left"/>
        <w:textAlignment w:val="baseline"/>
        <w:rPr>
          <w:rFonts w:hint="eastAsia" w:ascii="宋体" w:hAnsi="宋体" w:eastAsia="宋体" w:cs="宋体"/>
          <w:b/>
          <w:bCs/>
          <w:color w:val="000000" w:themeColor="text1"/>
          <w:spacing w:val="0"/>
          <w:w w:val="100"/>
          <w:sz w:val="24"/>
          <w:szCs w:val="24"/>
          <w:highlight w:val="none"/>
          <w14:textFill>
            <w14:solidFill>
              <w14:schemeClr w14:val="tx1"/>
            </w14:solidFill>
          </w14:textFill>
        </w:rPr>
      </w:pPr>
      <w:r>
        <w:rPr>
          <w:rFonts w:hint="eastAsia" w:ascii="宋体" w:hAnsi="宋体" w:eastAsia="宋体" w:cs="宋体"/>
          <w:b/>
          <w:bCs/>
          <w:color w:val="000000" w:themeColor="text1"/>
          <w:spacing w:val="0"/>
          <w:w w:val="100"/>
          <w:sz w:val="24"/>
          <w:szCs w:val="24"/>
          <w:highlight w:val="none"/>
          <w14:textFill>
            <w14:solidFill>
              <w14:schemeClr w14:val="tx1"/>
            </w14:solidFill>
          </w14:textFill>
        </w:rPr>
        <w:t>承诺单位法人代表（</w:t>
      </w:r>
      <w:r>
        <w:rPr>
          <w:rFonts w:hint="eastAsia" w:ascii="宋体" w:hAnsi="宋体" w:cs="宋体"/>
          <w:b/>
          <w:bCs/>
          <w:color w:val="000000" w:themeColor="text1"/>
          <w:spacing w:val="0"/>
          <w:w w:val="100"/>
          <w:sz w:val="24"/>
          <w:szCs w:val="24"/>
          <w:highlight w:val="none"/>
          <w:lang w:val="en-US" w:eastAsia="zh-CN"/>
          <w14:textFill>
            <w14:solidFill>
              <w14:schemeClr w14:val="tx1"/>
            </w14:solidFill>
          </w14:textFill>
        </w:rPr>
        <w:t>本人</w:t>
      </w:r>
      <w:r>
        <w:rPr>
          <w:rFonts w:hint="eastAsia" w:ascii="宋体" w:hAnsi="宋体" w:eastAsia="宋体" w:cs="宋体"/>
          <w:b/>
          <w:bCs/>
          <w:color w:val="000000" w:themeColor="text1"/>
          <w:spacing w:val="0"/>
          <w:w w:val="100"/>
          <w:sz w:val="24"/>
          <w:szCs w:val="24"/>
          <w:highlight w:val="none"/>
          <w14:textFill>
            <w14:solidFill>
              <w14:schemeClr w14:val="tx1"/>
            </w14:solidFill>
          </w14:textFill>
        </w:rPr>
        <w:t>签字）：</w:t>
      </w:r>
    </w:p>
    <w:p w14:paraId="761A9367">
      <w:pPr>
        <w:keepNext w:val="0"/>
        <w:keepLines w:val="0"/>
        <w:pageBreakBefore w:val="0"/>
        <w:widowControl/>
        <w:kinsoku/>
        <w:wordWrap w:val="0"/>
        <w:overflowPunct/>
        <w:topLinePunct w:val="0"/>
        <w:autoSpaceDE w:val="0"/>
        <w:autoSpaceDN w:val="0"/>
        <w:bidi w:val="0"/>
        <w:adjustRightInd/>
        <w:snapToGrid/>
        <w:spacing w:line="336" w:lineRule="auto"/>
        <w:ind w:left="0" w:right="0" w:firstLine="3840" w:firstLineChars="16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承诺日期：  年  月  日</w:t>
      </w:r>
    </w:p>
    <w:p w14:paraId="2FA5AD50">
      <w:pPr>
        <w:pageBreakBefore w:val="0"/>
        <w:kinsoku/>
        <w:wordWrap w:val="0"/>
        <w:overflowPunct/>
        <w:bidi w:val="0"/>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br w:type="page"/>
      </w:r>
    </w:p>
    <w:p w14:paraId="58AF7633">
      <w:pPr>
        <w:keepNext w:val="0"/>
        <w:keepLines w:val="0"/>
        <w:pageBreakBefore w:val="0"/>
        <w:widowControl/>
        <w:kinsoku/>
        <w:wordWrap w:val="0"/>
        <w:overflowPunct/>
        <w:topLinePunct w:val="0"/>
        <w:autoSpaceDE w:val="0"/>
        <w:autoSpaceDN w:val="0"/>
        <w:bidi w:val="0"/>
        <w:adjustRightInd/>
        <w:snapToGrid/>
        <w:spacing w:line="360" w:lineRule="auto"/>
        <w:jc w:val="center"/>
        <w:textAlignment w:val="baseline"/>
        <w:outlineLvl w:val="0"/>
        <w:rPr>
          <w:rFonts w:hint="eastAsia" w:ascii="华文中宋" w:hAnsi="华文中宋" w:eastAsia="华文中宋" w:cs="华文中宋"/>
          <w:b w:val="0"/>
          <w:bCs w:val="0"/>
          <w:color w:val="000000" w:themeColor="text1"/>
          <w:spacing w:val="0"/>
          <w:w w:val="100"/>
          <w:position w:val="3"/>
          <w:sz w:val="36"/>
          <w:szCs w:val="36"/>
          <w:highlight w:val="none"/>
          <w14:textFill>
            <w14:solidFill>
              <w14:schemeClr w14:val="tx1"/>
            </w14:solidFill>
          </w14:textFill>
        </w:rPr>
      </w:pPr>
      <w:r>
        <w:rPr>
          <w:rFonts w:hint="eastAsia" w:ascii="华文中宋" w:hAnsi="华文中宋" w:eastAsia="华文中宋" w:cs="华文中宋"/>
          <w:b w:val="0"/>
          <w:bCs w:val="0"/>
          <w:color w:val="000000" w:themeColor="text1"/>
          <w:spacing w:val="0"/>
          <w:w w:val="100"/>
          <w:position w:val="3"/>
          <w:sz w:val="36"/>
          <w:szCs w:val="36"/>
          <w:highlight w:val="none"/>
          <w14:textFill>
            <w14:solidFill>
              <w14:schemeClr w14:val="tx1"/>
            </w14:solidFill>
          </w14:textFill>
        </w:rPr>
        <w:t>中标人（施工单位）承诺书</w:t>
      </w:r>
    </w:p>
    <w:p w14:paraId="71B5F00C">
      <w:pPr>
        <w:keepNext w:val="0"/>
        <w:keepLines w:val="0"/>
        <w:pageBreakBefore w:val="0"/>
        <w:widowControl/>
        <w:kinsoku/>
        <w:wordWrap w:val="0"/>
        <w:overflowPunct/>
        <w:topLinePunct w:val="0"/>
        <w:autoSpaceDE w:val="0"/>
        <w:autoSpaceDN w:val="0"/>
        <w:bidi w:val="0"/>
        <w:adjustRightInd/>
        <w:snapToGrid/>
        <w:spacing w:line="360" w:lineRule="auto"/>
        <w:jc w:val="center"/>
        <w:textAlignment w:val="baseline"/>
        <w:outlineLvl w:val="0"/>
        <w:rPr>
          <w:rFonts w:hint="eastAsia" w:ascii="华文中宋" w:hAnsi="华文中宋" w:eastAsia="华文中宋" w:cs="华文中宋"/>
          <w:b w:val="0"/>
          <w:bCs w:val="0"/>
          <w:color w:val="000000" w:themeColor="text1"/>
          <w:spacing w:val="0"/>
          <w:w w:val="100"/>
          <w:position w:val="3"/>
          <w:sz w:val="24"/>
          <w:szCs w:val="24"/>
          <w:highlight w:val="none"/>
          <w:lang w:eastAsia="zh-CN"/>
          <w14:textFill>
            <w14:solidFill>
              <w14:schemeClr w14:val="tx1"/>
            </w14:solidFill>
          </w14:textFill>
        </w:rPr>
      </w:pPr>
      <w:r>
        <w:rPr>
          <w:rFonts w:hint="eastAsia" w:ascii="华文中宋" w:hAnsi="华文中宋" w:eastAsia="华文中宋" w:cs="华文中宋"/>
          <w:b w:val="0"/>
          <w:bCs w:val="0"/>
          <w:color w:val="000000" w:themeColor="text1"/>
          <w:spacing w:val="0"/>
          <w:w w:val="100"/>
          <w:position w:val="3"/>
          <w:sz w:val="24"/>
          <w:szCs w:val="24"/>
          <w:highlight w:val="none"/>
          <w:lang w:eastAsia="zh-CN"/>
          <w14:textFill>
            <w14:solidFill>
              <w14:schemeClr w14:val="tx1"/>
            </w14:solidFill>
          </w14:textFill>
        </w:rPr>
        <w:t>（</w:t>
      </w:r>
      <w:r>
        <w:rPr>
          <w:rFonts w:hint="eastAsia" w:ascii="华文中宋" w:hAnsi="华文中宋" w:eastAsia="华文中宋" w:cs="华文中宋"/>
          <w:b w:val="0"/>
          <w:bCs w:val="0"/>
          <w:color w:val="000000" w:themeColor="text1"/>
          <w:spacing w:val="0"/>
          <w:w w:val="100"/>
          <w:position w:val="3"/>
          <w:sz w:val="24"/>
          <w:szCs w:val="24"/>
          <w:highlight w:val="none"/>
          <w:lang w:val="en-US" w:eastAsia="zh-CN"/>
          <w14:textFill>
            <w14:solidFill>
              <w14:schemeClr w14:val="tx1"/>
            </w14:solidFill>
          </w14:textFill>
        </w:rPr>
        <w:t>此承诺投标时可不提供。如被确定为中标人，中标人应在领取中标通知书后将此承诺书递交至招标人</w:t>
      </w:r>
      <w:r>
        <w:rPr>
          <w:rFonts w:hint="eastAsia" w:ascii="华文中宋" w:hAnsi="华文中宋" w:eastAsia="华文中宋" w:cs="华文中宋"/>
          <w:b w:val="0"/>
          <w:bCs w:val="0"/>
          <w:color w:val="000000" w:themeColor="text1"/>
          <w:spacing w:val="0"/>
          <w:w w:val="100"/>
          <w:position w:val="3"/>
          <w:sz w:val="24"/>
          <w:szCs w:val="24"/>
          <w:highlight w:val="none"/>
          <w:lang w:eastAsia="zh-CN"/>
          <w14:textFill>
            <w14:solidFill>
              <w14:schemeClr w14:val="tx1"/>
            </w14:solidFill>
          </w14:textFill>
        </w:rPr>
        <w:t>）</w:t>
      </w:r>
    </w:p>
    <w:p w14:paraId="7F13F7D4">
      <w:pPr>
        <w:pStyle w:val="7"/>
        <w:keepNext w:val="0"/>
        <w:keepLines w:val="0"/>
        <w:pageBreakBefore w:val="0"/>
        <w:widowControl/>
        <w:kinsoku/>
        <w:wordWrap w:val="0"/>
        <w:overflowPunct/>
        <w:topLinePunct w:val="0"/>
        <w:autoSpaceDE w:val="0"/>
        <w:autoSpaceDN w:val="0"/>
        <w:bidi w:val="0"/>
        <w:adjustRightInd/>
        <w:snapToGrid/>
        <w:spacing w:after="0" w:line="312" w:lineRule="auto"/>
        <w:ind w:right="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t xml:space="preserve">致：招标人（项目建设单位）         </w:t>
      </w:r>
    </w:p>
    <w:p w14:paraId="3CDB4CFA">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为维护公平竞争的市场秩序，作为</w:t>
      </w:r>
      <w:r>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t>（招标项目）</w:t>
      </w:r>
      <w:r>
        <w:rPr>
          <w:rFonts w:hint="eastAsia" w:ascii="宋体" w:hAnsi="宋体" w:eastAsia="宋体" w:cs="宋体"/>
          <w:color w:val="000000" w:themeColor="text1"/>
          <w:spacing w:val="0"/>
          <w:w w:val="100"/>
          <w:sz w:val="24"/>
          <w:szCs w:val="24"/>
          <w:highlight w:val="none"/>
          <w14:textFill>
            <w14:solidFill>
              <w14:schemeClr w14:val="tx1"/>
            </w14:solidFill>
          </w14:textFill>
        </w:rPr>
        <w:t>的中标人，本单位自愿作出如下承诺:</w:t>
      </w:r>
    </w:p>
    <w:p w14:paraId="7B0C0D32">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一、</w:t>
      </w:r>
      <w:r>
        <w:rPr>
          <w:rFonts w:hint="eastAsia" w:ascii="宋体" w:hAnsi="宋体" w:cs="宋体"/>
          <w:color w:val="000000" w:themeColor="text1"/>
          <w:sz w:val="24"/>
          <w:szCs w:val="24"/>
          <w:highlight w:val="none"/>
          <w14:textFill>
            <w14:solidFill>
              <w14:schemeClr w14:val="tx1"/>
            </w14:solidFill>
          </w14:textFill>
        </w:rPr>
        <w:t>我公司在</w:t>
      </w:r>
      <w:r>
        <w:rPr>
          <w:rFonts w:hint="eastAsia" w:ascii="宋体" w:hAnsi="宋体" w:cs="宋体"/>
          <w:color w:val="000000" w:themeColor="text1"/>
          <w:sz w:val="24"/>
          <w:szCs w:val="24"/>
          <w:highlight w:val="none"/>
          <w:lang w:eastAsia="zh-CN"/>
          <w14:textFill>
            <w14:solidFill>
              <w14:schemeClr w14:val="tx1"/>
            </w14:solidFill>
          </w14:textFill>
        </w:rPr>
        <w:t>合同签订时间</w:t>
      </w:r>
      <w:r>
        <w:rPr>
          <w:rFonts w:hint="eastAsia" w:ascii="宋体" w:hAnsi="宋体" w:cs="宋体"/>
          <w:color w:val="000000" w:themeColor="text1"/>
          <w:sz w:val="24"/>
          <w:szCs w:val="24"/>
          <w:highlight w:val="none"/>
          <w14:textFill>
            <w14:solidFill>
              <w14:schemeClr w14:val="tx1"/>
            </w14:solidFill>
          </w14:textFill>
        </w:rPr>
        <w:t>前不存在以下几种情形，同时我公司符合招标文件中对信誉要求的全部规定，不存在“投标人须知”1.4.3及1.4.4中所列情形。</w:t>
      </w:r>
    </w:p>
    <w:p w14:paraId="1B21C71B">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、被最高人民法院在“执行信息公开网”网站</w:t>
      </w:r>
      <w:r>
        <w:rPr>
          <w:rFonts w:hint="eastAsia"/>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http://zxgk.court.gov.cn/）</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列入“失信被执行人”名单；</w:t>
      </w:r>
    </w:p>
    <w:p w14:paraId="67AD125B">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、被国家市场监督管理部门在国家企业信用信息公示系统（www.gsxt.gov.cn）中列入严重违法失信企业名单</w:t>
      </w: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w:t>
      </w:r>
    </w:p>
    <w:p w14:paraId="1710EA50">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、被全国建筑市场监管公共服务平台（jzsc.mohurd.gov.cn）列入“黑名单记录”（</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以</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全国建筑市场监管公共服务平台“黑名单记录”里的企业查询网页截图）</w:t>
      </w:r>
    </w:p>
    <w:p w14:paraId="69D64B2C">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4、被全国建筑市场监管公共服务平台（jzsc.mohurd.gov.cn）标记为“资质异常”企业（以全国建筑市场监管公共服务平台“动态核查”里的企业查询网页截图为准）。</w:t>
      </w:r>
    </w:p>
    <w:p w14:paraId="46D1CFA4">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二、严格按照施工图和设计标准进行施工。投标文件中承诺的工程项目负责人和项目部人员全部落实到位；对工程不挂靠，不转包，不违法分包。</w:t>
      </w:r>
    </w:p>
    <w:p w14:paraId="455C10BE">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三、严格执行《保障农民工工资支付条例》《安徽省工程建设领域农民工工资支付与监管指引（第一版）》（ 皖人社秘〔2022〕230 号）等相关管理规定。</w:t>
      </w:r>
    </w:p>
    <w:p w14:paraId="45A7529F">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四、在此次投标中无行贿犯罪行为。</w:t>
      </w:r>
    </w:p>
    <w:p w14:paraId="7E55B593">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五、项目经理无在建工程(如为联合体投标，含联合体成员项目经理)，如拟派项目经理有其他在建项目的，能够在签订合同前完成更换（从原项目退出，调整到本项目任项目经理），否则视为违约。</w:t>
      </w:r>
    </w:p>
    <w:p w14:paraId="3AEBE89B">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六、承诺响应招标文件中有关工期、质量、安全、文明施工等工作要求，合理控制工程造价。</w:t>
      </w:r>
    </w:p>
    <w:p w14:paraId="76CBAB8A">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t>七、</w:t>
      </w:r>
      <w:r>
        <w:rPr>
          <w:rFonts w:hint="eastAsia" w:ascii="宋体" w:hAnsi="宋体" w:eastAsia="宋体" w:cs="宋体"/>
          <w:color w:val="000000" w:themeColor="text1"/>
          <w:spacing w:val="0"/>
          <w:w w:val="100"/>
          <w:sz w:val="24"/>
          <w:szCs w:val="24"/>
          <w:highlight w:val="none"/>
          <w14:textFill>
            <w14:solidFill>
              <w14:schemeClr w14:val="tx1"/>
            </w14:solidFill>
          </w14:textFill>
        </w:rPr>
        <w:t>我方承诺中标后，项目管理机构主要人员均为我单位在职人员，均有劳动合同、社保证明。</w:t>
      </w:r>
    </w:p>
    <w:p w14:paraId="2BE6EC28">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0" w:firstLineChars="200"/>
        <w:jc w:val="left"/>
        <w:textAlignment w:val="baseline"/>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pPr>
      <w:r>
        <w:rPr>
          <w:rFonts w:hint="eastAsia" w:ascii="宋体" w:hAnsi="宋体" w:cs="宋体"/>
          <w:color w:val="000000" w:themeColor="text1"/>
          <w:spacing w:val="0"/>
          <w:w w:val="100"/>
          <w:sz w:val="24"/>
          <w:szCs w:val="24"/>
          <w:highlight w:val="none"/>
          <w:u w:val="single" w:color="auto"/>
          <w:lang w:eastAsia="zh-CN"/>
          <w14:textFill>
            <w14:solidFill>
              <w14:schemeClr w14:val="tx1"/>
            </w14:solidFill>
          </w14:textFill>
        </w:rPr>
        <w:t>八、</w:t>
      </w:r>
      <w:r>
        <w:rPr>
          <w:rFonts w:hint="eastAsia" w:ascii="宋体" w:hAnsi="宋体" w:eastAsia="宋体" w:cs="宋体"/>
          <w:color w:val="000000" w:themeColor="text1"/>
          <w:spacing w:val="0"/>
          <w:w w:val="100"/>
          <w:sz w:val="24"/>
          <w:szCs w:val="24"/>
          <w:highlight w:val="none"/>
          <w:u w:val="single" w:color="auto"/>
          <w14:textFill>
            <w14:solidFill>
              <w14:schemeClr w14:val="tx1"/>
            </w14:solidFill>
          </w14:textFill>
        </w:rPr>
        <w:t>（招标人、 中标人认为需要补充的其他承诺事项：）</w:t>
      </w:r>
    </w:p>
    <w:p w14:paraId="1FAD1030">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right="0" w:firstLine="482" w:firstLineChars="200"/>
        <w:jc w:val="left"/>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b/>
          <w:bCs/>
          <w:color w:val="000000" w:themeColor="text1"/>
          <w:spacing w:val="0"/>
          <w:w w:val="100"/>
          <w:sz w:val="24"/>
          <w:szCs w:val="24"/>
          <w:highlight w:val="none"/>
          <w14:textFill>
            <w14:solidFill>
              <w14:schemeClr w14:val="tx1"/>
            </w14:solidFill>
          </w14:textFill>
        </w:rPr>
        <w:t>本承诺函由我单位盖章及法定代表人（或授权代表）本人签字确认。</w:t>
      </w:r>
      <w:r>
        <w:rPr>
          <w:rFonts w:hint="eastAsia" w:ascii="宋体" w:hAnsi="宋体" w:eastAsia="宋体" w:cs="宋体"/>
          <w:color w:val="000000" w:themeColor="text1"/>
          <w:spacing w:val="0"/>
          <w:w w:val="100"/>
          <w:sz w:val="24"/>
          <w:szCs w:val="24"/>
          <w:highlight w:val="none"/>
          <w14:textFill>
            <w14:solidFill>
              <w14:schemeClr w14:val="tx1"/>
            </w14:solidFill>
          </w14:textFill>
        </w:rPr>
        <w:t>本单位或本单位相关从业人员若有违反本承诺内容的行为，自愿接受招标人给予取消中标资格的处罚（ 无任何附加条件）； 自愿接受相关行政主管部门依法给予任何行政处理和行政处罚、降低信用等级决定。给招标人造成损失的，依法给予赔偿，并承担法律责任；如果被相关部门依法给予行政处罚、依法追究刑事责任，本单位自愿接受淮南市各类工程招标、政府采购项目业主单位给予 “ 限制承揽业务”的处理。（招标人可根据项目实际情况依法增加相关内容。）</w:t>
      </w:r>
    </w:p>
    <w:p w14:paraId="2DF3A9B3">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firstLine="480" w:firstLineChars="200"/>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p>
    <w:p w14:paraId="3F116E6A">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firstLine="480" w:firstLineChars="200"/>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承诺单位（盖章）：</w:t>
      </w:r>
    </w:p>
    <w:p w14:paraId="56CD951D">
      <w:pPr>
        <w:pStyle w:val="7"/>
        <w:keepNext w:val="0"/>
        <w:keepLines w:val="0"/>
        <w:pageBreakBefore w:val="0"/>
        <w:widowControl/>
        <w:kinsoku/>
        <w:wordWrap w:val="0"/>
        <w:overflowPunct/>
        <w:topLinePunct w:val="0"/>
        <w:autoSpaceDE w:val="0"/>
        <w:autoSpaceDN w:val="0"/>
        <w:bidi w:val="0"/>
        <w:adjustRightInd/>
        <w:snapToGrid/>
        <w:spacing w:after="0" w:line="312" w:lineRule="auto"/>
        <w:ind w:left="0" w:firstLine="482" w:firstLineChars="200"/>
        <w:jc w:val="both"/>
        <w:textAlignment w:val="baseline"/>
        <w:rPr>
          <w:rFonts w:hint="eastAsia" w:ascii="宋体" w:hAnsi="宋体" w:eastAsia="宋体" w:cs="宋体"/>
          <w:b/>
          <w:bCs/>
          <w:color w:val="000000" w:themeColor="text1"/>
          <w:spacing w:val="0"/>
          <w:w w:val="100"/>
          <w:sz w:val="24"/>
          <w:szCs w:val="24"/>
          <w:highlight w:val="none"/>
          <w14:textFill>
            <w14:solidFill>
              <w14:schemeClr w14:val="tx1"/>
            </w14:solidFill>
          </w14:textFill>
        </w:rPr>
      </w:pPr>
      <w:r>
        <w:rPr>
          <w:rFonts w:hint="eastAsia" w:ascii="宋体" w:hAnsi="宋体" w:eastAsia="宋体" w:cs="宋体"/>
          <w:b/>
          <w:bCs/>
          <w:color w:val="000000" w:themeColor="text1"/>
          <w:spacing w:val="0"/>
          <w:w w:val="100"/>
          <w:sz w:val="24"/>
          <w:szCs w:val="24"/>
          <w:highlight w:val="none"/>
          <w14:textFill>
            <w14:solidFill>
              <w14:schemeClr w14:val="tx1"/>
            </w14:solidFill>
          </w14:textFill>
        </w:rPr>
        <w:t>承诺单位法人代表或授权代表（签字）：</w:t>
      </w:r>
    </w:p>
    <w:p w14:paraId="673A7455">
      <w:pPr>
        <w:keepNext w:val="0"/>
        <w:keepLines w:val="0"/>
        <w:pageBreakBefore w:val="0"/>
        <w:widowControl/>
        <w:kinsoku/>
        <w:wordWrap w:val="0"/>
        <w:overflowPunct/>
        <w:topLinePunct w:val="0"/>
        <w:autoSpaceDE w:val="0"/>
        <w:autoSpaceDN w:val="0"/>
        <w:bidi w:val="0"/>
        <w:adjustRightInd/>
        <w:snapToGrid/>
        <w:spacing w:line="312" w:lineRule="auto"/>
        <w:ind w:left="0" w:right="0" w:firstLine="480" w:firstLineChars="200"/>
        <w:textAlignment w:val="baseline"/>
        <w:rPr>
          <w:rFonts w:hint="eastAsia" w:ascii="宋体" w:hAnsi="宋体" w:eastAsia="宋体" w:cs="宋体"/>
          <w:color w:val="000000" w:themeColor="text1"/>
          <w:spacing w:val="0"/>
          <w:w w:val="100"/>
          <w:sz w:val="24"/>
          <w:szCs w:val="24"/>
          <w:highlight w:val="none"/>
          <w14:textFill>
            <w14:solidFill>
              <w14:schemeClr w14:val="tx1"/>
            </w14:solidFill>
          </w14:textFill>
        </w:rPr>
      </w:pPr>
      <w:r>
        <w:rPr>
          <w:rFonts w:hint="eastAsia" w:ascii="宋体" w:hAnsi="宋体" w:eastAsia="宋体" w:cs="宋体"/>
          <w:color w:val="000000" w:themeColor="text1"/>
          <w:spacing w:val="0"/>
          <w:w w:val="100"/>
          <w:sz w:val="24"/>
          <w:szCs w:val="24"/>
          <w:highlight w:val="none"/>
          <w14:textFill>
            <w14:solidFill>
              <w14:schemeClr w14:val="tx1"/>
            </w14:solidFill>
          </w14:textFill>
        </w:rPr>
        <w:t>承诺日期：  年  月  日</w:t>
      </w:r>
    </w:p>
    <w:p w14:paraId="58807BF6">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Style w:val="80"/>
          <w:rFonts w:hint="eastAsia" w:ascii="Times New Roman" w:hAnsi="Times New Roman"/>
          <w:bCs/>
          <w:smallCaps w:val="0"/>
          <w:color w:val="000000" w:themeColor="text1"/>
          <w:highlight w:val="none"/>
          <w14:textFill>
            <w14:solidFill>
              <w14:schemeClr w14:val="tx1"/>
            </w14:solidFill>
          </w14:textFill>
        </w:rPr>
        <w:br w:type="page"/>
      </w:r>
      <w:r>
        <w:rPr>
          <w:rStyle w:val="73"/>
          <w:rFonts w:hint="eastAsia" w:ascii="Times New Roman" w:hAnsi="Times New Roman"/>
          <w:smallCaps w:val="0"/>
          <w:color w:val="000000" w:themeColor="text1"/>
          <w:highlight w:val="none"/>
          <w14:textFill>
            <w14:solidFill>
              <w14:schemeClr w14:val="tx1"/>
            </w14:solidFill>
          </w14:textFill>
        </w:rPr>
        <w:t>（六）拟委任的项目经理（项目技术负责人）简历</w:t>
      </w:r>
      <w:bookmarkEnd w:id="1466"/>
      <w:bookmarkEnd w:id="1467"/>
      <w:bookmarkEnd w:id="1468"/>
      <w:bookmarkEnd w:id="1469"/>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20"/>
        <w:gridCol w:w="1433"/>
        <w:gridCol w:w="644"/>
        <w:gridCol w:w="437"/>
        <w:gridCol w:w="209"/>
        <w:gridCol w:w="1474"/>
        <w:gridCol w:w="1268"/>
        <w:gridCol w:w="391"/>
        <w:gridCol w:w="2011"/>
      </w:tblGrid>
      <w:tr w14:paraId="6BE6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pct"/>
            <w:noWrap w:val="0"/>
            <w:vAlign w:val="center"/>
          </w:tcPr>
          <w:p w14:paraId="2CE53C1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姓  名</w:t>
            </w:r>
          </w:p>
        </w:tc>
        <w:tc>
          <w:tcPr>
            <w:tcW w:w="792" w:type="pct"/>
            <w:gridSpan w:val="2"/>
            <w:noWrap w:val="0"/>
            <w:vAlign w:val="center"/>
          </w:tcPr>
          <w:p w14:paraId="28D5D42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03" w:type="pct"/>
            <w:gridSpan w:val="3"/>
            <w:noWrap w:val="0"/>
            <w:vAlign w:val="center"/>
          </w:tcPr>
          <w:p w14:paraId="0E7F5B3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年 龄</w:t>
            </w:r>
          </w:p>
        </w:tc>
        <w:tc>
          <w:tcPr>
            <w:tcW w:w="803" w:type="pct"/>
            <w:noWrap w:val="0"/>
            <w:vAlign w:val="center"/>
          </w:tcPr>
          <w:p w14:paraId="11101E8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4" w:type="pct"/>
            <w:gridSpan w:val="2"/>
            <w:noWrap w:val="0"/>
            <w:vAlign w:val="center"/>
          </w:tcPr>
          <w:p w14:paraId="49E194E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学 历</w:t>
            </w:r>
          </w:p>
        </w:tc>
        <w:tc>
          <w:tcPr>
            <w:tcW w:w="1096" w:type="pct"/>
            <w:noWrap w:val="0"/>
            <w:vAlign w:val="center"/>
          </w:tcPr>
          <w:p w14:paraId="0B00A08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537B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pct"/>
            <w:noWrap w:val="0"/>
            <w:vAlign w:val="center"/>
          </w:tcPr>
          <w:p w14:paraId="08D2C3B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职  称</w:t>
            </w:r>
          </w:p>
        </w:tc>
        <w:tc>
          <w:tcPr>
            <w:tcW w:w="792" w:type="pct"/>
            <w:gridSpan w:val="2"/>
            <w:noWrap w:val="0"/>
            <w:vAlign w:val="center"/>
          </w:tcPr>
          <w:p w14:paraId="14A905C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03" w:type="pct"/>
            <w:gridSpan w:val="3"/>
            <w:noWrap w:val="0"/>
            <w:vAlign w:val="center"/>
          </w:tcPr>
          <w:p w14:paraId="435CDB5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w:t>
            </w:r>
          </w:p>
          <w:p w14:paraId="1BC6FC3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职务</w:t>
            </w:r>
          </w:p>
        </w:tc>
        <w:tc>
          <w:tcPr>
            <w:tcW w:w="803" w:type="pct"/>
            <w:noWrap w:val="0"/>
            <w:vAlign w:val="center"/>
          </w:tcPr>
          <w:p w14:paraId="393E3BD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904" w:type="pct"/>
            <w:gridSpan w:val="2"/>
            <w:noWrap w:val="0"/>
            <w:vAlign w:val="center"/>
          </w:tcPr>
          <w:p w14:paraId="3AAB89C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拟在本标段</w:t>
            </w:r>
          </w:p>
          <w:p w14:paraId="53704D7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工程担任职务</w:t>
            </w:r>
          </w:p>
        </w:tc>
        <w:tc>
          <w:tcPr>
            <w:tcW w:w="1096" w:type="pct"/>
            <w:noWrap w:val="0"/>
            <w:vAlign w:val="center"/>
          </w:tcPr>
          <w:p w14:paraId="64688A6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450B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pct"/>
            <w:noWrap w:val="0"/>
            <w:vAlign w:val="center"/>
          </w:tcPr>
          <w:p w14:paraId="7D961E2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毕业学校</w:t>
            </w:r>
          </w:p>
        </w:tc>
        <w:tc>
          <w:tcPr>
            <w:tcW w:w="4298" w:type="pct"/>
            <w:gridSpan w:val="9"/>
            <w:noWrap w:val="0"/>
            <w:vAlign w:val="center"/>
          </w:tcPr>
          <w:p w14:paraId="25D94693">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月毕业于</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学校</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专业，学制</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p>
        </w:tc>
      </w:tr>
      <w:tr w14:paraId="19B2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0"/>
            <w:noWrap w:val="0"/>
            <w:vAlign w:val="center"/>
          </w:tcPr>
          <w:p w14:paraId="2F442C6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经    历</w:t>
            </w:r>
          </w:p>
        </w:tc>
      </w:tr>
      <w:tr w14:paraId="5D8D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noWrap w:val="0"/>
            <w:vAlign w:val="center"/>
          </w:tcPr>
          <w:p w14:paraId="0ABA860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时间</w:t>
            </w:r>
          </w:p>
        </w:tc>
        <w:tc>
          <w:tcPr>
            <w:tcW w:w="1370" w:type="pct"/>
            <w:gridSpan w:val="3"/>
            <w:noWrap w:val="0"/>
            <w:vAlign w:val="center"/>
          </w:tcPr>
          <w:p w14:paraId="4BF8DE9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参加过的工程项目名称</w:t>
            </w:r>
          </w:p>
        </w:tc>
        <w:tc>
          <w:tcPr>
            <w:tcW w:w="917" w:type="pct"/>
            <w:gridSpan w:val="2"/>
            <w:noWrap w:val="0"/>
            <w:vAlign w:val="center"/>
          </w:tcPr>
          <w:p w14:paraId="6E70B65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签约合同价金额（万元）</w:t>
            </w:r>
          </w:p>
        </w:tc>
        <w:tc>
          <w:tcPr>
            <w:tcW w:w="691" w:type="pct"/>
            <w:noWrap w:val="0"/>
            <w:vAlign w:val="center"/>
          </w:tcPr>
          <w:p w14:paraId="615993F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担任职务</w:t>
            </w:r>
          </w:p>
        </w:tc>
        <w:tc>
          <w:tcPr>
            <w:tcW w:w="1309" w:type="pct"/>
            <w:gridSpan w:val="2"/>
            <w:noWrap w:val="0"/>
            <w:vAlign w:val="center"/>
          </w:tcPr>
          <w:p w14:paraId="24CD8FB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发包人及联系电话</w:t>
            </w:r>
          </w:p>
        </w:tc>
      </w:tr>
      <w:tr w14:paraId="3724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noWrap w:val="0"/>
            <w:vAlign w:val="top"/>
          </w:tcPr>
          <w:p w14:paraId="0C8D74B0">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70" w:type="pct"/>
            <w:gridSpan w:val="3"/>
            <w:noWrap w:val="0"/>
            <w:vAlign w:val="top"/>
          </w:tcPr>
          <w:p w14:paraId="064F9C53">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17" w:type="pct"/>
            <w:gridSpan w:val="2"/>
            <w:noWrap w:val="0"/>
            <w:vAlign w:val="top"/>
          </w:tcPr>
          <w:p w14:paraId="06CA0C3F">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691" w:type="pct"/>
            <w:noWrap w:val="0"/>
            <w:vAlign w:val="top"/>
          </w:tcPr>
          <w:p w14:paraId="1FBC13DB">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09" w:type="pct"/>
            <w:gridSpan w:val="2"/>
            <w:noWrap w:val="0"/>
            <w:vAlign w:val="top"/>
          </w:tcPr>
          <w:p w14:paraId="19291EB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2845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noWrap w:val="0"/>
            <w:vAlign w:val="top"/>
          </w:tcPr>
          <w:p w14:paraId="5CD0B173">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70" w:type="pct"/>
            <w:gridSpan w:val="3"/>
            <w:noWrap w:val="0"/>
            <w:vAlign w:val="top"/>
          </w:tcPr>
          <w:p w14:paraId="39A47D55">
            <w:pPr>
              <w:pStyle w:val="15"/>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highlight w:val="none"/>
                <w14:textFill>
                  <w14:solidFill>
                    <w14:schemeClr w14:val="tx1"/>
                  </w14:solidFill>
                </w14:textFill>
              </w:rPr>
            </w:pPr>
          </w:p>
        </w:tc>
        <w:tc>
          <w:tcPr>
            <w:tcW w:w="917" w:type="pct"/>
            <w:gridSpan w:val="2"/>
            <w:noWrap w:val="0"/>
            <w:vAlign w:val="top"/>
          </w:tcPr>
          <w:p w14:paraId="2216C435">
            <w:pPr>
              <w:pStyle w:val="15"/>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highlight w:val="none"/>
                <w14:textFill>
                  <w14:solidFill>
                    <w14:schemeClr w14:val="tx1"/>
                  </w14:solidFill>
                </w14:textFill>
              </w:rPr>
            </w:pPr>
          </w:p>
        </w:tc>
        <w:tc>
          <w:tcPr>
            <w:tcW w:w="691" w:type="pct"/>
            <w:noWrap w:val="0"/>
            <w:vAlign w:val="top"/>
          </w:tcPr>
          <w:p w14:paraId="3C332919">
            <w:pPr>
              <w:pStyle w:val="15"/>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highlight w:val="none"/>
                <w14:textFill>
                  <w14:solidFill>
                    <w14:schemeClr w14:val="tx1"/>
                  </w14:solidFill>
                </w14:textFill>
              </w:rPr>
            </w:pPr>
          </w:p>
        </w:tc>
        <w:tc>
          <w:tcPr>
            <w:tcW w:w="1309" w:type="pct"/>
            <w:gridSpan w:val="2"/>
            <w:noWrap w:val="0"/>
            <w:vAlign w:val="top"/>
          </w:tcPr>
          <w:p w14:paraId="3C9C3AA3">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68A7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noWrap w:val="0"/>
            <w:vAlign w:val="top"/>
          </w:tcPr>
          <w:p w14:paraId="5459C88E">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70" w:type="pct"/>
            <w:gridSpan w:val="3"/>
            <w:noWrap w:val="0"/>
            <w:vAlign w:val="top"/>
          </w:tcPr>
          <w:p w14:paraId="16668A8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17" w:type="pct"/>
            <w:gridSpan w:val="2"/>
            <w:noWrap w:val="0"/>
            <w:vAlign w:val="top"/>
          </w:tcPr>
          <w:p w14:paraId="1C615C88">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691" w:type="pct"/>
            <w:noWrap w:val="0"/>
            <w:vAlign w:val="top"/>
          </w:tcPr>
          <w:p w14:paraId="610BD900">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09" w:type="pct"/>
            <w:gridSpan w:val="2"/>
            <w:noWrap w:val="0"/>
            <w:vAlign w:val="top"/>
          </w:tcPr>
          <w:p w14:paraId="687C6A20">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4217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noWrap w:val="0"/>
            <w:vAlign w:val="center"/>
          </w:tcPr>
          <w:p w14:paraId="09B8D988">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70" w:type="pct"/>
            <w:gridSpan w:val="3"/>
            <w:noWrap w:val="0"/>
            <w:vAlign w:val="center"/>
          </w:tcPr>
          <w:p w14:paraId="13A1040E">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17" w:type="pct"/>
            <w:gridSpan w:val="2"/>
            <w:noWrap w:val="0"/>
            <w:vAlign w:val="center"/>
          </w:tcPr>
          <w:p w14:paraId="46AD4D9B">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691" w:type="pct"/>
            <w:noWrap w:val="0"/>
            <w:vAlign w:val="center"/>
          </w:tcPr>
          <w:p w14:paraId="251B9144">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09" w:type="pct"/>
            <w:gridSpan w:val="2"/>
            <w:noWrap w:val="0"/>
            <w:vAlign w:val="center"/>
          </w:tcPr>
          <w:p w14:paraId="3F7EC57A">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7AEC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noWrap w:val="0"/>
            <w:vAlign w:val="center"/>
          </w:tcPr>
          <w:p w14:paraId="533EEB34">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70" w:type="pct"/>
            <w:gridSpan w:val="3"/>
            <w:noWrap w:val="0"/>
            <w:vAlign w:val="center"/>
          </w:tcPr>
          <w:p w14:paraId="160B8936">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17" w:type="pct"/>
            <w:gridSpan w:val="2"/>
            <w:noWrap w:val="0"/>
            <w:vAlign w:val="center"/>
          </w:tcPr>
          <w:p w14:paraId="36873442">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691" w:type="pct"/>
            <w:noWrap w:val="0"/>
            <w:vAlign w:val="center"/>
          </w:tcPr>
          <w:p w14:paraId="034010F6">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09" w:type="pct"/>
            <w:gridSpan w:val="2"/>
            <w:noWrap w:val="0"/>
            <w:vAlign w:val="center"/>
          </w:tcPr>
          <w:p w14:paraId="031BC087">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5978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noWrap w:val="0"/>
            <w:vAlign w:val="center"/>
          </w:tcPr>
          <w:p w14:paraId="2EC747E7">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70" w:type="pct"/>
            <w:gridSpan w:val="3"/>
            <w:noWrap w:val="0"/>
            <w:vAlign w:val="center"/>
          </w:tcPr>
          <w:p w14:paraId="4C64943E">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17" w:type="pct"/>
            <w:gridSpan w:val="2"/>
            <w:noWrap w:val="0"/>
            <w:vAlign w:val="center"/>
          </w:tcPr>
          <w:p w14:paraId="164C6FC1">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691" w:type="pct"/>
            <w:noWrap w:val="0"/>
            <w:vAlign w:val="center"/>
          </w:tcPr>
          <w:p w14:paraId="6B30A5E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09" w:type="pct"/>
            <w:gridSpan w:val="2"/>
            <w:noWrap w:val="0"/>
            <w:vAlign w:val="center"/>
          </w:tcPr>
          <w:p w14:paraId="29FA02AA">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569C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noWrap w:val="0"/>
            <w:vAlign w:val="center"/>
          </w:tcPr>
          <w:p w14:paraId="2042D83A">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70" w:type="pct"/>
            <w:gridSpan w:val="3"/>
            <w:noWrap w:val="0"/>
            <w:vAlign w:val="center"/>
          </w:tcPr>
          <w:p w14:paraId="24142717">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917" w:type="pct"/>
            <w:gridSpan w:val="2"/>
            <w:tcBorders>
              <w:right w:val="single" w:color="auto" w:sz="8" w:space="0"/>
            </w:tcBorders>
            <w:noWrap w:val="0"/>
            <w:vAlign w:val="center"/>
          </w:tcPr>
          <w:p w14:paraId="24564470">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691" w:type="pct"/>
            <w:tcBorders>
              <w:left w:val="single" w:color="auto" w:sz="8" w:space="0"/>
            </w:tcBorders>
            <w:noWrap w:val="0"/>
            <w:vAlign w:val="center"/>
          </w:tcPr>
          <w:p w14:paraId="035856D4">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c>
          <w:tcPr>
            <w:tcW w:w="1309" w:type="pct"/>
            <w:gridSpan w:val="2"/>
            <w:noWrap w:val="0"/>
            <w:vAlign w:val="center"/>
          </w:tcPr>
          <w:p w14:paraId="1BAC7DC2">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Cs w:val="21"/>
                <w:highlight w:val="none"/>
                <w14:textFill>
                  <w14:solidFill>
                    <w14:schemeClr w14:val="tx1"/>
                  </w14:solidFill>
                </w14:textFill>
              </w:rPr>
            </w:pPr>
          </w:p>
        </w:tc>
      </w:tr>
      <w:tr w14:paraId="0D8C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noWrap w:val="0"/>
            <w:vAlign w:val="center"/>
          </w:tcPr>
          <w:p w14:paraId="541FC38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获奖情况</w:t>
            </w:r>
          </w:p>
        </w:tc>
        <w:tc>
          <w:tcPr>
            <w:tcW w:w="4287" w:type="pct"/>
            <w:gridSpan w:val="8"/>
            <w:noWrap w:val="0"/>
            <w:vAlign w:val="center"/>
          </w:tcPr>
          <w:p w14:paraId="705FC06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4E4E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845" w:type="pct"/>
            <w:gridSpan w:val="4"/>
            <w:noWrap w:val="0"/>
            <w:vAlign w:val="center"/>
          </w:tcPr>
          <w:p w14:paraId="1DBBF48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说明在岗情况</w:t>
            </w:r>
          </w:p>
        </w:tc>
        <w:tc>
          <w:tcPr>
            <w:tcW w:w="3155" w:type="pct"/>
            <w:gridSpan w:val="6"/>
            <w:noWrap w:val="0"/>
            <w:vAlign w:val="center"/>
          </w:tcPr>
          <w:p w14:paraId="4FAD611F">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□目前未在其他项目上任职，现从事工作为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______</w:t>
            </w:r>
          </w:p>
          <w:p w14:paraId="4D363C30">
            <w:pPr>
              <w:pStyle w:val="4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snapToGrid w:val="0"/>
                <w:color w:val="000000" w:themeColor="text1"/>
                <w:kern w:val="0"/>
                <w:szCs w:val="2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□目前虽在其他项目上任职，但本项目中标后能够撤离，目前任职项目</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______，担任职位</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w:t>
            </w:r>
          </w:p>
        </w:tc>
      </w:tr>
    </w:tbl>
    <w:p w14:paraId="1DBD2CB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本表应填写项目经理和项目技术负责人相关情况。</w:t>
      </w:r>
    </w:p>
    <w:p w14:paraId="6317CA3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投标人应根据招标文件第二章“投标人须知”前附表附录5、附录6的要求在本表后附相关证明材料，对于前附表附录5中的相关证明材料如投标文件已经提交 ，可不重复提交。</w:t>
      </w:r>
    </w:p>
    <w:p w14:paraId="44B61AFC">
      <w:pPr>
        <w:pageBreakBefore w:val="0"/>
        <w:kinsoku/>
        <w:wordWrap w:val="0"/>
        <w:overflowPunct/>
        <w:bidi w:val="0"/>
        <w:jc w:val="center"/>
        <w:outlineLvl w:val="9"/>
        <w:rPr>
          <w:rStyle w:val="73"/>
          <w:rFonts w:hint="eastAsia" w:ascii="Times New Roman" w:hAnsi="Times New Roman"/>
          <w:b w:val="0"/>
          <w:bCs w:val="0"/>
          <w:smallCaps w:val="0"/>
          <w:color w:val="000000" w:themeColor="text1"/>
          <w:highlight w:val="none"/>
          <w14:textFill>
            <w14:solidFill>
              <w14:schemeClr w14:val="tx1"/>
            </w14:solidFill>
          </w14:textFill>
        </w:rPr>
      </w:pPr>
      <w:r>
        <w:rPr>
          <w:rFonts w:hint="eastAsia" w:ascii="Times New Roman" w:hAnsi="Times New Roman" w:eastAsia="宋体" w:cs="宋体"/>
          <w:b/>
          <w:bCs w:val="0"/>
          <w:smallCaps w:val="0"/>
          <w:color w:val="000000" w:themeColor="text1"/>
          <w:szCs w:val="21"/>
          <w:highlight w:val="none"/>
          <w14:textFill>
            <w14:solidFill>
              <w14:schemeClr w14:val="tx1"/>
            </w14:solidFill>
          </w14:textFill>
        </w:rPr>
        <w:br w:type="page"/>
      </w:r>
      <w:bookmarkStart w:id="1470" w:name="_Toc421917006"/>
      <w:bookmarkStart w:id="1471" w:name="_Toc390411626"/>
      <w:bookmarkStart w:id="1472" w:name="_Toc460660228"/>
      <w:bookmarkStart w:id="1473" w:name="_Toc460227113"/>
      <w:r>
        <w:rPr>
          <w:rStyle w:val="73"/>
          <w:rFonts w:hint="eastAsia" w:ascii="Times New Roman" w:hAnsi="Times New Roman"/>
          <w:b w:val="0"/>
          <w:bCs w:val="0"/>
          <w:smallCaps w:val="0"/>
          <w:color w:val="000000" w:themeColor="text1"/>
          <w:highlight w:val="none"/>
          <w14:textFill>
            <w14:solidFill>
              <w14:schemeClr w14:val="tx1"/>
            </w14:solidFill>
          </w14:textFill>
        </w:rPr>
        <w:t>（七）项目经理承诺</w:t>
      </w:r>
      <w:bookmarkEnd w:id="1470"/>
      <w:bookmarkEnd w:id="1471"/>
      <w:bookmarkEnd w:id="1472"/>
      <w:bookmarkEnd w:id="1473"/>
    </w:p>
    <w:p w14:paraId="19A9032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致</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______________(招标人名称)</w:t>
      </w:r>
    </w:p>
    <w:p w14:paraId="3B3224B6">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本人作为拟委任的项目经理，现郑重承诺如下</w:t>
      </w:r>
      <w:r>
        <w:rPr>
          <w:rFonts w:hint="eastAsia" w:ascii="Times New Roman" w:hAnsi="Times New Roman"/>
          <w:smallCaps w:val="0"/>
          <w:color w:val="000000" w:themeColor="text1"/>
          <w:highlight w:val="none"/>
          <w:lang w:eastAsia="zh-CN"/>
          <w14:textFill>
            <w14:solidFill>
              <w14:schemeClr w14:val="tx1"/>
            </w14:solidFill>
          </w14:textFill>
        </w:rPr>
        <w:t>：</w:t>
      </w:r>
    </w:p>
    <w:p w14:paraId="7A641C0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一、投标文件中提供的项目经理业绩已经本人核实，工程实施过程中项目经理确为本人，合同（或竣工相关资料证明）履约过程中涉及的本人签字均为该工程实施时段所签，真实无误，不存在虚假和挂靠现象，也不存在为投标而造假的行为。</w:t>
      </w:r>
    </w:p>
    <w:p w14:paraId="402F15C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二、目前无在岗项目或虽在其他项目上担任项目经理岗位，但承诺在本项目中标后合同签订前能够从其他项目变更至本项目并全面履约。</w:t>
      </w:r>
    </w:p>
    <w:p w14:paraId="70BB954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三、以上承诺如果发现虚假现象，本人愿意承担相应法律责任，并随时无条件配合贵方调查取证。</w:t>
      </w:r>
    </w:p>
    <w:p w14:paraId="38C09EC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四、</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Style w:val="28"/>
          <w:rFonts w:hint="eastAsia" w:ascii="Times New Roman" w:hAnsi="Times New Roman" w:cs="宋体"/>
          <w:b/>
          <w:smallCaps w:val="0"/>
          <w:snapToGrid w:val="0"/>
          <w:color w:val="000000" w:themeColor="text1"/>
          <w:kern w:val="0"/>
          <w:szCs w:val="28"/>
          <w:highlight w:val="none"/>
          <w14:textFill>
            <w14:solidFill>
              <w14:schemeClr w14:val="tx1"/>
            </w14:solidFill>
          </w14:textFill>
        </w:rPr>
        <w:footnoteReference w:id="70"/>
      </w:r>
    </w:p>
    <w:p w14:paraId="356E9FFE">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006D7803">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3F69D8D3">
      <w:pPr>
        <w:pStyle w:val="79"/>
        <w:pageBreakBefore w:val="0"/>
        <w:kinsoku/>
        <w:wordWrap w:val="0"/>
        <w:overflowPunct/>
        <w:bidi w:val="0"/>
        <w:ind w:left="0" w:leftChars="0" w:firstLine="5040" w:firstLineChars="2400"/>
        <w:jc w:val="lef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w:t>
      </w:r>
    </w:p>
    <w:p w14:paraId="74F2666B">
      <w:pPr>
        <w:pStyle w:val="79"/>
        <w:pageBreakBefore w:val="0"/>
        <w:kinsoku/>
        <w:wordWrap w:val="0"/>
        <w:overflowPunct/>
        <w:bidi w:val="0"/>
        <w:ind w:left="0" w:leftChars="0" w:firstLine="5040" w:firstLineChars="2400"/>
        <w:jc w:val="lef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身份证号</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7D38CD47">
      <w:pPr>
        <w:pStyle w:val="79"/>
        <w:pageBreakBefore w:val="0"/>
        <w:kinsoku/>
        <w:wordWrap w:val="0"/>
        <w:overflowPunct/>
        <w:bidi w:val="0"/>
        <w:ind w:left="0" w:leftChars="0" w:firstLine="5040" w:firstLineChars="2400"/>
        <w:jc w:val="lef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_____年____月____日</w:t>
      </w:r>
    </w:p>
    <w:p w14:paraId="65B7E29B">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321F7597">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 </w:t>
      </w:r>
    </w:p>
    <w:p w14:paraId="571F43EB">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474" w:name="_Toc24227"/>
      <w:bookmarkStart w:id="1475" w:name="_Toc9502"/>
      <w:bookmarkStart w:id="1476" w:name="_Toc6265"/>
      <w:bookmarkStart w:id="1477" w:name="_Toc32701"/>
      <w:bookmarkStart w:id="1478" w:name="_Toc4758"/>
      <w:bookmarkStart w:id="1479" w:name="_Toc6344"/>
      <w:bookmarkStart w:id="1480" w:name="_Toc17230"/>
      <w:bookmarkStart w:id="1481" w:name="_Toc28785"/>
      <w:r>
        <w:rPr>
          <w:rFonts w:hint="eastAsia" w:ascii="Times New Roman" w:hAnsi="Times New Roman"/>
          <w:smallCaps w:val="0"/>
          <w:color w:val="000000" w:themeColor="text1"/>
          <w:highlight w:val="none"/>
          <w14:textFill>
            <w14:solidFill>
              <w14:schemeClr w14:val="tx1"/>
            </w14:solidFill>
          </w14:textFill>
        </w:rPr>
        <w:t>本页后附项目经理身份证复印件或扫描件</w:t>
      </w:r>
      <w:bookmarkEnd w:id="1474"/>
      <w:bookmarkEnd w:id="1475"/>
      <w:bookmarkEnd w:id="1476"/>
      <w:bookmarkEnd w:id="1477"/>
      <w:bookmarkEnd w:id="1478"/>
      <w:bookmarkEnd w:id="1479"/>
      <w:bookmarkEnd w:id="1480"/>
      <w:bookmarkEnd w:id="1481"/>
    </w:p>
    <w:p w14:paraId="1208C857">
      <w:pPr>
        <w:pageBreakBefore w:val="0"/>
        <w:kinsoku/>
        <w:wordWrap w:val="0"/>
        <w:overflowPunct/>
        <w:bidi w:val="0"/>
        <w:rPr>
          <w:rFonts w:hint="eastAsia" w:ascii="Times New Roman" w:hAnsi="Times New Roman" w:cs="宋体"/>
          <w:b/>
          <w:bCs/>
          <w:smallCaps w:val="0"/>
          <w:color w:val="000000" w:themeColor="text1"/>
          <w:szCs w:val="21"/>
          <w:highlight w:val="none"/>
          <w14:textFill>
            <w14:solidFill>
              <w14:schemeClr w14:val="tx1"/>
            </w14:solidFill>
          </w14:textFill>
        </w:rPr>
      </w:pPr>
    </w:p>
    <w:p w14:paraId="10A0B935">
      <w:pPr>
        <w:pageBreakBefore w:val="0"/>
        <w:kinsoku/>
        <w:wordWrap w:val="0"/>
        <w:overflowPunct/>
        <w:bidi w:val="0"/>
        <w:adjustRightInd w:val="0"/>
        <w:snapToGrid w:val="0"/>
        <w:spacing w:before="48" w:beforeLines="20" w:after="48" w:afterLines="20" w:line="400" w:lineRule="exact"/>
        <w:jc w:val="center"/>
        <w:rPr>
          <w:rFonts w:hint="eastAsia" w:ascii="Times New Roman" w:hAnsi="Times New Roman" w:cs="宋体"/>
          <w:smallCaps w:val="0"/>
          <w:color w:val="000000" w:themeColor="text1"/>
          <w:szCs w:val="21"/>
          <w:highlight w:val="none"/>
          <w14:textFill>
            <w14:solidFill>
              <w14:schemeClr w14:val="tx1"/>
            </w14:solidFill>
          </w14:textFill>
        </w:rPr>
      </w:pPr>
      <w:bookmarkStart w:id="1482" w:name="_Toc390411627"/>
      <w:bookmarkStart w:id="1483" w:name="_Toc421917007"/>
      <w:r>
        <w:rPr>
          <w:rFonts w:hint="eastAsia" w:ascii="Times New Roman" w:hAnsi="Times New Roman" w:cs="宋体"/>
          <w:smallCaps w:val="0"/>
          <w:color w:val="000000" w:themeColor="text1"/>
          <w:szCs w:val="21"/>
          <w:highlight w:val="none"/>
          <w14:textFill>
            <w14:solidFill>
              <w14:schemeClr w14:val="tx1"/>
            </w14:solidFill>
          </w14:textFill>
        </w:rPr>
        <w:br w:type="page"/>
      </w:r>
      <w:bookmarkEnd w:id="1482"/>
      <w:bookmarkEnd w:id="1483"/>
      <w:bookmarkStart w:id="1484" w:name="_Toc421917010"/>
      <w:bookmarkStart w:id="1485" w:name="_Toc460227118"/>
      <w:bookmarkStart w:id="1486" w:name="_Toc460660233"/>
      <w:bookmarkStart w:id="1487" w:name="_Toc390411629"/>
    </w:p>
    <w:bookmarkEnd w:id="1484"/>
    <w:bookmarkEnd w:id="1485"/>
    <w:bookmarkEnd w:id="1486"/>
    <w:bookmarkEnd w:id="1487"/>
    <w:p w14:paraId="0F827D88">
      <w:pPr>
        <w:pStyle w:val="40"/>
        <w:pageBreakBefore w:val="0"/>
        <w:kinsoku/>
        <w:wordWrap w:val="0"/>
        <w:overflowPunct/>
        <w:bidi w:val="0"/>
        <w:outlineLvl w:val="1"/>
        <w:rPr>
          <w:rFonts w:hint="eastAsia" w:ascii="Times New Roman" w:hAnsi="Times New Roman"/>
          <w:smallCaps w:val="0"/>
          <w:color w:val="000000" w:themeColor="text1"/>
          <w:highlight w:val="none"/>
          <w:lang w:eastAsia="zh-CN"/>
          <w14:textFill>
            <w14:solidFill>
              <w14:schemeClr w14:val="tx1"/>
            </w14:solidFill>
          </w14:textFill>
        </w:rPr>
      </w:pPr>
      <w:bookmarkStart w:id="1488" w:name="_Toc17892"/>
      <w:bookmarkStart w:id="1489" w:name="_Toc31971"/>
      <w:bookmarkStart w:id="1490" w:name="_Toc23087"/>
      <w:r>
        <w:rPr>
          <w:rFonts w:hint="eastAsia" w:ascii="Times New Roman" w:hAnsi="Times New Roman"/>
          <w:smallCaps w:val="0"/>
          <w:color w:val="000000" w:themeColor="text1"/>
          <w:highlight w:val="none"/>
          <w14:textFill>
            <w14:solidFill>
              <w14:schemeClr w14:val="tx1"/>
            </w14:solidFill>
          </w14:textFill>
        </w:rPr>
        <w:t>八、商务文件详细评审资料</w:t>
      </w:r>
      <w:bookmarkEnd w:id="1488"/>
      <w:bookmarkEnd w:id="1489"/>
      <w:bookmarkEnd w:id="1490"/>
      <w:bookmarkStart w:id="1491" w:name="_Toc880"/>
      <w:bookmarkStart w:id="1492" w:name="_Toc25029"/>
      <w:bookmarkStart w:id="1493" w:name="_Toc26962"/>
    </w:p>
    <w:p w14:paraId="093650E3">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投标人业绩基本情况表（</w:t>
      </w:r>
      <w:r>
        <w:rPr>
          <w:rFonts w:hint="eastAsia" w:ascii="Times New Roman" w:hAnsi="Times New Roman"/>
          <w:smallCaps w:val="0"/>
          <w:color w:val="000000" w:themeColor="text1"/>
          <w:highlight w:val="none"/>
          <w:lang w:eastAsia="zh-CN"/>
          <w14:textFill>
            <w14:solidFill>
              <w14:schemeClr w14:val="tx1"/>
            </w14:solidFill>
          </w14:textFill>
        </w:rPr>
        <w:t>详细评审</w:t>
      </w:r>
      <w:r>
        <w:rPr>
          <w:rFonts w:hint="eastAsia" w:ascii="Times New Roman" w:hAnsi="Times New Roman"/>
          <w:smallCaps w:val="0"/>
          <w:color w:val="000000" w:themeColor="text1"/>
          <w:highlight w:val="none"/>
          <w14:textFill>
            <w14:solidFill>
              <w14:schemeClr w14:val="tx1"/>
            </w14:solidFill>
          </w14:textFill>
        </w:rPr>
        <w:t>）</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7"/>
        <w:gridCol w:w="6364"/>
        <w:gridCol w:w="1250"/>
      </w:tblGrid>
      <w:tr w14:paraId="72892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5F14901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业绩序号</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1C798E5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项目名称（合同名称）</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0D66483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096F2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17B3B51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51CFA57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0788D57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75C62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1EDB665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0A46DDB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6D1AD5A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A456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4476220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76AB93A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1C469E9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bl>
    <w:p w14:paraId="120D54F7">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p>
    <w:p w14:paraId="68488322">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1.投标人应将用于</w:t>
      </w:r>
      <w:r>
        <w:rPr>
          <w:rFonts w:hint="eastAsia" w:ascii="Times New Roman" w:hAnsi="Times New Roman"/>
          <w:smallCaps w:val="0"/>
          <w:color w:val="000000" w:themeColor="text1"/>
          <w:highlight w:val="none"/>
          <w:lang w:eastAsia="zh-CN"/>
          <w14:textFill>
            <w14:solidFill>
              <w14:schemeClr w14:val="tx1"/>
            </w14:solidFill>
          </w14:textFill>
        </w:rPr>
        <w:t>商务文件详细评审</w:t>
      </w:r>
      <w:r>
        <w:rPr>
          <w:rFonts w:hint="eastAsia" w:ascii="Times New Roman" w:hAnsi="Times New Roman"/>
          <w:smallCaps w:val="0"/>
          <w:color w:val="000000" w:themeColor="text1"/>
          <w:highlight w:val="none"/>
          <w14:textFill>
            <w14:solidFill>
              <w14:schemeClr w14:val="tx1"/>
            </w14:solidFill>
          </w14:textFill>
        </w:rPr>
        <w:t>的投标人业绩在上表中列明，按照列明</w:t>
      </w:r>
      <w:r>
        <w:rPr>
          <w:rFonts w:ascii="Times New Roman" w:hAnsi="Times New Roman"/>
          <w:smallCaps w:val="0"/>
          <w:color w:val="000000" w:themeColor="text1"/>
          <w:highlight w:val="none"/>
          <w14:textFill>
            <w14:solidFill>
              <w14:schemeClr w14:val="tx1"/>
            </w14:solidFill>
          </w14:textFill>
        </w:rPr>
        <w:t>的</w:t>
      </w:r>
      <w:r>
        <w:rPr>
          <w:rFonts w:hint="eastAsia" w:ascii="Times New Roman" w:hAnsi="Times New Roman"/>
          <w:smallCaps w:val="0"/>
          <w:color w:val="000000" w:themeColor="text1"/>
          <w:highlight w:val="none"/>
          <w14:textFill>
            <w14:solidFill>
              <w14:schemeClr w14:val="tx1"/>
            </w14:solidFill>
          </w14:textFill>
        </w:rPr>
        <w:t>业绩序号先后</w:t>
      </w:r>
      <w:r>
        <w:rPr>
          <w:rFonts w:ascii="Times New Roman" w:hAnsi="Times New Roman"/>
          <w:smallCaps w:val="0"/>
          <w:color w:val="000000" w:themeColor="text1"/>
          <w:highlight w:val="none"/>
          <w14:textFill>
            <w14:solidFill>
              <w14:schemeClr w14:val="tx1"/>
            </w14:solidFill>
          </w14:textFill>
        </w:rPr>
        <w:t>顺序</w:t>
      </w:r>
      <w:r>
        <w:rPr>
          <w:rFonts w:hint="eastAsia" w:ascii="Times New Roman" w:hAnsi="Times New Roman"/>
          <w:smallCaps w:val="0"/>
          <w:color w:val="000000" w:themeColor="text1"/>
          <w:highlight w:val="none"/>
          <w14:textFill>
            <w14:solidFill>
              <w14:schemeClr w14:val="tx1"/>
            </w14:solidFill>
          </w14:textFill>
        </w:rPr>
        <w:t>依次填写“投标人</w:t>
      </w:r>
      <w:r>
        <w:rPr>
          <w:rFonts w:hint="eastAsia" w:ascii="Times New Roman" w:hAnsi="Times New Roman"/>
          <w:smallCaps w:val="0"/>
          <w:color w:val="000000" w:themeColor="text1"/>
          <w:highlight w:val="none"/>
          <w:lang w:eastAsia="zh-CN"/>
          <w14:textFill>
            <w14:solidFill>
              <w14:schemeClr w14:val="tx1"/>
            </w14:solidFill>
          </w14:textFill>
        </w:rPr>
        <w:t>近年完成的类似项目情况</w:t>
      </w:r>
      <w:r>
        <w:rPr>
          <w:rFonts w:ascii="Times New Roman" w:hAnsi="Times New Roman"/>
          <w:smallCaps w:val="0"/>
          <w:color w:val="000000" w:themeColor="text1"/>
          <w:highlight w:val="none"/>
          <w14:textFill>
            <w14:solidFill>
              <w14:schemeClr w14:val="tx1"/>
            </w14:solidFill>
          </w14:textFill>
        </w:rPr>
        <w:t>表</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详细评审）</w:t>
      </w:r>
      <w:r>
        <w:rPr>
          <w:rFonts w:hint="eastAsia" w:ascii="Times New Roman" w:hAnsi="Times New Roman"/>
          <w:smallCaps w:val="0"/>
          <w:color w:val="000000" w:themeColor="text1"/>
          <w:highlight w:val="none"/>
          <w14:textFill>
            <w14:solidFill>
              <w14:schemeClr w14:val="tx1"/>
            </w14:solidFill>
          </w14:textFill>
        </w:rPr>
        <w:t>”，并附相应业绩证明材料。</w:t>
      </w:r>
    </w:p>
    <w:p w14:paraId="7CA29E0A">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2.评标</w:t>
      </w:r>
      <w:r>
        <w:rPr>
          <w:rFonts w:ascii="Times New Roman" w:hAnsi="Times New Roman"/>
          <w:smallCaps w:val="0"/>
          <w:color w:val="000000" w:themeColor="text1"/>
          <w:highlight w:val="none"/>
          <w14:textFill>
            <w14:solidFill>
              <w14:schemeClr w14:val="tx1"/>
            </w14:solidFill>
          </w14:textFill>
        </w:rPr>
        <w:t>委员会应当按照上表</w:t>
      </w:r>
      <w:r>
        <w:rPr>
          <w:rFonts w:hint="eastAsia" w:ascii="Times New Roman" w:hAnsi="Times New Roman"/>
          <w:smallCaps w:val="0"/>
          <w:color w:val="000000" w:themeColor="text1"/>
          <w:highlight w:val="none"/>
          <w14:textFill>
            <w14:solidFill>
              <w14:schemeClr w14:val="tx1"/>
            </w14:solidFill>
          </w14:textFill>
        </w:rPr>
        <w:t>列明</w:t>
      </w:r>
      <w:r>
        <w:rPr>
          <w:rFonts w:ascii="Times New Roman" w:hAnsi="Times New Roman"/>
          <w:smallCaps w:val="0"/>
          <w:color w:val="000000" w:themeColor="text1"/>
          <w:highlight w:val="none"/>
          <w14:textFill>
            <w14:solidFill>
              <w14:schemeClr w14:val="tx1"/>
            </w14:solidFill>
          </w14:textFill>
        </w:rPr>
        <w:t>的</w:t>
      </w:r>
      <w:r>
        <w:rPr>
          <w:rFonts w:hint="eastAsia" w:ascii="Times New Roman" w:hAnsi="Times New Roman"/>
          <w:smallCaps w:val="0"/>
          <w:color w:val="000000" w:themeColor="text1"/>
          <w:highlight w:val="none"/>
          <w14:textFill>
            <w14:solidFill>
              <w14:schemeClr w14:val="tx1"/>
            </w14:solidFill>
          </w14:textFill>
        </w:rPr>
        <w:t>业绩序号先后</w:t>
      </w:r>
      <w:r>
        <w:rPr>
          <w:rFonts w:ascii="Times New Roman" w:hAnsi="Times New Roman"/>
          <w:smallCaps w:val="0"/>
          <w:color w:val="000000" w:themeColor="text1"/>
          <w:highlight w:val="none"/>
          <w14:textFill>
            <w14:solidFill>
              <w14:schemeClr w14:val="tx1"/>
            </w14:solidFill>
          </w14:textFill>
        </w:rPr>
        <w:t>顺序</w:t>
      </w:r>
      <w:r>
        <w:rPr>
          <w:rFonts w:hint="eastAsia" w:ascii="Times New Roman" w:hAnsi="Times New Roman"/>
          <w:smallCaps w:val="0"/>
          <w:color w:val="000000" w:themeColor="text1"/>
          <w:highlight w:val="none"/>
          <w14:textFill>
            <w14:solidFill>
              <w14:schemeClr w14:val="tx1"/>
            </w14:solidFill>
          </w14:textFill>
        </w:rPr>
        <w:t>依次</w:t>
      </w:r>
      <w:r>
        <w:rPr>
          <w:rFonts w:ascii="Times New Roman" w:hAnsi="Times New Roman"/>
          <w:smallCaps w:val="0"/>
          <w:color w:val="000000" w:themeColor="text1"/>
          <w:highlight w:val="none"/>
          <w14:textFill>
            <w14:solidFill>
              <w14:schemeClr w14:val="tx1"/>
            </w14:solidFill>
          </w14:textFill>
        </w:rPr>
        <w:t>进行评审，</w:t>
      </w:r>
      <w:r>
        <w:rPr>
          <w:rFonts w:hint="eastAsia" w:ascii="Times New Roman" w:hAnsi="Times New Roman"/>
          <w:smallCaps w:val="0"/>
          <w:color w:val="000000" w:themeColor="text1"/>
          <w:highlight w:val="none"/>
          <w14:textFill>
            <w14:solidFill>
              <w14:schemeClr w14:val="tx1"/>
            </w14:solidFill>
          </w14:textFill>
        </w:rPr>
        <w:t>且仅评审商务文件详细评审标准规定数量的业绩，超出规定数量部分或未在上表列明的业绩均不作为</w:t>
      </w:r>
      <w:r>
        <w:rPr>
          <w:rFonts w:hint="eastAsia" w:ascii="Times New Roman" w:hAnsi="Times New Roman"/>
          <w:smallCaps w:val="0"/>
          <w:color w:val="000000" w:themeColor="text1"/>
          <w:highlight w:val="none"/>
          <w:lang w:eastAsia="zh-CN"/>
          <w14:textFill>
            <w14:solidFill>
              <w14:schemeClr w14:val="tx1"/>
            </w14:solidFill>
          </w14:textFill>
        </w:rPr>
        <w:t>商务文件详细评审</w:t>
      </w:r>
      <w:r>
        <w:rPr>
          <w:rFonts w:hint="eastAsia" w:ascii="Times New Roman" w:hAnsi="Times New Roman"/>
          <w:smallCaps w:val="0"/>
          <w:color w:val="000000" w:themeColor="text1"/>
          <w:highlight w:val="none"/>
          <w14:textFill>
            <w14:solidFill>
              <w14:schemeClr w14:val="tx1"/>
            </w14:solidFill>
          </w14:textFill>
        </w:rPr>
        <w:t>投标人业绩予以评审。</w:t>
      </w:r>
    </w:p>
    <w:p w14:paraId="73A7A0B2">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2C765AAB">
      <w:pPr>
        <w:pStyle w:val="79"/>
        <w:pageBreakBefore w:val="0"/>
        <w:kinsoku/>
        <w:wordWrap w:val="0"/>
        <w:overflowPunct/>
        <w:bidi w:val="0"/>
        <w:ind w:left="0" w:leftChars="0" w:firstLine="4798" w:firstLineChars="2285"/>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7CD31B31">
      <w:pPr>
        <w:pStyle w:val="79"/>
        <w:pageBreakBefore w:val="0"/>
        <w:kinsoku/>
        <w:wordWrap w:val="0"/>
        <w:overflowPunct/>
        <w:bidi w:val="0"/>
        <w:ind w:left="0" w:leftChars="0" w:firstLine="4798" w:firstLineChars="2285"/>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2835DBB9">
      <w:pPr>
        <w:pageBreakBefore w:val="0"/>
        <w:kinsoku/>
        <w:wordWrap w:val="0"/>
        <w:overflowPunct/>
        <w:bidi w:val="0"/>
        <w:rPr>
          <w:rFonts w:hint="eastAsia" w:ascii="Times New Roman" w:hAnsi="Times New Roman" w:cs="宋体"/>
          <w:bCs/>
          <w:smallCaps w:val="0"/>
          <w:color w:val="000000" w:themeColor="text1"/>
          <w:sz w:val="24"/>
          <w:highlight w:val="none"/>
          <w14:textFill>
            <w14:solidFill>
              <w14:schemeClr w14:val="tx1"/>
            </w14:solidFill>
          </w14:textFill>
        </w:rPr>
      </w:pPr>
    </w:p>
    <w:p w14:paraId="6C076EC5">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7093B243">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671A0DAC">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2F24BE9F">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77FBDB18">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2CA451C4">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11EFC7A3">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2229D872">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4EA8C345">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2387348A">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5C63B33C">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17BEB25C">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3F9FB0F1">
      <w:pPr>
        <w:pStyle w:val="21"/>
        <w:pageBreakBefore w:val="0"/>
        <w:kinsoku/>
        <w:wordWrap w:val="0"/>
        <w:overflowPunct/>
        <w:bidi w:val="0"/>
        <w:rPr>
          <w:rFonts w:hint="eastAsia" w:ascii="Times New Roman" w:hAnsi="Times New Roman" w:cs="宋体"/>
          <w:bCs w:val="0"/>
          <w:smallCaps w:val="0"/>
          <w:color w:val="000000" w:themeColor="text1"/>
          <w:sz w:val="24"/>
          <w:highlight w:val="none"/>
          <w14:textFill>
            <w14:solidFill>
              <w14:schemeClr w14:val="tx1"/>
            </w14:solidFill>
          </w14:textFill>
        </w:rPr>
      </w:pPr>
    </w:p>
    <w:p w14:paraId="271A40F7">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494" w:name="_Toc10705"/>
      <w:bookmarkStart w:id="1495" w:name="_Toc2731"/>
      <w:bookmarkStart w:id="1496" w:name="_Toc13340"/>
      <w:bookmarkStart w:id="1497" w:name="_Toc27790"/>
      <w:bookmarkStart w:id="1498" w:name="_Toc16938"/>
      <w:r>
        <w:rPr>
          <w:rFonts w:hint="eastAsia" w:ascii="Times New Roman" w:hAnsi="Times New Roman"/>
          <w:smallCaps w:val="0"/>
          <w:color w:val="000000" w:themeColor="text1"/>
          <w:highlight w:val="none"/>
          <w14:textFill>
            <w14:solidFill>
              <w14:schemeClr w14:val="tx1"/>
            </w14:solidFill>
          </w14:textFill>
        </w:rPr>
        <w:br w:type="page"/>
      </w:r>
    </w:p>
    <w:p w14:paraId="1F6B0E0E">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投标人近年完成的类似项目情况表</w:t>
      </w:r>
      <w:bookmarkEnd w:id="1491"/>
      <w:bookmarkEnd w:id="1492"/>
      <w:bookmarkEnd w:id="1493"/>
      <w:bookmarkEnd w:id="1494"/>
      <w:bookmarkEnd w:id="1495"/>
      <w:bookmarkEnd w:id="1496"/>
      <w:bookmarkEnd w:id="1497"/>
      <w:bookmarkEnd w:id="1498"/>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eastAsia="zh-CN"/>
          <w14:textFill>
            <w14:solidFill>
              <w14:schemeClr w14:val="tx1"/>
            </w14:solidFill>
          </w14:textFill>
        </w:rPr>
        <w:t>详细评审</w:t>
      </w:r>
      <w:r>
        <w:rPr>
          <w:rFonts w:hint="eastAsia" w:ascii="Times New Roman" w:hAnsi="Times New Roman"/>
          <w:smallCaps w:val="0"/>
          <w:color w:val="000000" w:themeColor="text1"/>
          <w:highlight w:val="none"/>
          <w14:textFill>
            <w14:solidFill>
              <w14:schemeClr w14:val="tx1"/>
            </w14:solidFill>
          </w14:textFill>
        </w:rPr>
        <w:t>）</w:t>
      </w:r>
    </w:p>
    <w:tbl>
      <w:tblPr>
        <w:tblStyle w:val="22"/>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14:paraId="40B2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D13295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0AEEBCF">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5F4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26DDA3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F549C7C">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138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1A562F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8111A47">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3BD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C7FDE9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83D4A42">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036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16A104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2B4D30A">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EB7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5EC55C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94374CC">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DC7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6942FF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4AE3974">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735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1CF4A2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BB80F66">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ECF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44B38A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竣工日期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7369AD1">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218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392443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承担的工作</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205204B">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78C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C0B6B9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工程质量</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CECF23A">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979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1455DD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p w14:paraId="5C4407D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（或注册建造师）</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6F7FBCC">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E9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8DD48D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39F2A8D">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A9B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BF33FF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监理单位及联系电话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D2502E3">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5A9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D28893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总监理工程师及电话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766E4F7">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336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E072C2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98CE3D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3422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9D9DEB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9E9B4C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商务文件评分用业绩</w:t>
            </w:r>
          </w:p>
        </w:tc>
      </w:tr>
    </w:tbl>
    <w:p w14:paraId="09D1F10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投标人应根据招标文件第二章“投标人须知”前附表附录3的要求在本表后附相关证明材料。</w:t>
      </w:r>
    </w:p>
    <w:p w14:paraId="660118F5">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1DA8F8D4">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2F934FBB">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59FE8F81">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52C8D4E7">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bookmarkStart w:id="1499" w:name="_Toc32447"/>
      <w:bookmarkStart w:id="1500" w:name="_Toc18739"/>
      <w:bookmarkStart w:id="1501" w:name="_Toc26996"/>
      <w:r>
        <w:rPr>
          <w:rFonts w:hint="eastAsia" w:ascii="Times New Roman" w:hAnsi="Times New Roman"/>
          <w:smallCaps w:val="0"/>
          <w:color w:val="000000" w:themeColor="text1"/>
          <w:highlight w:val="none"/>
          <w:lang w:eastAsia="zh-CN"/>
          <w14:textFill>
            <w14:solidFill>
              <w14:schemeClr w14:val="tx1"/>
            </w14:solidFill>
          </w14:textFill>
        </w:rPr>
        <w:br w:type="page"/>
      </w:r>
    </w:p>
    <w:p w14:paraId="64624735">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二</w:t>
      </w:r>
      <w:r>
        <w:rPr>
          <w:rFonts w:hint="eastAsia" w:ascii="Times New Roman" w:hAnsi="Times New Roman"/>
          <w:smallCaps w:val="0"/>
          <w:color w:val="000000" w:themeColor="text1"/>
          <w:highlight w:val="none"/>
          <w:lang w:eastAsia="zh-CN"/>
          <w14:textFill>
            <w14:solidFill>
              <w14:schemeClr w14:val="tx1"/>
            </w14:solidFill>
          </w14:textFill>
        </w:rPr>
        <w:t>）项目经理</w:t>
      </w:r>
      <w:r>
        <w:rPr>
          <w:rFonts w:hint="eastAsia" w:ascii="Times New Roman" w:hAnsi="Times New Roman"/>
          <w:smallCaps w:val="0"/>
          <w:color w:val="000000" w:themeColor="text1"/>
          <w:highlight w:val="none"/>
          <w14:textFill>
            <w14:solidFill>
              <w14:schemeClr w14:val="tx1"/>
            </w14:solidFill>
          </w14:textFill>
        </w:rPr>
        <w:t>业绩基本情况表（</w:t>
      </w:r>
      <w:r>
        <w:rPr>
          <w:rFonts w:hint="eastAsia" w:ascii="Times New Roman" w:hAnsi="Times New Roman"/>
          <w:smallCaps w:val="0"/>
          <w:color w:val="000000" w:themeColor="text1"/>
          <w:highlight w:val="none"/>
          <w:lang w:eastAsia="zh-CN"/>
          <w14:textFill>
            <w14:solidFill>
              <w14:schemeClr w14:val="tx1"/>
            </w14:solidFill>
          </w14:textFill>
        </w:rPr>
        <w:t>详细评审</w:t>
      </w:r>
      <w:r>
        <w:rPr>
          <w:rFonts w:hint="eastAsia" w:ascii="Times New Roman" w:hAnsi="Times New Roman"/>
          <w:smallCaps w:val="0"/>
          <w:color w:val="000000" w:themeColor="text1"/>
          <w:highlight w:val="none"/>
          <w14:textFill>
            <w14:solidFill>
              <w14:schemeClr w14:val="tx1"/>
            </w14:solidFill>
          </w14:textFill>
        </w:rPr>
        <w:t>）</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7"/>
        <w:gridCol w:w="6364"/>
        <w:gridCol w:w="1250"/>
      </w:tblGrid>
      <w:tr w14:paraId="3AE82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5E2D1D0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业绩序号</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467F506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项目名称（合同名称）</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4A92F4A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04EC0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6BC5AE4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1C177BE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2E4BFF5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CAFE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18D321B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3006D50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0854055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5D6F1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cBorders>
            <w:noWrap w:val="0"/>
            <w:vAlign w:val="center"/>
          </w:tcPr>
          <w:p w14:paraId="420522E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p>
        </w:tc>
        <w:tc>
          <w:tcPr>
            <w:tcW w:w="3468" w:type="pct"/>
            <w:tcBorders>
              <w:top w:val="single" w:color="000000" w:sz="4" w:space="0"/>
              <w:left w:val="single" w:color="000000" w:sz="4" w:space="0"/>
              <w:bottom w:val="single" w:color="000000" w:sz="4" w:space="0"/>
              <w:right w:val="single" w:color="000000" w:sz="4" w:space="0"/>
            </w:tcBorders>
            <w:noWrap w:val="0"/>
            <w:vAlign w:val="center"/>
          </w:tcPr>
          <w:p w14:paraId="3EEEF5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14:paraId="42D05F8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bl>
    <w:p w14:paraId="498A6D27">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p>
    <w:p w14:paraId="07BFEF67">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1.投标人应将用于</w:t>
      </w:r>
      <w:r>
        <w:rPr>
          <w:rFonts w:hint="eastAsia" w:ascii="Times New Roman" w:hAnsi="Times New Roman"/>
          <w:smallCaps w:val="0"/>
          <w:color w:val="000000" w:themeColor="text1"/>
          <w:highlight w:val="none"/>
          <w:lang w:eastAsia="zh-CN"/>
          <w14:textFill>
            <w14:solidFill>
              <w14:schemeClr w14:val="tx1"/>
            </w14:solidFill>
          </w14:textFill>
        </w:rPr>
        <w:t>商务文件详细评审</w:t>
      </w:r>
      <w:r>
        <w:rPr>
          <w:rFonts w:hint="eastAsia" w:ascii="Times New Roman" w:hAnsi="Times New Roman"/>
          <w:smallCaps w:val="0"/>
          <w:color w:val="000000" w:themeColor="text1"/>
          <w:highlight w:val="none"/>
          <w14:textFill>
            <w14:solidFill>
              <w14:schemeClr w14:val="tx1"/>
            </w14:solidFill>
          </w14:textFill>
        </w:rPr>
        <w:t>的</w:t>
      </w:r>
      <w:r>
        <w:rPr>
          <w:rFonts w:hint="eastAsia" w:ascii="Times New Roman" w:hAnsi="Times New Roman"/>
          <w:smallCaps w:val="0"/>
          <w:color w:val="000000" w:themeColor="text1"/>
          <w:highlight w:val="none"/>
          <w:lang w:eastAsia="zh-CN"/>
          <w14:textFill>
            <w14:solidFill>
              <w14:schemeClr w14:val="tx1"/>
            </w14:solidFill>
          </w14:textFill>
        </w:rPr>
        <w:t>项目经理</w:t>
      </w:r>
      <w:r>
        <w:rPr>
          <w:rFonts w:hint="eastAsia" w:ascii="Times New Roman" w:hAnsi="Times New Roman"/>
          <w:smallCaps w:val="0"/>
          <w:color w:val="000000" w:themeColor="text1"/>
          <w:highlight w:val="none"/>
          <w14:textFill>
            <w14:solidFill>
              <w14:schemeClr w14:val="tx1"/>
            </w14:solidFill>
          </w14:textFill>
        </w:rPr>
        <w:t>业绩在上表中列明，按照列明</w:t>
      </w:r>
      <w:r>
        <w:rPr>
          <w:rFonts w:ascii="Times New Roman" w:hAnsi="Times New Roman"/>
          <w:smallCaps w:val="0"/>
          <w:color w:val="000000" w:themeColor="text1"/>
          <w:highlight w:val="none"/>
          <w14:textFill>
            <w14:solidFill>
              <w14:schemeClr w14:val="tx1"/>
            </w14:solidFill>
          </w14:textFill>
        </w:rPr>
        <w:t>的</w:t>
      </w:r>
      <w:r>
        <w:rPr>
          <w:rFonts w:hint="eastAsia" w:ascii="Times New Roman" w:hAnsi="Times New Roman"/>
          <w:smallCaps w:val="0"/>
          <w:color w:val="000000" w:themeColor="text1"/>
          <w:highlight w:val="none"/>
          <w14:textFill>
            <w14:solidFill>
              <w14:schemeClr w14:val="tx1"/>
            </w14:solidFill>
          </w14:textFill>
        </w:rPr>
        <w:t>业绩序号先后</w:t>
      </w:r>
      <w:r>
        <w:rPr>
          <w:rFonts w:ascii="Times New Roman" w:hAnsi="Times New Roman"/>
          <w:smallCaps w:val="0"/>
          <w:color w:val="000000" w:themeColor="text1"/>
          <w:highlight w:val="none"/>
          <w14:textFill>
            <w14:solidFill>
              <w14:schemeClr w14:val="tx1"/>
            </w14:solidFill>
          </w14:textFill>
        </w:rPr>
        <w:t>顺序</w:t>
      </w:r>
      <w:r>
        <w:rPr>
          <w:rFonts w:hint="eastAsia" w:ascii="Times New Roman" w:hAnsi="Times New Roman"/>
          <w:smallCaps w:val="0"/>
          <w:color w:val="000000" w:themeColor="text1"/>
          <w:highlight w:val="none"/>
          <w14:textFill>
            <w14:solidFill>
              <w14:schemeClr w14:val="tx1"/>
            </w14:solidFill>
          </w14:textFill>
        </w:rPr>
        <w:t>依次填写“</w:t>
      </w:r>
      <w:r>
        <w:rPr>
          <w:rFonts w:hint="eastAsia" w:ascii="Times New Roman" w:hAnsi="Times New Roman"/>
          <w:smallCaps w:val="0"/>
          <w:color w:val="000000" w:themeColor="text1"/>
          <w:highlight w:val="none"/>
          <w:lang w:eastAsia="zh-CN"/>
          <w14:textFill>
            <w14:solidFill>
              <w14:schemeClr w14:val="tx1"/>
            </w14:solidFill>
          </w14:textFill>
        </w:rPr>
        <w:t>项目经理近年完成的类似项目情况</w:t>
      </w:r>
      <w:r>
        <w:rPr>
          <w:rFonts w:ascii="Times New Roman" w:hAnsi="Times New Roman"/>
          <w:smallCaps w:val="0"/>
          <w:color w:val="000000" w:themeColor="text1"/>
          <w:highlight w:val="none"/>
          <w14:textFill>
            <w14:solidFill>
              <w14:schemeClr w14:val="tx1"/>
            </w14:solidFill>
          </w14:textFill>
        </w:rPr>
        <w:t>表</w:t>
      </w:r>
      <w:r>
        <w:rPr>
          <w:rFonts w:hint="eastAsia" w:ascii="Times New Roman" w:hAnsi="Times New Roman"/>
          <w:smallCaps w:val="0"/>
          <w:color w:val="000000" w:themeColor="text1"/>
          <w:highlight w:val="none"/>
          <w:lang w:eastAsia="zh-CN"/>
          <w14:textFill>
            <w14:solidFill>
              <w14:schemeClr w14:val="tx1"/>
            </w14:solidFill>
          </w14:textFill>
        </w:rPr>
        <w:t>（详细评审</w:t>
      </w:r>
      <w:r>
        <w:rPr>
          <w:rFonts w:hint="eastAsia" w:ascii="Times New Roman" w:hAnsi="Times New Roman"/>
          <w:smallCaps w:val="0"/>
          <w:color w:val="000000" w:themeColor="text1"/>
          <w:highlight w:val="none"/>
          <w14:textFill>
            <w14:solidFill>
              <w14:schemeClr w14:val="tx1"/>
            </w14:solidFill>
          </w14:textFill>
        </w:rPr>
        <w:t>）”，并附相应业绩证明材料。</w:t>
      </w:r>
    </w:p>
    <w:p w14:paraId="3C55616C">
      <w:pPr>
        <w:pStyle w:val="79"/>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2.评标</w:t>
      </w:r>
      <w:r>
        <w:rPr>
          <w:rFonts w:ascii="Times New Roman" w:hAnsi="Times New Roman"/>
          <w:smallCaps w:val="0"/>
          <w:color w:val="000000" w:themeColor="text1"/>
          <w:highlight w:val="none"/>
          <w14:textFill>
            <w14:solidFill>
              <w14:schemeClr w14:val="tx1"/>
            </w14:solidFill>
          </w14:textFill>
        </w:rPr>
        <w:t>委员会应当按照上表</w:t>
      </w:r>
      <w:r>
        <w:rPr>
          <w:rFonts w:hint="eastAsia" w:ascii="Times New Roman" w:hAnsi="Times New Roman"/>
          <w:smallCaps w:val="0"/>
          <w:color w:val="000000" w:themeColor="text1"/>
          <w:highlight w:val="none"/>
          <w14:textFill>
            <w14:solidFill>
              <w14:schemeClr w14:val="tx1"/>
            </w14:solidFill>
          </w14:textFill>
        </w:rPr>
        <w:t>列明</w:t>
      </w:r>
      <w:r>
        <w:rPr>
          <w:rFonts w:ascii="Times New Roman" w:hAnsi="Times New Roman"/>
          <w:smallCaps w:val="0"/>
          <w:color w:val="000000" w:themeColor="text1"/>
          <w:highlight w:val="none"/>
          <w14:textFill>
            <w14:solidFill>
              <w14:schemeClr w14:val="tx1"/>
            </w14:solidFill>
          </w14:textFill>
        </w:rPr>
        <w:t>的</w:t>
      </w:r>
      <w:r>
        <w:rPr>
          <w:rFonts w:hint="eastAsia" w:ascii="Times New Roman" w:hAnsi="Times New Roman"/>
          <w:smallCaps w:val="0"/>
          <w:color w:val="000000" w:themeColor="text1"/>
          <w:highlight w:val="none"/>
          <w14:textFill>
            <w14:solidFill>
              <w14:schemeClr w14:val="tx1"/>
            </w14:solidFill>
          </w14:textFill>
        </w:rPr>
        <w:t>业绩序号先后</w:t>
      </w:r>
      <w:r>
        <w:rPr>
          <w:rFonts w:ascii="Times New Roman" w:hAnsi="Times New Roman"/>
          <w:smallCaps w:val="0"/>
          <w:color w:val="000000" w:themeColor="text1"/>
          <w:highlight w:val="none"/>
          <w14:textFill>
            <w14:solidFill>
              <w14:schemeClr w14:val="tx1"/>
            </w14:solidFill>
          </w14:textFill>
        </w:rPr>
        <w:t>顺序</w:t>
      </w:r>
      <w:r>
        <w:rPr>
          <w:rFonts w:hint="eastAsia" w:ascii="Times New Roman" w:hAnsi="Times New Roman"/>
          <w:smallCaps w:val="0"/>
          <w:color w:val="000000" w:themeColor="text1"/>
          <w:highlight w:val="none"/>
          <w14:textFill>
            <w14:solidFill>
              <w14:schemeClr w14:val="tx1"/>
            </w14:solidFill>
          </w14:textFill>
        </w:rPr>
        <w:t>依次</w:t>
      </w:r>
      <w:r>
        <w:rPr>
          <w:rFonts w:ascii="Times New Roman" w:hAnsi="Times New Roman"/>
          <w:smallCaps w:val="0"/>
          <w:color w:val="000000" w:themeColor="text1"/>
          <w:highlight w:val="none"/>
          <w14:textFill>
            <w14:solidFill>
              <w14:schemeClr w14:val="tx1"/>
            </w14:solidFill>
          </w14:textFill>
        </w:rPr>
        <w:t>进行评审，</w:t>
      </w:r>
      <w:r>
        <w:rPr>
          <w:rFonts w:hint="eastAsia" w:ascii="Times New Roman" w:hAnsi="Times New Roman"/>
          <w:smallCaps w:val="0"/>
          <w:color w:val="000000" w:themeColor="text1"/>
          <w:highlight w:val="none"/>
          <w14:textFill>
            <w14:solidFill>
              <w14:schemeClr w14:val="tx1"/>
            </w14:solidFill>
          </w14:textFill>
        </w:rPr>
        <w:t>且仅评审商务文件详细评审标准规定数量的业绩，超出规定数量部分或未在上表列明的业绩均不作为</w:t>
      </w:r>
      <w:r>
        <w:rPr>
          <w:rFonts w:hint="eastAsia" w:ascii="Times New Roman" w:hAnsi="Times New Roman"/>
          <w:smallCaps w:val="0"/>
          <w:color w:val="000000" w:themeColor="text1"/>
          <w:highlight w:val="none"/>
          <w:lang w:eastAsia="zh-CN"/>
          <w14:textFill>
            <w14:solidFill>
              <w14:schemeClr w14:val="tx1"/>
            </w14:solidFill>
          </w14:textFill>
        </w:rPr>
        <w:t>商务文件详细评审项目经理</w:t>
      </w:r>
      <w:r>
        <w:rPr>
          <w:rFonts w:hint="eastAsia" w:ascii="Times New Roman" w:hAnsi="Times New Roman"/>
          <w:smallCaps w:val="0"/>
          <w:color w:val="000000" w:themeColor="text1"/>
          <w:highlight w:val="none"/>
          <w14:textFill>
            <w14:solidFill>
              <w14:schemeClr w14:val="tx1"/>
            </w14:solidFill>
          </w14:textFill>
        </w:rPr>
        <w:t>业绩予以评审。</w:t>
      </w:r>
    </w:p>
    <w:p w14:paraId="4800E17D">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r>
        <w:rPr>
          <w:rFonts w:ascii="Times New Roman" w:hAnsi="Times New Roman"/>
          <w:smallCaps w:val="0"/>
          <w:color w:val="000000" w:themeColor="text1"/>
          <w:highlight w:val="none"/>
          <w14:textFill>
            <w14:solidFill>
              <w14:schemeClr w14:val="tx1"/>
            </w14:solidFill>
          </w14:textFill>
        </w:rPr>
        <w:t xml:space="preserve"> </w:t>
      </w:r>
    </w:p>
    <w:p w14:paraId="2ED5987F">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1EBFFD53">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4E42A6E8">
      <w:pPr>
        <w:pStyle w:val="79"/>
        <w:pageBreakBefore w:val="0"/>
        <w:kinsoku/>
        <w:wordWrap w:val="0"/>
        <w:overflowPunct/>
        <w:bidi w:val="0"/>
        <w:ind w:left="0" w:leftChars="0" w:firstLine="5279" w:firstLineChars="2514"/>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6EC342DE">
      <w:pPr>
        <w:pStyle w:val="79"/>
        <w:pageBreakBefore w:val="0"/>
        <w:kinsoku/>
        <w:wordWrap w:val="0"/>
        <w:overflowPunct/>
        <w:bidi w:val="0"/>
        <w:ind w:left="0" w:leftChars="0" w:firstLine="5279" w:firstLineChars="2514"/>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4622BCD1">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1557CEFE">
      <w:pPr>
        <w:keepNext/>
        <w:keepLines/>
        <w:pageBreakBefore w:val="0"/>
        <w:kinsoku/>
        <w:wordWrap w:val="0"/>
        <w:overflowPunct/>
        <w:bidi w:val="0"/>
        <w:spacing w:before="120" w:after="120" w:line="360" w:lineRule="auto"/>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Cs/>
          <w:smallCaps w:val="0"/>
          <w:color w:val="000000" w:themeColor="text1"/>
          <w:sz w:val="24"/>
          <w:highlight w:val="none"/>
          <w14:textFill>
            <w14:solidFill>
              <w14:schemeClr w14:val="tx1"/>
            </w14:solidFill>
          </w14:textFill>
        </w:rPr>
        <w:br w:type="page"/>
      </w:r>
      <w:bookmarkStart w:id="1502" w:name="_Toc24394"/>
      <w:bookmarkStart w:id="1503" w:name="_Toc24513"/>
      <w:bookmarkStart w:id="1504" w:name="_Toc660"/>
      <w:bookmarkStart w:id="1505" w:name="_Toc3827"/>
      <w:bookmarkStart w:id="1506" w:name="_Toc14612"/>
      <w:r>
        <w:rPr>
          <w:rStyle w:val="73"/>
          <w:rFonts w:hint="eastAsia" w:ascii="Times New Roman" w:hAnsi="Times New Roman"/>
          <w:smallCaps w:val="0"/>
          <w:color w:val="000000" w:themeColor="text1"/>
          <w:highlight w:val="none"/>
          <w14:textFill>
            <w14:solidFill>
              <w14:schemeClr w14:val="tx1"/>
            </w14:solidFill>
          </w14:textFill>
        </w:rPr>
        <w:t>项目经理近年完成的类似项目情况表</w:t>
      </w:r>
      <w:bookmarkEnd w:id="1499"/>
      <w:bookmarkEnd w:id="1500"/>
      <w:bookmarkEnd w:id="1501"/>
      <w:bookmarkEnd w:id="1502"/>
      <w:bookmarkEnd w:id="1503"/>
      <w:bookmarkEnd w:id="1504"/>
      <w:bookmarkEnd w:id="1505"/>
      <w:bookmarkEnd w:id="1506"/>
      <w:r>
        <w:rPr>
          <w:rStyle w:val="73"/>
          <w:rFonts w:hint="eastAsia" w:ascii="Times New Roman" w:hAnsi="Times New Roman"/>
          <w:smallCaps w:val="0"/>
          <w:color w:val="000000" w:themeColor="text1"/>
          <w:highlight w:val="none"/>
          <w14:textFill>
            <w14:solidFill>
              <w14:schemeClr w14:val="tx1"/>
            </w14:solidFill>
          </w14:textFill>
        </w:rPr>
        <w:t>（详细评审）</w:t>
      </w:r>
    </w:p>
    <w:tbl>
      <w:tblPr>
        <w:tblStyle w:val="22"/>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14:paraId="4030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132EA8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AEE3B4A">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336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D67631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B20A476">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1103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DBBC58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112B3E3">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791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BBED60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E7691FC">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306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C6E3BD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042087D">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247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7703CC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B84D6D2">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7A7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88FB48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EA35B39">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FA67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EF9582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D18D95E">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F50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853F23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竣工日期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3928C08">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B9D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1DD37D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承担的工作</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0C5279D">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A2E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96171D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工程质量</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7A9D74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2B36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EDEA0D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p w14:paraId="0D7AAC1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（或注册建造师）</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7E2EA8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C7C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592DB4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86C2E6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75C2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DCF37B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监理单位及联系电话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AF8D24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560D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3A4E1A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总监理工程师及电话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D1F635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5A7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AA523A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EA9894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25BB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47F8E6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F6BB5F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商务文件评分用业绩</w:t>
            </w:r>
          </w:p>
        </w:tc>
      </w:tr>
    </w:tbl>
    <w:p w14:paraId="73C7244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投标人应根据招标文件第二章“投标人须知”前附表附录5的要求在本表后附相关证明材料。</w:t>
      </w:r>
    </w:p>
    <w:p w14:paraId="5B0369FF">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3140A89D">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76F528AB">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76B962EF">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br w:type="page"/>
      </w:r>
    </w:p>
    <w:p w14:paraId="2621222A">
      <w:pPr>
        <w:pStyle w:val="72"/>
        <w:pageBreakBefore w:val="0"/>
        <w:kinsoku/>
        <w:wordWrap w:val="0"/>
        <w:overflowPunct/>
        <w:bidi w:val="0"/>
        <w:rPr>
          <w:rFonts w:hint="default"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三</w:t>
      </w:r>
      <w:r>
        <w:rPr>
          <w:rFonts w:hint="eastAsia" w:ascii="Times New Roman" w:hAnsi="Times New Roman"/>
          <w:smallCaps w:val="0"/>
          <w:color w:val="000000" w:themeColor="text1"/>
          <w:highlight w:val="none"/>
          <w:lang w:eastAsia="zh-CN"/>
          <w14:textFill>
            <w14:solidFill>
              <w14:schemeClr w14:val="tx1"/>
            </w14:solidFill>
          </w14:textFill>
        </w:rPr>
        <w:t>）投标人和主要管理人员近年获得的奖项/荣誉情况表</w:t>
      </w:r>
    </w:p>
    <w:tbl>
      <w:tblPr>
        <w:tblStyle w:val="22"/>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14:paraId="49F5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53C1B7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奖项/荣誉名称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D75591B">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C4C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209897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颁发单位</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E29DAE7">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F24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B56EBB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2D850EC">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194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41D9F8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B5FEB7E">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343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6D0A4B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85A53C7">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79D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D6010B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9A61468">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A6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FD0BED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发包人电话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244A48F">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43C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D58D64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FB3658D">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182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EE2182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开工日期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88467A1">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2BF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28C39F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竣工日期</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25E4A47">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958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7B51FC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获奖时间</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6E15560">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C1E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537D89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承担的工作</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552554A">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713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94ECB7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工程质量</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5E27607">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877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D7E88D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项目经理</w:t>
            </w:r>
          </w:p>
          <w:p w14:paraId="4C95860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（或注册建造师）</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CA6C5A0">
            <w:pPr>
              <w:keepNext w:val="0"/>
              <w:keepLines w:val="0"/>
              <w:pageBreakBefore w:val="0"/>
              <w:suppressLineNumbers w:val="0"/>
              <w:kinsoku/>
              <w:wordWrap w:val="0"/>
              <w:overflowPunct/>
              <w:autoSpaceDE w:val="0"/>
              <w:autoSpaceDN w:val="0"/>
              <w:bidi w:val="0"/>
              <w:adjustRightInd w:val="0"/>
              <w:spacing w:before="0" w:beforeAutospacing="0" w:after="0" w:afterAutospacing="0" w:line="300" w:lineRule="exact"/>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401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E4CF6A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技术负责人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B77BA9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064B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3D8A76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监理单位及联系电话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C4C668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863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D273F1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总监理工程师及电话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4B56CE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96E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D5498B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DC4227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7767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6CA46E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711B15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商务文件</w:t>
            </w:r>
            <w:r>
              <w:rPr>
                <w:rFonts w:hint="eastAsia" w:ascii="Times New Roman" w:hAnsi="Times New Roman"/>
                <w:smallCaps w:val="0"/>
                <w:color w:val="000000" w:themeColor="text1"/>
                <w:highlight w:val="none"/>
                <w:lang w:eastAsia="zh-CN"/>
                <w14:textFill>
                  <w14:solidFill>
                    <w14:schemeClr w14:val="tx1"/>
                  </w14:solidFill>
                </w14:textFill>
              </w:rPr>
              <w:t>详细评审</w:t>
            </w:r>
            <w:r>
              <w:rPr>
                <w:rFonts w:hint="eastAsia" w:ascii="Times New Roman" w:hAnsi="Times New Roman"/>
                <w:smallCaps w:val="0"/>
                <w:color w:val="000000" w:themeColor="text1"/>
                <w:highlight w:val="none"/>
                <w14:textFill>
                  <w14:solidFill>
                    <w14:schemeClr w14:val="tx1"/>
                  </w14:solidFill>
                </w14:textFill>
              </w:rPr>
              <w:t>用</w:t>
            </w:r>
            <w:r>
              <w:rPr>
                <w:rFonts w:hint="eastAsia" w:ascii="Times New Roman" w:hAnsi="Times New Roman"/>
                <w:smallCaps w:val="0"/>
                <w:color w:val="000000" w:themeColor="text1"/>
                <w:highlight w:val="none"/>
                <w:lang w:eastAsia="zh-CN"/>
                <w14:textFill>
                  <w14:solidFill>
                    <w14:schemeClr w14:val="tx1"/>
                  </w14:solidFill>
                </w14:textFill>
              </w:rPr>
              <w:t>奖项/荣誉</w:t>
            </w:r>
          </w:p>
        </w:tc>
      </w:tr>
    </w:tbl>
    <w:p w14:paraId="4217326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投标人应根据招标文件第</w:t>
      </w:r>
      <w:r>
        <w:rPr>
          <w:rFonts w:hint="eastAsia" w:ascii="Times New Roman" w:hAnsi="Times New Roman"/>
          <w:smallCaps w:val="0"/>
          <w:color w:val="000000" w:themeColor="text1"/>
          <w:highlight w:val="none"/>
          <w:lang w:eastAsia="zh-CN"/>
          <w14:textFill>
            <w14:solidFill>
              <w14:schemeClr w14:val="tx1"/>
            </w14:solidFill>
          </w14:textFill>
        </w:rPr>
        <w:t>三</w:t>
      </w:r>
      <w:r>
        <w:rPr>
          <w:rFonts w:hint="eastAsia" w:ascii="Times New Roman" w:hAnsi="Times New Roman"/>
          <w:smallCaps w:val="0"/>
          <w:color w:val="000000" w:themeColor="text1"/>
          <w:highlight w:val="none"/>
          <w14:textFill>
            <w14:solidFill>
              <w14:schemeClr w14:val="tx1"/>
            </w14:solidFill>
          </w14:textFill>
        </w:rPr>
        <w:t>章“</w:t>
      </w:r>
      <w:r>
        <w:rPr>
          <w:rFonts w:hint="eastAsia" w:ascii="Times New Roman" w:hAnsi="Times New Roman"/>
          <w:smallCaps w:val="0"/>
          <w:color w:val="000000" w:themeColor="text1"/>
          <w:highlight w:val="none"/>
          <w:lang w:eastAsia="zh-CN"/>
          <w14:textFill>
            <w14:solidFill>
              <w14:schemeClr w14:val="tx1"/>
            </w14:solidFill>
          </w14:textFill>
        </w:rPr>
        <w:t>评标及定标</w:t>
      </w:r>
      <w:r>
        <w:rPr>
          <w:rFonts w:hint="eastAsia" w:ascii="Times New Roman" w:hAnsi="Times New Roman"/>
          <w:smallCaps w:val="0"/>
          <w:color w:val="000000" w:themeColor="text1"/>
          <w:highlight w:val="none"/>
          <w14:textFill>
            <w14:solidFill>
              <w14:schemeClr w14:val="tx1"/>
            </w14:solidFill>
          </w14:textFill>
        </w:rPr>
        <w:t>”详细评审标准要求在本表后附相关证明材料。</w:t>
      </w:r>
    </w:p>
    <w:p w14:paraId="0C63675A">
      <w:pPr>
        <w:pageBreakBefore w:val="0"/>
        <w:kinsoku/>
        <w:wordWrap w:val="0"/>
        <w:overflowPunct/>
        <w:bidi w:val="0"/>
        <w:spacing w:before="240" w:beforeLines="100" w:line="510" w:lineRule="exact"/>
        <w:rPr>
          <w:rFonts w:hint="eastAsia" w:ascii="Times New Roman" w:hAnsi="Times New Roman" w:cs="宋体"/>
          <w:bCs/>
          <w:smallCaps w:val="0"/>
          <w:color w:val="000000" w:themeColor="text1"/>
          <w:sz w:val="24"/>
          <w:highlight w:val="none"/>
          <w14:textFill>
            <w14:solidFill>
              <w14:schemeClr w14:val="tx1"/>
            </w14:solidFill>
          </w14:textFill>
        </w:rPr>
      </w:pPr>
      <w:r>
        <w:rPr>
          <w:rFonts w:hint="eastAsia" w:ascii="Times New Roman" w:hAnsi="Times New Roman" w:cs="宋体"/>
          <w:b/>
          <w:bCs/>
          <w:smallCaps w:val="0"/>
          <w:color w:val="000000" w:themeColor="text1"/>
          <w:sz w:val="24"/>
          <w:szCs w:val="21"/>
          <w:highlight w:val="none"/>
          <w14:textFill>
            <w14:solidFill>
              <w14:schemeClr w14:val="tx1"/>
            </w14:solidFill>
          </w14:textFill>
        </w:rPr>
        <w:br w:type="page"/>
      </w:r>
    </w:p>
    <w:p w14:paraId="3ED19083">
      <w:pPr>
        <w:pStyle w:val="40"/>
        <w:pageBreakBefore w:val="0"/>
        <w:kinsoku/>
        <w:wordWrap w:val="0"/>
        <w:overflowPunct/>
        <w:bidi w:val="0"/>
        <w:outlineLvl w:val="1"/>
        <w:rPr>
          <w:rFonts w:hint="eastAsia" w:ascii="Times New Roman" w:hAnsi="Times New Roman"/>
          <w:smallCaps w:val="0"/>
          <w:color w:val="000000" w:themeColor="text1"/>
          <w:highlight w:val="none"/>
          <w14:textFill>
            <w14:solidFill>
              <w14:schemeClr w14:val="tx1"/>
            </w14:solidFill>
          </w14:textFill>
        </w:rPr>
      </w:pPr>
      <w:bookmarkStart w:id="1507" w:name="_Toc10672"/>
      <w:bookmarkStart w:id="1508" w:name="_Toc13256"/>
      <w:bookmarkStart w:id="1509" w:name="_Toc12261"/>
      <w:r>
        <w:rPr>
          <w:rFonts w:hint="eastAsia" w:ascii="Times New Roman" w:hAnsi="Times New Roman"/>
          <w:smallCaps w:val="0"/>
          <w:color w:val="000000" w:themeColor="text1"/>
          <w:highlight w:val="none"/>
          <w14:textFill>
            <w14:solidFill>
              <w14:schemeClr w14:val="tx1"/>
            </w14:solidFill>
          </w14:textFill>
        </w:rPr>
        <w:t>九、其他资料</w:t>
      </w:r>
      <w:bookmarkEnd w:id="1507"/>
      <w:bookmarkEnd w:id="1508"/>
      <w:bookmarkEnd w:id="1509"/>
    </w:p>
    <w:p w14:paraId="5E658562">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smallCaps w:val="0"/>
          <w:snapToGrid w:val="0"/>
          <w:color w:val="000000" w:themeColor="text1"/>
          <w:kern w:val="0"/>
          <w:sz w:val="20"/>
          <w:szCs w:val="22"/>
          <w:highlight w:val="none"/>
          <w14:textFill>
            <w14:solidFill>
              <w14:schemeClr w14:val="tx1"/>
            </w14:solidFill>
          </w14:textFill>
        </w:rPr>
      </w:pPr>
    </w:p>
    <w:p w14:paraId="6F5C5B1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投标人对照</w:t>
      </w:r>
      <w:r>
        <w:rPr>
          <w:rFonts w:hint="eastAsia" w:ascii="Times New Roman" w:hAnsi="Times New Roman"/>
          <w:smallCaps w:val="0"/>
          <w:color w:val="000000" w:themeColor="text1"/>
          <w:highlight w:val="none"/>
          <w:lang w:val="en-US" w:eastAsia="zh-CN"/>
          <w14:textFill>
            <w14:solidFill>
              <w14:schemeClr w14:val="tx1"/>
            </w14:solidFill>
          </w14:textFill>
        </w:rPr>
        <w:t>招标文件</w:t>
      </w:r>
      <w:r>
        <w:rPr>
          <w:rFonts w:hint="eastAsia" w:ascii="Times New Roman" w:hAnsi="Times New Roman"/>
          <w:smallCaps w:val="0"/>
          <w:color w:val="000000" w:themeColor="text1"/>
          <w:highlight w:val="none"/>
          <w14:textFill>
            <w14:solidFill>
              <w14:schemeClr w14:val="tx1"/>
            </w14:solidFill>
          </w14:textFill>
        </w:rPr>
        <w:t>要求，自行提供其他相关资料（如有）</w:t>
      </w:r>
    </w:p>
    <w:p w14:paraId="48106E9B">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1BDED313">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25384E92">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02A9C98C">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2FD5AD14">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0B519EE3">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31591E72">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174572FC">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75B7EB3C">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32B1D30D">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7ADC9942">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48EE95B0">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44B223D0">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1FF5CE6E">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7142F8A4">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46CB61A1">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smallCaps w:val="0"/>
          <w:color w:val="000000" w:themeColor="text1"/>
          <w:szCs w:val="22"/>
          <w:highlight w:val="none"/>
          <w14:textFill>
            <w14:solidFill>
              <w14:schemeClr w14:val="tx1"/>
            </w14:solidFill>
          </w14:textFill>
        </w:rPr>
      </w:pPr>
    </w:p>
    <w:p w14:paraId="62A38576">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45FD87FD">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7630D2AE">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5843340E">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001D4FD8">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28C84BA5">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0D8ED668">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7982F4D3">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6FF35846">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000C9851">
      <w:pPr>
        <w:pageBreakBefore w:val="0"/>
        <w:tabs>
          <w:tab w:val="left" w:pos="5760"/>
        </w:tabs>
        <w:kinsoku/>
        <w:wordWrap w:val="0"/>
        <w:overflowPunct/>
        <w:autoSpaceDE w:val="0"/>
        <w:autoSpaceDN w:val="0"/>
        <w:bidi w:val="0"/>
        <w:adjustRightInd w:val="0"/>
        <w:spacing w:line="300" w:lineRule="exact"/>
        <w:ind w:right="11"/>
        <w:rPr>
          <w:rFonts w:hint="eastAsia" w:ascii="Times New Roman" w:hAnsi="Times New Roman" w:cs="宋体"/>
          <w:b/>
          <w:smallCaps w:val="0"/>
          <w:color w:val="000000" w:themeColor="text1"/>
          <w:sz w:val="28"/>
          <w:szCs w:val="22"/>
          <w:highlight w:val="none"/>
          <w14:textFill>
            <w14:solidFill>
              <w14:schemeClr w14:val="tx1"/>
            </w14:solidFill>
          </w14:textFill>
        </w:rPr>
      </w:pPr>
    </w:p>
    <w:p w14:paraId="292ABD65">
      <w:pPr>
        <w:pStyle w:val="79"/>
        <w:pageBreakBefore w:val="0"/>
        <w:kinsoku/>
        <w:wordWrap w:val="0"/>
        <w:overflowPunct/>
        <w:bidi w:val="0"/>
        <w:rPr>
          <w:rFonts w:hint="eastAsia" w:ascii="Times New Roman" w:hAnsi="Times New Roman"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对照</w:t>
      </w:r>
      <w:r>
        <w:rPr>
          <w:rFonts w:hint="eastAsia" w:ascii="Times New Roman" w:hAnsi="Times New Roman"/>
          <w:smallCaps w:val="0"/>
          <w:color w:val="000000" w:themeColor="text1"/>
          <w:highlight w:val="none"/>
          <w:lang w:val="en-US" w:eastAsia="zh-CN"/>
          <w14:textFill>
            <w14:solidFill>
              <w14:schemeClr w14:val="tx1"/>
            </w14:solidFill>
          </w14:textFill>
        </w:rPr>
        <w:t>招标文件</w:t>
      </w:r>
      <w:r>
        <w:rPr>
          <w:rFonts w:hint="eastAsia" w:ascii="Times New Roman" w:hAnsi="Times New Roman"/>
          <w:smallCaps w:val="0"/>
          <w:color w:val="000000" w:themeColor="text1"/>
          <w:highlight w:val="none"/>
          <w14:textFill>
            <w14:solidFill>
              <w14:schemeClr w14:val="tx1"/>
            </w14:solidFill>
          </w14:textFill>
        </w:rPr>
        <w:t>要求，由投标人自行提供相关证明</w:t>
      </w:r>
      <w:r>
        <w:rPr>
          <w:rFonts w:hint="eastAsia" w:ascii="Times New Roman" w:hAnsi="Times New Roman"/>
          <w:smallCaps w:val="0"/>
          <w:color w:val="000000" w:themeColor="text1"/>
          <w:highlight w:val="none"/>
          <w:lang w:val="en-US" w:eastAsia="zh-CN"/>
          <w14:textFill>
            <w14:solidFill>
              <w14:schemeClr w14:val="tx1"/>
            </w14:solidFill>
          </w14:textFill>
        </w:rPr>
        <w:t>或声明</w:t>
      </w:r>
      <w:r>
        <w:rPr>
          <w:rFonts w:hint="eastAsia" w:ascii="Times New Roman" w:hAnsi="Times New Roman"/>
          <w:smallCaps w:val="0"/>
          <w:color w:val="000000" w:themeColor="text1"/>
          <w:highlight w:val="none"/>
          <w14:textFill>
            <w14:solidFill>
              <w14:schemeClr w14:val="tx1"/>
            </w14:solidFill>
          </w14:textFill>
        </w:rPr>
        <w:t>或资料。如证明或声明或资料与实际不符，将被取消投标或中标资格。</w:t>
      </w:r>
    </w:p>
    <w:p w14:paraId="408E796B">
      <w:pPr>
        <w:pageBreakBefore w:val="0"/>
        <w:kinsoku/>
        <w:wordWrap w:val="0"/>
        <w:overflowPunct/>
        <w:autoSpaceDE w:val="0"/>
        <w:autoSpaceDN w:val="0"/>
        <w:bidi w:val="0"/>
        <w:adjustRightInd w:val="0"/>
        <w:snapToGrid w:val="0"/>
        <w:spacing w:line="360" w:lineRule="auto"/>
        <w:ind w:firstLine="2570" w:firstLineChars="800"/>
        <w:jc w:val="left"/>
        <w:rPr>
          <w:rStyle w:val="73"/>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cs="宋体"/>
          <w:b/>
          <w:bCs/>
          <w:smallCaps w:val="0"/>
          <w:snapToGrid w:val="0"/>
          <w:color w:val="000000" w:themeColor="text1"/>
          <w:kern w:val="0"/>
          <w:sz w:val="32"/>
          <w:szCs w:val="32"/>
          <w:highlight w:val="none"/>
          <w:lang w:eastAsia="zh-CN"/>
          <w14:textFill>
            <w14:solidFill>
              <w14:schemeClr w14:val="tx1"/>
            </w14:solidFill>
          </w14:textFill>
        </w:rPr>
        <w:br w:type="page"/>
      </w:r>
      <w:r>
        <w:rPr>
          <w:rStyle w:val="73"/>
          <w:rFonts w:hint="eastAsia" w:ascii="Times New Roman" w:hAnsi="Times New Roman"/>
          <w:smallCaps w:val="0"/>
          <w:color w:val="000000" w:themeColor="text1"/>
          <w:highlight w:val="none"/>
          <w:lang w:val="en-US" w:eastAsia="zh-CN"/>
          <w14:textFill>
            <w14:solidFill>
              <w14:schemeClr w14:val="tx1"/>
            </w14:solidFill>
          </w14:textFill>
        </w:rPr>
        <w:t>（一）</w:t>
      </w:r>
      <w:r>
        <w:rPr>
          <w:rStyle w:val="73"/>
          <w:rFonts w:hint="eastAsia" w:ascii="Times New Roman" w:hAnsi="Times New Roman"/>
          <w:smallCaps w:val="0"/>
          <w:color w:val="000000" w:themeColor="text1"/>
          <w:highlight w:val="none"/>
          <w:lang w:eastAsia="zh-CN"/>
          <w14:textFill>
            <w14:solidFill>
              <w14:schemeClr w14:val="tx1"/>
            </w14:solidFill>
          </w14:textFill>
        </w:rPr>
        <w:t>中小企业声明函</w:t>
      </w:r>
    </w:p>
    <w:p w14:paraId="59848A21">
      <w:pPr>
        <w:pageBreakBefore w:val="0"/>
        <w:kinsoku/>
        <w:wordWrap w:val="0"/>
        <w:overflowPunct/>
        <w:bidi w:val="0"/>
        <w:spacing w:line="360" w:lineRule="auto"/>
        <w:ind w:firstLine="435"/>
        <w:rPr>
          <w:rFonts w:hint="eastAsia" w:ascii="Times New Roman" w:hAnsi="Times New Roman" w:cs="@仿宋_GB2312"/>
          <w:smallCaps w:val="0"/>
          <w:color w:val="000000" w:themeColor="text1"/>
          <w:kern w:val="2"/>
          <w:sz w:val="21"/>
          <w:szCs w:val="21"/>
          <w:highlight w:val="none"/>
          <w:lang w:val="zh-CN"/>
          <w14:textFill>
            <w14:solidFill>
              <w14:schemeClr w14:val="tx1"/>
            </w14:solidFill>
          </w14:textFill>
        </w:rPr>
      </w:pPr>
    </w:p>
    <w:p w14:paraId="304ACC26">
      <w:pPr>
        <w:pStyle w:val="79"/>
        <w:pageBreakBefore w:val="0"/>
        <w:kinsoku/>
        <w:wordWrap w:val="0"/>
        <w:overflowPunct/>
        <w:bidi w:val="0"/>
        <w:rPr>
          <w:rFonts w:ascii="Times New Roman" w:hAnsi="Times New Roman"/>
          <w:smallCaps w:val="0"/>
          <w:color w:val="000000" w:themeColor="text1"/>
          <w:highlight w:val="none"/>
          <w:lang w:val="zh-CN"/>
          <w14:textFill>
            <w14:solidFill>
              <w14:schemeClr w14:val="tx1"/>
            </w14:solidFill>
          </w14:textFill>
        </w:rPr>
      </w:pPr>
      <w:r>
        <w:rPr>
          <w:rFonts w:hint="eastAsia" w:ascii="Times New Roman" w:hAnsi="Times New Roman"/>
          <w:smallCaps w:val="0"/>
          <w:color w:val="000000" w:themeColor="text1"/>
          <w:highlight w:val="none"/>
          <w:lang w:val="zh-CN"/>
          <w14:textFill>
            <w14:solidFill>
              <w14:schemeClr w14:val="tx1"/>
            </w14:solidFill>
          </w14:textFill>
        </w:rPr>
        <w:t>本公司（联合体）郑重声明，根据《政府采购促进中小企业发展管理办法》（财库﹝2020﹞46号）的规定，本公司（联合体）参加（单位</w:t>
      </w:r>
      <w:r>
        <w:rPr>
          <w:rFonts w:hint="eastAsia" w:ascii="Times New Roman" w:hAnsi="Times New Roman"/>
          <w:smallCaps w:val="0"/>
          <w:color w:val="000000" w:themeColor="text1"/>
          <w:highlight w:val="none"/>
          <w:lang w:val="en-US" w:eastAsia="zh-CN"/>
          <w14:textFill>
            <w14:solidFill>
              <w14:schemeClr w14:val="tx1"/>
            </w14:solidFill>
          </w14:textFill>
        </w:rPr>
        <w:t>名称</w:t>
      </w:r>
      <w:r>
        <w:rPr>
          <w:rFonts w:hint="eastAsia" w:ascii="Times New Roman" w:hAnsi="Times New Roman"/>
          <w:smallCaps w:val="0"/>
          <w:color w:val="000000" w:themeColor="text1"/>
          <w:highlight w:val="none"/>
          <w:lang w:val="zh-CN"/>
          <w14:textFill>
            <w14:solidFill>
              <w14:schemeClr w14:val="tx1"/>
            </w14:solidFill>
          </w14:textFill>
        </w:rPr>
        <w:t>）的（项目</w:t>
      </w:r>
      <w:r>
        <w:rPr>
          <w:rFonts w:hint="eastAsia" w:ascii="Times New Roman" w:hAnsi="Times New Roman"/>
          <w:smallCaps w:val="0"/>
          <w:color w:val="000000" w:themeColor="text1"/>
          <w:highlight w:val="none"/>
          <w:lang w:val="en-US" w:eastAsia="zh-CN"/>
          <w14:textFill>
            <w14:solidFill>
              <w14:schemeClr w14:val="tx1"/>
            </w14:solidFill>
          </w14:textFill>
        </w:rPr>
        <w:t>名称</w:t>
      </w:r>
      <w:r>
        <w:rPr>
          <w:rFonts w:hint="eastAsia" w:ascii="Times New Roman" w:hAnsi="Times New Roman"/>
          <w:smallCaps w:val="0"/>
          <w:color w:val="000000" w:themeColor="text1"/>
          <w:highlight w:val="none"/>
          <w:lang w:val="zh-CN"/>
          <w14:textFill>
            <w14:solidFill>
              <w14:schemeClr w14:val="tx1"/>
            </w14:solidFill>
          </w14:textFill>
        </w:rPr>
        <w:t>）招标投标活动，所属行业</w:t>
      </w:r>
      <w:r>
        <w:rPr>
          <w:rFonts w:hint="eastAsia" w:ascii="Times New Roman" w:hAnsi="Times New Roman"/>
          <w:smallCaps w:val="0"/>
          <w:color w:val="000000" w:themeColor="text1"/>
          <w:highlight w:val="none"/>
          <w:lang w:val="en-US" w:eastAsia="zh-CN"/>
          <w14:textFill>
            <w14:solidFill>
              <w14:schemeClr w14:val="tx1"/>
            </w14:solidFill>
          </w14:textFill>
        </w:rPr>
        <w:t>（招标文件中明确的所属行业），（中小企业名称）</w:t>
      </w:r>
      <w:r>
        <w:rPr>
          <w:rFonts w:hint="eastAsia" w:ascii="Times New Roman" w:hAnsi="Times New Roman"/>
          <w:smallCaps w:val="0"/>
          <w:color w:val="000000" w:themeColor="text1"/>
          <w:highlight w:val="none"/>
          <w:lang w:val="zh-CN"/>
          <w14:textFill>
            <w14:solidFill>
              <w14:schemeClr w14:val="tx1"/>
            </w14:solidFill>
          </w14:textFill>
        </w:rPr>
        <w:t xml:space="preserve">为符合政策要求的中小企业。相关企业（含联合体中的中小企业、签订分包意向协议的中小企业）的具体情况如下： </w:t>
      </w:r>
    </w:p>
    <w:p w14:paraId="56C17D2E">
      <w:pPr>
        <w:pStyle w:val="79"/>
        <w:pageBreakBefore w:val="0"/>
        <w:kinsoku/>
        <w:wordWrap w:val="0"/>
        <w:overflowPunct/>
        <w:bidi w:val="0"/>
        <w:rPr>
          <w:rFonts w:ascii="Times New Roman" w:hAnsi="Times New Roman"/>
          <w:smallCaps w:val="0"/>
          <w:color w:val="000000" w:themeColor="text1"/>
          <w:highlight w:val="none"/>
          <w:lang w:val="zh-CN"/>
          <w14:textFill>
            <w14:solidFill>
              <w14:schemeClr w14:val="tx1"/>
            </w14:solidFill>
          </w14:textFill>
        </w:rPr>
      </w:pPr>
      <w:r>
        <w:rPr>
          <w:rFonts w:hint="eastAsia" w:ascii="Times New Roman" w:hAnsi="Times New Roman"/>
          <w:smallCaps w:val="0"/>
          <w:color w:val="000000" w:themeColor="text1"/>
          <w:highlight w:val="none"/>
          <w:lang w:val="zh-CN"/>
          <w14:textFill>
            <w14:solidFill>
              <w14:schemeClr w14:val="tx1"/>
            </w14:solidFill>
          </w14:textFill>
        </w:rPr>
        <w:t>1. （企业名称），从业人员</w:t>
      </w:r>
      <w:r>
        <w:rPr>
          <w:rFonts w:hint="eastAsia" w:ascii="Times New Roman" w:hAnsi="Times New Roman"/>
          <w:smallCaps w:val="0"/>
          <w:color w:val="000000" w:themeColor="text1"/>
          <w:highlight w:val="none"/>
          <w:u w:val="single"/>
          <w:lang w:val="zh-CN"/>
          <w14:textFill>
            <w14:solidFill>
              <w14:schemeClr w14:val="tx1"/>
            </w14:solidFill>
          </w14:textFill>
        </w:rPr>
        <w:t xml:space="preserve">     </w:t>
      </w:r>
      <w:r>
        <w:rPr>
          <w:rFonts w:hint="eastAsia" w:ascii="Times New Roman" w:hAnsi="Times New Roman"/>
          <w:smallCaps w:val="0"/>
          <w:color w:val="000000" w:themeColor="text1"/>
          <w:highlight w:val="none"/>
          <w:lang w:val="zh-CN"/>
          <w14:textFill>
            <w14:solidFill>
              <w14:schemeClr w14:val="tx1"/>
            </w14:solidFill>
          </w14:textFill>
        </w:rPr>
        <w:t>人，营业收入为</w:t>
      </w:r>
      <w:r>
        <w:rPr>
          <w:rFonts w:hint="eastAsia" w:ascii="Times New Roman" w:hAnsi="Times New Roman"/>
          <w:smallCaps w:val="0"/>
          <w:color w:val="000000" w:themeColor="text1"/>
          <w:highlight w:val="none"/>
          <w:u w:val="single"/>
          <w:lang w:val="zh-CN"/>
          <w14:textFill>
            <w14:solidFill>
              <w14:schemeClr w14:val="tx1"/>
            </w14:solidFill>
          </w14:textFill>
        </w:rPr>
        <w:t xml:space="preserve">     </w:t>
      </w:r>
      <w:r>
        <w:rPr>
          <w:rFonts w:hint="eastAsia" w:ascii="Times New Roman" w:hAnsi="Times New Roman"/>
          <w:smallCaps w:val="0"/>
          <w:color w:val="000000" w:themeColor="text1"/>
          <w:highlight w:val="none"/>
          <w:lang w:val="zh-CN"/>
          <w14:textFill>
            <w14:solidFill>
              <w14:schemeClr w14:val="tx1"/>
            </w14:solidFill>
          </w14:textFill>
        </w:rPr>
        <w:t>万元，资产总额为</w:t>
      </w:r>
      <w:r>
        <w:rPr>
          <w:rFonts w:hint="eastAsia" w:ascii="Times New Roman" w:hAnsi="Times New Roman"/>
          <w:smallCaps w:val="0"/>
          <w:color w:val="000000" w:themeColor="text1"/>
          <w:highlight w:val="none"/>
          <w:u w:val="single"/>
          <w:lang w:val="zh-CN"/>
          <w14:textFill>
            <w14:solidFill>
              <w14:schemeClr w14:val="tx1"/>
            </w14:solidFill>
          </w14:textFill>
        </w:rPr>
        <w:t xml:space="preserve">     </w:t>
      </w:r>
      <w:r>
        <w:rPr>
          <w:rFonts w:hint="eastAsia" w:ascii="Times New Roman" w:hAnsi="Times New Roman"/>
          <w:smallCaps w:val="0"/>
          <w:color w:val="000000" w:themeColor="text1"/>
          <w:highlight w:val="none"/>
          <w:lang w:val="zh-CN"/>
          <w14:textFill>
            <w14:solidFill>
              <w14:schemeClr w14:val="tx1"/>
            </w14:solidFill>
          </w14:textFill>
        </w:rPr>
        <w:t xml:space="preserve">万元，属于（中型企业、小型企业、微型企业）； </w:t>
      </w:r>
    </w:p>
    <w:p w14:paraId="6C0549A6">
      <w:pPr>
        <w:pStyle w:val="79"/>
        <w:pageBreakBefore w:val="0"/>
        <w:kinsoku/>
        <w:wordWrap w:val="0"/>
        <w:overflowPunct/>
        <w:bidi w:val="0"/>
        <w:rPr>
          <w:rFonts w:ascii="Times New Roman" w:hAnsi="Times New Roman"/>
          <w:smallCaps w:val="0"/>
          <w:color w:val="000000" w:themeColor="text1"/>
          <w:highlight w:val="none"/>
          <w:lang w:val="zh-CN"/>
          <w14:textFill>
            <w14:solidFill>
              <w14:schemeClr w14:val="tx1"/>
            </w14:solidFill>
          </w14:textFill>
        </w:rPr>
      </w:pPr>
      <w:r>
        <w:rPr>
          <w:rFonts w:hint="eastAsia" w:ascii="Times New Roman" w:hAnsi="Times New Roman"/>
          <w:smallCaps w:val="0"/>
          <w:color w:val="000000" w:themeColor="text1"/>
          <w:highlight w:val="none"/>
          <w:lang w:val="zh-CN"/>
          <w14:textFill>
            <w14:solidFill>
              <w14:schemeClr w14:val="tx1"/>
            </w14:solidFill>
          </w14:textFill>
        </w:rPr>
        <w:t>2. （企业名称），从业人员</w:t>
      </w:r>
      <w:r>
        <w:rPr>
          <w:rFonts w:hint="eastAsia" w:ascii="Times New Roman" w:hAnsi="Times New Roman"/>
          <w:smallCaps w:val="0"/>
          <w:color w:val="000000" w:themeColor="text1"/>
          <w:highlight w:val="none"/>
          <w:u w:val="single"/>
          <w:lang w:val="zh-CN"/>
          <w14:textFill>
            <w14:solidFill>
              <w14:schemeClr w14:val="tx1"/>
            </w14:solidFill>
          </w14:textFill>
        </w:rPr>
        <w:t xml:space="preserve">     </w:t>
      </w:r>
      <w:r>
        <w:rPr>
          <w:rFonts w:hint="eastAsia" w:ascii="Times New Roman" w:hAnsi="Times New Roman"/>
          <w:smallCaps w:val="0"/>
          <w:color w:val="000000" w:themeColor="text1"/>
          <w:highlight w:val="none"/>
          <w:lang w:val="zh-CN"/>
          <w14:textFill>
            <w14:solidFill>
              <w14:schemeClr w14:val="tx1"/>
            </w14:solidFill>
          </w14:textFill>
        </w:rPr>
        <w:t>人，营业收入为</w:t>
      </w:r>
      <w:r>
        <w:rPr>
          <w:rFonts w:hint="eastAsia" w:ascii="Times New Roman" w:hAnsi="Times New Roman"/>
          <w:smallCaps w:val="0"/>
          <w:color w:val="000000" w:themeColor="text1"/>
          <w:highlight w:val="none"/>
          <w:u w:val="single"/>
          <w:lang w:val="zh-CN"/>
          <w14:textFill>
            <w14:solidFill>
              <w14:schemeClr w14:val="tx1"/>
            </w14:solidFill>
          </w14:textFill>
        </w:rPr>
        <w:t xml:space="preserve">     </w:t>
      </w:r>
      <w:r>
        <w:rPr>
          <w:rFonts w:hint="eastAsia" w:ascii="Times New Roman" w:hAnsi="Times New Roman"/>
          <w:smallCaps w:val="0"/>
          <w:color w:val="000000" w:themeColor="text1"/>
          <w:highlight w:val="none"/>
          <w:lang w:val="zh-CN"/>
          <w14:textFill>
            <w14:solidFill>
              <w14:schemeClr w14:val="tx1"/>
            </w14:solidFill>
          </w14:textFill>
        </w:rPr>
        <w:t>万元，资产总额为</w:t>
      </w:r>
      <w:r>
        <w:rPr>
          <w:rFonts w:hint="eastAsia" w:ascii="Times New Roman" w:hAnsi="Times New Roman"/>
          <w:smallCaps w:val="0"/>
          <w:color w:val="000000" w:themeColor="text1"/>
          <w:highlight w:val="none"/>
          <w:u w:val="single"/>
          <w:lang w:val="zh-CN"/>
          <w14:textFill>
            <w14:solidFill>
              <w14:schemeClr w14:val="tx1"/>
            </w14:solidFill>
          </w14:textFill>
        </w:rPr>
        <w:t xml:space="preserve">     </w:t>
      </w:r>
      <w:r>
        <w:rPr>
          <w:rFonts w:hint="eastAsia" w:ascii="Times New Roman" w:hAnsi="Times New Roman"/>
          <w:smallCaps w:val="0"/>
          <w:color w:val="000000" w:themeColor="text1"/>
          <w:highlight w:val="none"/>
          <w:lang w:val="zh-CN"/>
          <w14:textFill>
            <w14:solidFill>
              <w14:schemeClr w14:val="tx1"/>
            </w14:solidFill>
          </w14:textFill>
        </w:rPr>
        <w:t xml:space="preserve">万元，属于（中型企业、小型企业、微型企业）； </w:t>
      </w:r>
    </w:p>
    <w:p w14:paraId="55AD8019">
      <w:pPr>
        <w:pStyle w:val="79"/>
        <w:pageBreakBefore w:val="0"/>
        <w:kinsoku/>
        <w:wordWrap w:val="0"/>
        <w:overflowPunct/>
        <w:bidi w:val="0"/>
        <w:rPr>
          <w:rFonts w:ascii="Times New Roman" w:hAnsi="Times New Roman"/>
          <w:smallCaps w:val="0"/>
          <w:color w:val="000000" w:themeColor="text1"/>
          <w:highlight w:val="none"/>
          <w:lang w:val="zh-CN"/>
          <w14:textFill>
            <w14:solidFill>
              <w14:schemeClr w14:val="tx1"/>
            </w14:solidFill>
          </w14:textFill>
        </w:rPr>
      </w:pPr>
      <w:r>
        <w:rPr>
          <w:rFonts w:hint="eastAsia" w:ascii="Times New Roman" w:hAnsi="Times New Roman"/>
          <w:smallCaps w:val="0"/>
          <w:color w:val="000000" w:themeColor="text1"/>
          <w:highlight w:val="none"/>
          <w:lang w:val="zh-CN"/>
          <w14:textFill>
            <w14:solidFill>
              <w14:schemeClr w14:val="tx1"/>
            </w14:solidFill>
          </w14:textFill>
        </w:rPr>
        <w:t>……</w:t>
      </w:r>
    </w:p>
    <w:p w14:paraId="2EE0823F">
      <w:pPr>
        <w:pStyle w:val="79"/>
        <w:pageBreakBefore w:val="0"/>
        <w:kinsoku/>
        <w:wordWrap w:val="0"/>
        <w:overflowPunct/>
        <w:bidi w:val="0"/>
        <w:rPr>
          <w:rFonts w:ascii="Times New Roman" w:hAnsi="Times New Roman"/>
          <w:smallCaps w:val="0"/>
          <w:color w:val="000000" w:themeColor="text1"/>
          <w:highlight w:val="none"/>
          <w:lang w:val="zh-CN"/>
          <w14:textFill>
            <w14:solidFill>
              <w14:schemeClr w14:val="tx1"/>
            </w14:solidFill>
          </w14:textFill>
        </w:rPr>
      </w:pPr>
      <w:r>
        <w:rPr>
          <w:rFonts w:hint="eastAsia" w:ascii="Times New Roman" w:hAnsi="Times New Roman"/>
          <w:smallCaps w:val="0"/>
          <w:color w:val="000000" w:themeColor="text1"/>
          <w:highlight w:val="none"/>
          <w:lang w:val="zh-CN"/>
          <w14:textFill>
            <w14:solidFill>
              <w14:schemeClr w14:val="tx1"/>
            </w14:solidFill>
          </w14:textFill>
        </w:rPr>
        <w:t>以上企业，不属于大企业的分支机构，不存在控股股东为大企业的情形，也不存在与大企业的负责人为同一人的情形。</w:t>
      </w:r>
    </w:p>
    <w:p w14:paraId="14429B4C">
      <w:pPr>
        <w:pStyle w:val="79"/>
        <w:pageBreakBefore w:val="0"/>
        <w:kinsoku/>
        <w:wordWrap w:val="0"/>
        <w:overflowPunct/>
        <w:bidi w:val="0"/>
        <w:rPr>
          <w:rFonts w:ascii="Times New Roman" w:hAnsi="Times New Roman"/>
          <w:smallCaps w:val="0"/>
          <w:color w:val="000000" w:themeColor="text1"/>
          <w:highlight w:val="none"/>
          <w:lang w:val="zh-CN"/>
          <w14:textFill>
            <w14:solidFill>
              <w14:schemeClr w14:val="tx1"/>
            </w14:solidFill>
          </w14:textFill>
        </w:rPr>
      </w:pPr>
      <w:r>
        <w:rPr>
          <w:rFonts w:hint="eastAsia" w:ascii="Times New Roman" w:hAnsi="Times New Roman"/>
          <w:smallCaps w:val="0"/>
          <w:color w:val="000000" w:themeColor="text1"/>
          <w:highlight w:val="none"/>
          <w:lang w:val="zh-CN"/>
          <w14:textFill>
            <w14:solidFill>
              <w14:schemeClr w14:val="tx1"/>
            </w14:solidFill>
          </w14:textFill>
        </w:rPr>
        <w:t>本企业对上述声明内容的真实性负责。如有虚假，将依法承担相应责任。</w:t>
      </w:r>
    </w:p>
    <w:p w14:paraId="721B6007">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p>
    <w:p w14:paraId="384DDF9D">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p>
    <w:p w14:paraId="719A6F21">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2AAEA7CC">
      <w:pPr>
        <w:pStyle w:val="79"/>
        <w:pageBreakBefore w:val="0"/>
        <w:kinsoku/>
        <w:wordWrap w:val="0"/>
        <w:overflowPunct/>
        <w:bidi w:val="0"/>
        <w:ind w:left="0" w:leftChars="0" w:firstLine="5279" w:firstLineChars="2514"/>
        <w:rPr>
          <w:rFonts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u w:val="singl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6BE022D3">
      <w:pPr>
        <w:pStyle w:val="79"/>
        <w:pageBreakBefore w:val="0"/>
        <w:kinsoku/>
        <w:wordWrap w:val="0"/>
        <w:overflowPunct/>
        <w:bidi w:val="0"/>
        <w:ind w:left="0" w:leftChars="0" w:firstLine="5279" w:firstLineChars="2514"/>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0C4E09E9">
      <w:pPr>
        <w:pageBreakBefore w:val="0"/>
        <w:tabs>
          <w:tab w:val="left" w:pos="4620"/>
        </w:tabs>
        <w:kinsoku/>
        <w:wordWrap w:val="0"/>
        <w:overflowPunct/>
        <w:bidi w:val="0"/>
        <w:spacing w:line="360" w:lineRule="auto"/>
        <w:ind w:firstLine="3721" w:firstLineChars="1772"/>
        <w:rPr>
          <w:rFonts w:ascii="Times New Roman" w:hAnsi="Times New Roman" w:eastAsia="宋体" w:cs="@仿宋_GB2312"/>
          <w:smallCaps w:val="0"/>
          <w:color w:val="000000" w:themeColor="text1"/>
          <w:kern w:val="2"/>
          <w:sz w:val="21"/>
          <w:szCs w:val="21"/>
          <w:highlight w:val="none"/>
          <w:u w:val="single"/>
          <w14:textFill>
            <w14:solidFill>
              <w14:schemeClr w14:val="tx1"/>
            </w14:solidFill>
          </w14:textFill>
        </w:rPr>
      </w:pPr>
    </w:p>
    <w:p w14:paraId="05D0CA6E">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p>
    <w:p w14:paraId="71B036ED">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p>
    <w:p w14:paraId="6D32E7CB">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注：</w:t>
      </w:r>
    </w:p>
    <w:p w14:paraId="496ED77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1.从业人员、营业收入、资产总额填报上一年数据，无上一年数据的新成立企业可不填报。</w:t>
      </w:r>
    </w:p>
    <w:p w14:paraId="6D74869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2.供应商应根据《政府采购促进中小企业发展管理办法》（财库﹝2020﹞46号）和《关于印发中小企业划型标准规定的通知》(工信部联企业〔2011〕300号)相关规定，如实填写中小企业声明函。</w:t>
      </w:r>
      <w:r>
        <w:rPr>
          <w:rFonts w:hint="eastAsia" w:ascii="Times New Roman" w:hAnsi="Times New Roman"/>
          <w:smallCaps w:val="0"/>
          <w:color w:val="000000" w:themeColor="text1"/>
          <w:highlight w:val="none"/>
          <w:lang w:val="zh-CN"/>
          <w14:textFill>
            <w14:solidFill>
              <w14:schemeClr w14:val="tx1"/>
            </w14:solidFill>
          </w14:textFill>
        </w:rPr>
        <w:t>如有虚假，将依法承担相应责任。</w:t>
      </w:r>
      <w:r>
        <w:rPr>
          <w:rFonts w:hint="eastAsia" w:ascii="Times New Roman" w:hAnsi="Times New Roman"/>
          <w:smallCaps w:val="0"/>
          <w:color w:val="000000" w:themeColor="text1"/>
          <w:highlight w:val="none"/>
          <w:lang w:eastAsia="zh-CN"/>
          <w14:textFill>
            <w14:solidFill>
              <w14:schemeClr w14:val="tx1"/>
            </w14:solidFill>
          </w14:textFill>
        </w:rPr>
        <w:t>投标人</w:t>
      </w:r>
      <w:r>
        <w:rPr>
          <w:rFonts w:hint="eastAsia" w:ascii="Times New Roman" w:hAnsi="Times New Roman"/>
          <w:smallCaps w:val="0"/>
          <w:color w:val="000000" w:themeColor="text1"/>
          <w:highlight w:val="none"/>
          <w14:textFill>
            <w14:solidFill>
              <w14:schemeClr w14:val="tx1"/>
            </w14:solidFill>
          </w14:textFill>
        </w:rPr>
        <w:t>自行登录工业和信息化部官网进行中小企业规模类型自测（查询网址https</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//www.miit.gov.cn/）。</w:t>
      </w:r>
    </w:p>
    <w:p w14:paraId="669518E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eastAsia="zh-CN"/>
          <w14:textFill>
            <w14:solidFill>
              <w14:schemeClr w14:val="tx1"/>
            </w14:solidFill>
          </w14:textFill>
        </w:rPr>
        <w:t>3</w:t>
      </w:r>
      <w:r>
        <w:rPr>
          <w:rFonts w:hint="eastAsia" w:ascii="Times New Roman" w:hAnsi="Times New Roman"/>
          <w:smallCaps w:val="0"/>
          <w:color w:val="000000" w:themeColor="text1"/>
          <w:highlight w:val="none"/>
          <w14:textFill>
            <w14:solidFill>
              <w14:schemeClr w14:val="tx1"/>
            </w14:solidFill>
          </w14:textFill>
        </w:rPr>
        <w:t>.上述“</w:t>
      </w:r>
      <w:r>
        <w:rPr>
          <w:rFonts w:hint="eastAsia" w:ascii="Times New Roman" w:hAnsi="Times New Roman"/>
          <w:smallCaps w:val="0"/>
          <w:color w:val="000000" w:themeColor="text1"/>
          <w:highlight w:val="none"/>
          <w:lang w:eastAsia="zh-CN"/>
          <w14:textFill>
            <w14:solidFill>
              <w14:schemeClr w14:val="tx1"/>
            </w14:solidFill>
          </w14:textFill>
        </w:rPr>
        <w:t>招标</w:t>
      </w:r>
      <w:r>
        <w:rPr>
          <w:rFonts w:hint="eastAsia" w:ascii="Times New Roman" w:hAnsi="Times New Roman"/>
          <w:smallCaps w:val="0"/>
          <w:color w:val="000000" w:themeColor="text1"/>
          <w:highlight w:val="none"/>
          <w14:textFill>
            <w14:solidFill>
              <w14:schemeClr w14:val="tx1"/>
            </w14:solidFill>
          </w14:textFill>
        </w:rPr>
        <w:t>文件中明确的所属行业”，</w:t>
      </w:r>
      <w:r>
        <w:rPr>
          <w:rFonts w:hint="eastAsia" w:ascii="Times New Roman" w:hAnsi="Times New Roman"/>
          <w:smallCaps w:val="0"/>
          <w:color w:val="000000" w:themeColor="text1"/>
          <w:highlight w:val="none"/>
          <w:lang w:eastAsia="zh-CN"/>
          <w14:textFill>
            <w14:solidFill>
              <w14:schemeClr w14:val="tx1"/>
            </w14:solidFill>
          </w14:textFill>
        </w:rPr>
        <w:t>指建筑业</w:t>
      </w:r>
      <w:r>
        <w:rPr>
          <w:rFonts w:hint="eastAsia" w:ascii="Times New Roman" w:hAnsi="Times New Roman"/>
          <w:smallCaps w:val="0"/>
          <w:color w:val="000000" w:themeColor="text1"/>
          <w:highlight w:val="none"/>
          <w14:textFill>
            <w14:solidFill>
              <w14:schemeClr w14:val="tx1"/>
            </w14:solidFill>
          </w14:textFill>
        </w:rPr>
        <w:t>。</w:t>
      </w:r>
    </w:p>
    <w:p w14:paraId="12C98C60">
      <w:pPr>
        <w:pageBreakBefore w:val="0"/>
        <w:kinsoku/>
        <w:wordWrap w:val="0"/>
        <w:overflowPunct/>
        <w:bidi w:val="0"/>
        <w:rPr>
          <w:rFonts w:hint="eastAsia" w:ascii="Times New Roman" w:hAnsi="Times New Roman" w:cs="宋体"/>
          <w:smallCaps w:val="0"/>
          <w:color w:val="000000" w:themeColor="text1"/>
          <w:highlight w:val="none"/>
          <w:u w:val="single"/>
          <w14:textFill>
            <w14:solidFill>
              <w14:schemeClr w14:val="tx1"/>
            </w14:solidFill>
          </w14:textFill>
        </w:rPr>
      </w:pPr>
      <w:r>
        <w:rPr>
          <w:rFonts w:hint="eastAsia" w:ascii="Times New Roman" w:hAnsi="Times New Roman" w:cs="宋体"/>
          <w:smallCaps w:val="0"/>
          <w:color w:val="000000" w:themeColor="text1"/>
          <w:highlight w:val="none"/>
          <w14:textFill>
            <w14:solidFill>
              <w14:schemeClr w14:val="tx1"/>
            </w14:solidFill>
          </w14:textFill>
        </w:rPr>
        <w:br w:type="page"/>
      </w:r>
    </w:p>
    <w:p w14:paraId="1B2FF777">
      <w:pPr>
        <w:pageBreakBefore w:val="0"/>
        <w:kinsoku/>
        <w:wordWrap w:val="0"/>
        <w:overflowPunct/>
        <w:bidi w:val="0"/>
        <w:spacing w:line="400" w:lineRule="exact"/>
        <w:rPr>
          <w:rFonts w:hint="eastAsia" w:ascii="Times New Roman" w:hAnsi="Times New Roman"/>
          <w:smallCaps w:val="0"/>
          <w:color w:val="000000" w:themeColor="text1"/>
          <w:highlight w:val="none"/>
          <w14:textFill>
            <w14:solidFill>
              <w14:schemeClr w14:val="tx1"/>
            </w14:solidFill>
          </w14:textFill>
        </w:rPr>
      </w:pPr>
    </w:p>
    <w:p w14:paraId="58010729">
      <w:pPr>
        <w:pageBreakBefore w:val="0"/>
        <w:kinsoku/>
        <w:wordWrap w:val="0"/>
        <w:overflowPunct/>
        <w:bidi w:val="0"/>
        <w:spacing w:line="440" w:lineRule="exact"/>
        <w:outlineLvl w:val="0"/>
        <w:rPr>
          <w:rFonts w:ascii="Times New Roman" w:hAnsi="Times New Roman" w:eastAsia="黑体"/>
          <w:smallCaps w:val="0"/>
          <w:color w:val="000000" w:themeColor="text1"/>
          <w:sz w:val="20"/>
          <w:szCs w:val="20"/>
          <w:highlight w:val="none"/>
          <w14:textFill>
            <w14:solidFill>
              <w14:schemeClr w14:val="tx1"/>
            </w14:solidFill>
          </w14:textFill>
        </w:rPr>
      </w:pPr>
    </w:p>
    <w:p w14:paraId="295795A3">
      <w:pPr>
        <w:pageBreakBefore w:val="0"/>
        <w:tabs>
          <w:tab w:val="left" w:pos="2580"/>
          <w:tab w:val="left" w:pos="5940"/>
        </w:tabs>
        <w:kinsoku/>
        <w:wordWrap w:val="0"/>
        <w:overflowPunct/>
        <w:autoSpaceDE w:val="0"/>
        <w:autoSpaceDN w:val="0"/>
        <w:bidi w:val="0"/>
        <w:adjustRightInd w:val="0"/>
        <w:snapToGrid w:val="0"/>
        <w:spacing w:line="360" w:lineRule="auto"/>
        <w:jc w:val="left"/>
        <w:rPr>
          <w:rFonts w:hint="eastAsia" w:ascii="Times New Roman" w:hAnsi="Times New Roman" w:cs="宋体"/>
          <w:smallCaps w:val="0"/>
          <w:color w:val="000000" w:themeColor="text1"/>
          <w:kern w:val="0"/>
          <w:sz w:val="28"/>
          <w:highlight w:val="none"/>
          <w:u w:val="single"/>
          <w14:textFill>
            <w14:solidFill>
              <w14:schemeClr w14:val="tx1"/>
            </w14:solidFill>
          </w14:textFill>
        </w:rPr>
      </w:pPr>
    </w:p>
    <w:p w14:paraId="34CC5689">
      <w:pPr>
        <w:pageBreakBefore w:val="0"/>
        <w:kinsoku/>
        <w:wordWrap w:val="0"/>
        <w:overflowPunct/>
        <w:bidi w:val="0"/>
        <w:adjustRightInd/>
        <w:spacing w:line="240" w:lineRule="auto"/>
        <w:jc w:val="center"/>
        <w:rPr>
          <w:rFonts w:hint="eastAsia" w:ascii="Times New Roman" w:hAnsi="Times New Roman" w:eastAsia="黑体"/>
          <w:smallCaps w:val="0"/>
          <w:color w:val="000000" w:themeColor="text1"/>
          <w:sz w:val="28"/>
          <w:szCs w:val="28"/>
          <w:highlight w:val="none"/>
          <w:u w:val="single"/>
          <w14:textFill>
            <w14:solidFill>
              <w14:schemeClr w14:val="tx1"/>
            </w14:solidFill>
          </w14:textFill>
        </w:rPr>
      </w:pPr>
      <w:r>
        <w:rPr>
          <w:rFonts w:hint="eastAsia" w:ascii="Times New Roman" w:hAnsi="Times New Roman" w:eastAsia="黑体"/>
          <w:smallCaps w:val="0"/>
          <w:color w:val="000000" w:themeColor="text1"/>
          <w:sz w:val="28"/>
          <w:szCs w:val="28"/>
          <w:highlight w:val="none"/>
          <w:u w:val="single"/>
          <w14:textFill>
            <w14:solidFill>
              <w14:schemeClr w14:val="tx1"/>
            </w14:solidFill>
          </w14:textFill>
        </w:rPr>
        <w:t xml:space="preserve">             </w:t>
      </w:r>
      <w:bookmarkStart w:id="1510" w:name="_Toc23779"/>
      <w:bookmarkStart w:id="1511" w:name="_Toc1499"/>
      <w:bookmarkStart w:id="1512" w:name="_Toc1590"/>
      <w:bookmarkStart w:id="1513" w:name="_Toc23104"/>
      <w:bookmarkStart w:id="1514" w:name="_Toc17030"/>
      <w:bookmarkStart w:id="1515" w:name="_Toc11355"/>
      <w:bookmarkStart w:id="1516" w:name="_Toc32538"/>
      <w:bookmarkStart w:id="1517" w:name="_Toc13383"/>
      <w:r>
        <w:rPr>
          <w:rFonts w:hint="eastAsia" w:ascii="Times New Roman" w:hAnsi="Times New Roman" w:eastAsia="黑体"/>
          <w:smallCaps w:val="0"/>
          <w:color w:val="000000" w:themeColor="text1"/>
          <w:sz w:val="28"/>
          <w:szCs w:val="28"/>
          <w:highlight w:val="none"/>
          <w:u w:val="none"/>
          <w14:textFill>
            <w14:solidFill>
              <w14:schemeClr w14:val="tx1"/>
            </w14:solidFill>
          </w14:textFill>
        </w:rPr>
        <w:t>（招标项目名称</w:t>
      </w:r>
      <w:r>
        <w:rPr>
          <w:rFonts w:hint="eastAsia" w:ascii="Times New Roman" w:hAnsi="Times New Roman" w:eastAsia="黑体"/>
          <w:smallCaps w:val="0"/>
          <w:color w:val="000000" w:themeColor="text1"/>
          <w:sz w:val="28"/>
          <w:szCs w:val="28"/>
          <w:highlight w:val="none"/>
          <w:u w:val="single"/>
          <w:lang w:eastAsia="zh-CN"/>
          <w14:textFill>
            <w14:solidFill>
              <w14:schemeClr w14:val="tx1"/>
            </w14:solidFill>
          </w14:textFill>
        </w:rPr>
        <w:t>）</w:t>
      </w:r>
      <w:r>
        <w:rPr>
          <w:rFonts w:hint="eastAsia" w:ascii="Times New Roman" w:hAnsi="Times New Roman" w:eastAsia="黑体"/>
          <w:smallCaps w:val="0"/>
          <w:color w:val="000000" w:themeColor="text1"/>
          <w:sz w:val="28"/>
          <w:szCs w:val="28"/>
          <w:highlight w:val="none"/>
          <w:u w:val="single"/>
          <w14:textFill>
            <w14:solidFill>
              <w14:schemeClr w14:val="tx1"/>
            </w14:solidFill>
          </w14:textFill>
        </w:rPr>
        <w:t xml:space="preserve">     </w:t>
      </w:r>
      <w:r>
        <w:rPr>
          <w:rFonts w:hint="eastAsia" w:ascii="Times New Roman" w:hAnsi="Times New Roman" w:eastAsia="黑体"/>
          <w:smallCaps w:val="0"/>
          <w:color w:val="000000" w:themeColor="text1"/>
          <w:sz w:val="28"/>
          <w:szCs w:val="28"/>
          <w:highlight w:val="none"/>
          <w:u w:val="none"/>
          <w14:textFill>
            <w14:solidFill>
              <w14:schemeClr w14:val="tx1"/>
            </w14:solidFill>
          </w14:textFill>
        </w:rPr>
        <w:t>标段施工招标</w:t>
      </w:r>
      <w:bookmarkEnd w:id="1510"/>
      <w:bookmarkEnd w:id="1511"/>
      <w:bookmarkEnd w:id="1512"/>
      <w:bookmarkEnd w:id="1513"/>
      <w:bookmarkEnd w:id="1514"/>
      <w:bookmarkEnd w:id="1515"/>
      <w:bookmarkEnd w:id="1516"/>
      <w:bookmarkEnd w:id="1517"/>
    </w:p>
    <w:p w14:paraId="273006F8">
      <w:pPr>
        <w:pageBreakBefore w:val="0"/>
        <w:kinsoku/>
        <w:wordWrap w:val="0"/>
        <w:overflowPunct/>
        <w:bidi w:val="0"/>
        <w:rPr>
          <w:rFonts w:hint="eastAsia" w:ascii="Times New Roman" w:hAnsi="Times New Roman" w:eastAsia="黑体"/>
          <w:smallCaps w:val="0"/>
          <w:color w:val="000000" w:themeColor="text1"/>
          <w:sz w:val="20"/>
          <w:szCs w:val="20"/>
          <w:highlight w:val="none"/>
          <w14:textFill>
            <w14:solidFill>
              <w14:schemeClr w14:val="tx1"/>
            </w14:solidFill>
          </w14:textFill>
        </w:rPr>
      </w:pPr>
      <w:bookmarkStart w:id="1518" w:name="_Toc2448"/>
      <w:bookmarkStart w:id="1519" w:name="_Toc7399"/>
    </w:p>
    <w:p w14:paraId="2EC123D8">
      <w:pPr>
        <w:pageBreakBefore w:val="0"/>
        <w:kinsoku/>
        <w:wordWrap w:val="0"/>
        <w:overflowPunct/>
        <w:bidi w:val="0"/>
        <w:rPr>
          <w:rFonts w:hint="eastAsia" w:ascii="Times New Roman" w:hAnsi="Times New Roman" w:eastAsia="黑体"/>
          <w:smallCaps w:val="0"/>
          <w:color w:val="000000" w:themeColor="text1"/>
          <w:sz w:val="20"/>
          <w:szCs w:val="20"/>
          <w:highlight w:val="none"/>
          <w14:textFill>
            <w14:solidFill>
              <w14:schemeClr w14:val="tx1"/>
            </w14:solidFill>
          </w14:textFill>
        </w:rPr>
      </w:pPr>
    </w:p>
    <w:p w14:paraId="4C8BB559">
      <w:pPr>
        <w:pStyle w:val="77"/>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bookmarkStart w:id="1520" w:name="_Toc23716"/>
      <w:r>
        <w:rPr>
          <w:rFonts w:hint="eastAsia" w:ascii="Times New Roman" w:hAnsi="Times New Roman"/>
          <w:smallCaps w:val="0"/>
          <w:color w:val="000000" w:themeColor="text1"/>
          <w:highlight w:val="none"/>
          <w14:textFill>
            <w14:solidFill>
              <w14:schemeClr w14:val="tx1"/>
            </w14:solidFill>
          </w14:textFill>
        </w:rPr>
        <w:t>投  标  文  件</w:t>
      </w:r>
      <w:bookmarkEnd w:id="1520"/>
    </w:p>
    <w:p w14:paraId="6CE84DE2">
      <w:pPr>
        <w:pStyle w:val="77"/>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bookmarkStart w:id="1521" w:name="_Toc3517"/>
      <w:bookmarkStart w:id="1522" w:name="_Toc14415"/>
      <w:r>
        <w:rPr>
          <w:rFonts w:hint="eastAsia" w:ascii="Times New Roman" w:hAnsi="Times New Roman"/>
          <w:smallCaps w:val="0"/>
          <w:color w:val="000000" w:themeColor="text1"/>
          <w:highlight w:val="none"/>
          <w14:textFill>
            <w14:solidFill>
              <w14:schemeClr w14:val="tx1"/>
            </w14:solidFill>
          </w14:textFill>
        </w:rPr>
        <w:t>（报价文件）</w:t>
      </w:r>
      <w:bookmarkEnd w:id="1518"/>
      <w:bookmarkEnd w:id="1519"/>
      <w:bookmarkEnd w:id="1521"/>
      <w:bookmarkEnd w:id="1522"/>
    </w:p>
    <w:p w14:paraId="18ACC31F">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0B884C0">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39072381">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0EB5B63F">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E412760">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4FA4089E">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67A38102">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790EB877">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34E462B0">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7294A433">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3D925E65">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75108C4B">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C544B42">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0E59CB1F">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6CCFAAF">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B27712A">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7FF8D6B2">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B5EEF5F">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5BBCC789">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51C309BE">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C440D7A">
      <w:pPr>
        <w:pStyle w:val="6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523" w:name="_Toc4290"/>
      <w:bookmarkStart w:id="1524" w:name="_Toc2427"/>
      <w:bookmarkStart w:id="1525" w:name="_Toc27674"/>
      <w:bookmarkStart w:id="1526" w:name="_Toc29880"/>
      <w:bookmarkStart w:id="1527" w:name="_Toc4944"/>
      <w:bookmarkStart w:id="1528" w:name="_Toc8923"/>
      <w:bookmarkStart w:id="1529" w:name="_Toc30267"/>
      <w:bookmarkStart w:id="1530" w:name="_Toc22968"/>
      <w:r>
        <w:rPr>
          <w:rFonts w:hint="eastAsia" w:ascii="Times New Roman" w:hAnsi="Times New Roman"/>
          <w:smallCaps w:val="0"/>
          <w:color w:val="000000" w:themeColor="text1"/>
          <w:highlight w:val="none"/>
          <w14:textFill>
            <w14:solidFill>
              <w14:schemeClr w14:val="tx1"/>
            </w14:solidFill>
          </w14:textFill>
        </w:rPr>
        <w:t>投标人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bookmarkEnd w:id="1523"/>
      <w:bookmarkEnd w:id="1524"/>
      <w:bookmarkEnd w:id="1525"/>
      <w:bookmarkEnd w:id="1526"/>
      <w:bookmarkEnd w:id="1527"/>
      <w:bookmarkEnd w:id="1528"/>
      <w:bookmarkEnd w:id="1529"/>
      <w:bookmarkEnd w:id="1530"/>
    </w:p>
    <w:p w14:paraId="298438B9">
      <w:pPr>
        <w:pStyle w:val="6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bookmarkStart w:id="1531" w:name="_Toc4255"/>
      <w:bookmarkStart w:id="1532" w:name="_Toc676"/>
      <w:bookmarkStart w:id="1533" w:name="_Toc27725"/>
      <w:bookmarkStart w:id="1534" w:name="_Toc5659"/>
      <w:bookmarkStart w:id="1535" w:name="_Toc28846"/>
      <w:bookmarkStart w:id="1536" w:name="_Toc11249"/>
      <w:bookmarkStart w:id="1537" w:name="_Toc27654"/>
      <w:bookmarkStart w:id="1538" w:name="_Toc16069"/>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bookmarkEnd w:id="1531"/>
      <w:bookmarkEnd w:id="1532"/>
      <w:bookmarkEnd w:id="1533"/>
      <w:bookmarkEnd w:id="1534"/>
      <w:bookmarkEnd w:id="1535"/>
      <w:bookmarkEnd w:id="1536"/>
      <w:bookmarkEnd w:id="1537"/>
      <w:bookmarkEnd w:id="1538"/>
    </w:p>
    <w:p w14:paraId="6D61A9BD">
      <w:pPr>
        <w:pStyle w:val="6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665E4506">
      <w:pPr>
        <w:pageBreakBefore w:val="0"/>
        <w:kinsoku/>
        <w:wordWrap w:val="0"/>
        <w:overflowPunct/>
        <w:bidi w:val="0"/>
        <w:rPr>
          <w:rFonts w:hint="eastAsia" w:ascii="Times New Roman" w:hAnsi="Times New Roman" w:cs="宋体"/>
          <w:b/>
          <w:bCs/>
          <w:smallCaps w:val="0"/>
          <w:color w:val="000000" w:themeColor="text1"/>
          <w:kern w:val="0"/>
          <w:sz w:val="32"/>
          <w:szCs w:val="22"/>
          <w:highlight w:val="none"/>
          <w14:textFill>
            <w14:solidFill>
              <w14:schemeClr w14:val="tx1"/>
            </w14:solidFill>
          </w14:textFill>
        </w:rPr>
      </w:pPr>
      <w:bookmarkStart w:id="1539" w:name="_Toc28548"/>
      <w:bookmarkStart w:id="1540" w:name="_Toc29450"/>
      <w:bookmarkStart w:id="1541" w:name="_Toc6842"/>
      <w:bookmarkStart w:id="1542" w:name="_Toc21212"/>
      <w:bookmarkStart w:id="1543" w:name="_Toc5187"/>
      <w:bookmarkStart w:id="1544" w:name="_Toc4887"/>
      <w:bookmarkStart w:id="1545" w:name="_Toc17314"/>
      <w:bookmarkStart w:id="1546" w:name="_Toc6188"/>
      <w:r>
        <w:rPr>
          <w:rFonts w:hint="eastAsia" w:ascii="Times New Roman" w:hAnsi="Times New Roman" w:cs="宋体"/>
          <w:b/>
          <w:bCs/>
          <w:smallCaps w:val="0"/>
          <w:color w:val="000000" w:themeColor="text1"/>
          <w:kern w:val="0"/>
          <w:sz w:val="32"/>
          <w:szCs w:val="22"/>
          <w:highlight w:val="none"/>
          <w14:textFill>
            <w14:solidFill>
              <w14:schemeClr w14:val="tx1"/>
            </w14:solidFill>
          </w14:textFill>
        </w:rPr>
        <w:br w:type="page"/>
      </w:r>
    </w:p>
    <w:p w14:paraId="0CB3EDE9">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目  录</w:t>
      </w:r>
      <w:bookmarkEnd w:id="1539"/>
      <w:bookmarkEnd w:id="1540"/>
      <w:bookmarkEnd w:id="1541"/>
      <w:bookmarkEnd w:id="1542"/>
      <w:bookmarkEnd w:id="1543"/>
      <w:bookmarkEnd w:id="1544"/>
      <w:bookmarkEnd w:id="1545"/>
      <w:bookmarkEnd w:id="1546"/>
    </w:p>
    <w:p w14:paraId="58AF70A2">
      <w:pPr>
        <w:pageBreakBefore w:val="0"/>
        <w:kinsoku/>
        <w:wordWrap w:val="0"/>
        <w:overflowPunct/>
        <w:autoSpaceDE w:val="0"/>
        <w:autoSpaceDN w:val="0"/>
        <w:bidi w:val="0"/>
        <w:adjustRightInd w:val="0"/>
        <w:snapToGrid w:val="0"/>
        <w:spacing w:line="360" w:lineRule="auto"/>
        <w:ind w:firstLine="446" w:firstLineChars="196"/>
        <w:rPr>
          <w:rFonts w:hint="eastAsia" w:ascii="Times New Roman" w:hAnsi="Times New Roman" w:cs="宋体"/>
          <w:smallCaps w:val="0"/>
          <w:color w:val="000000" w:themeColor="text1"/>
          <w:spacing w:val="-6"/>
          <w:szCs w:val="21"/>
          <w:highlight w:val="none"/>
          <w14:textFill>
            <w14:solidFill>
              <w14:schemeClr w14:val="tx1"/>
            </w14:solidFill>
          </w14:textFill>
        </w:rPr>
      </w:pPr>
    </w:p>
    <w:p w14:paraId="11F948A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547" w:name="_Toc893"/>
      <w:bookmarkStart w:id="1548" w:name="_Toc8557"/>
      <w:bookmarkStart w:id="1549" w:name="_Toc3782"/>
      <w:bookmarkStart w:id="1550" w:name="_Toc2333"/>
      <w:bookmarkStart w:id="1551" w:name="_Toc32257"/>
      <w:bookmarkStart w:id="1552" w:name="_Toc22623"/>
      <w:bookmarkStart w:id="1553" w:name="_Toc18874"/>
      <w:bookmarkStart w:id="1554" w:name="_Toc30459"/>
      <w:r>
        <w:rPr>
          <w:rFonts w:hint="eastAsia" w:ascii="Times New Roman" w:hAnsi="Times New Roman"/>
          <w:smallCaps w:val="0"/>
          <w:color w:val="000000" w:themeColor="text1"/>
          <w:highlight w:val="none"/>
          <w14:textFill>
            <w14:solidFill>
              <w14:schemeClr w14:val="tx1"/>
            </w14:solidFill>
          </w14:textFill>
        </w:rPr>
        <w:t>一、投标函</w:t>
      </w:r>
      <w:bookmarkEnd w:id="1547"/>
      <w:bookmarkEnd w:id="1548"/>
      <w:bookmarkEnd w:id="1549"/>
      <w:bookmarkEnd w:id="1550"/>
      <w:bookmarkEnd w:id="1551"/>
      <w:bookmarkEnd w:id="1552"/>
      <w:bookmarkEnd w:id="1553"/>
      <w:bookmarkEnd w:id="1554"/>
    </w:p>
    <w:p w14:paraId="5E24869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555" w:name="_Toc31656"/>
      <w:bookmarkStart w:id="1556" w:name="_Toc7011"/>
      <w:bookmarkStart w:id="1557" w:name="_Toc17052"/>
      <w:bookmarkStart w:id="1558" w:name="_Toc30480"/>
      <w:bookmarkStart w:id="1559" w:name="_Toc20176"/>
      <w:bookmarkStart w:id="1560" w:name="_Toc12679"/>
      <w:bookmarkStart w:id="1561" w:name="_Toc17226"/>
      <w:bookmarkStart w:id="1562" w:name="_Toc4372"/>
      <w:r>
        <w:rPr>
          <w:rFonts w:hint="eastAsia" w:ascii="Times New Roman" w:hAnsi="Times New Roman"/>
          <w:smallCaps w:val="0"/>
          <w:color w:val="000000" w:themeColor="text1"/>
          <w:highlight w:val="none"/>
          <w14:textFill>
            <w14:solidFill>
              <w14:schemeClr w14:val="tx1"/>
            </w14:solidFill>
          </w14:textFill>
        </w:rPr>
        <w:t>二、工程量清单报价书</w:t>
      </w:r>
      <w:bookmarkEnd w:id="1555"/>
      <w:bookmarkEnd w:id="1556"/>
      <w:bookmarkEnd w:id="1557"/>
      <w:bookmarkEnd w:id="1558"/>
      <w:bookmarkEnd w:id="1559"/>
      <w:bookmarkEnd w:id="1560"/>
      <w:bookmarkEnd w:id="1561"/>
      <w:bookmarkEnd w:id="1562"/>
    </w:p>
    <w:p w14:paraId="1BCAAE7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563" w:name="_Toc15135"/>
      <w:bookmarkStart w:id="1564" w:name="_Toc10151"/>
      <w:bookmarkStart w:id="1565" w:name="_Toc18402"/>
      <w:bookmarkStart w:id="1566" w:name="_Toc9741"/>
      <w:bookmarkStart w:id="1567" w:name="_Toc29797"/>
      <w:bookmarkStart w:id="1568" w:name="_Toc6159"/>
      <w:bookmarkStart w:id="1569" w:name="_Toc15466"/>
      <w:bookmarkStart w:id="1570" w:name="_Toc9802"/>
      <w:r>
        <w:rPr>
          <w:rFonts w:hint="eastAsia" w:ascii="Times New Roman" w:hAnsi="Times New Roman"/>
          <w:smallCaps w:val="0"/>
          <w:color w:val="000000" w:themeColor="text1"/>
          <w:highlight w:val="none"/>
          <w14:textFill>
            <w14:solidFill>
              <w14:schemeClr w14:val="tx1"/>
            </w14:solidFill>
          </w14:textFill>
        </w:rPr>
        <w:t>三、其他资料</w:t>
      </w:r>
      <w:bookmarkEnd w:id="1563"/>
      <w:bookmarkEnd w:id="1564"/>
      <w:bookmarkEnd w:id="1565"/>
      <w:bookmarkEnd w:id="1566"/>
      <w:bookmarkEnd w:id="1567"/>
      <w:bookmarkEnd w:id="1568"/>
      <w:bookmarkEnd w:id="1569"/>
      <w:bookmarkEnd w:id="1570"/>
    </w:p>
    <w:p w14:paraId="35633993">
      <w:pPr>
        <w:pageBreakBefore w:val="0"/>
        <w:kinsoku/>
        <w:wordWrap w:val="0"/>
        <w:overflowPunct/>
        <w:autoSpaceDE w:val="0"/>
        <w:autoSpaceDN w:val="0"/>
        <w:bidi w:val="0"/>
        <w:adjustRightInd w:val="0"/>
        <w:spacing w:line="360" w:lineRule="auto"/>
        <w:ind w:right="-20" w:firstLine="160" w:firstLineChars="50"/>
        <w:jc w:val="left"/>
        <w:rPr>
          <w:rFonts w:hint="eastAsia" w:ascii="Times New Roman" w:hAnsi="Times New Roman" w:cs="宋体"/>
          <w:smallCaps w:val="0"/>
          <w:color w:val="000000" w:themeColor="text1"/>
          <w:sz w:val="32"/>
          <w:szCs w:val="22"/>
          <w:highlight w:val="none"/>
          <w14:textFill>
            <w14:solidFill>
              <w14:schemeClr w14:val="tx1"/>
            </w14:solidFill>
          </w14:textFill>
        </w:rPr>
      </w:pPr>
    </w:p>
    <w:p w14:paraId="5347C3E9">
      <w:pPr>
        <w:pageBreakBefore w:val="0"/>
        <w:kinsoku/>
        <w:wordWrap w:val="0"/>
        <w:overflowPunct/>
        <w:autoSpaceDE w:val="0"/>
        <w:autoSpaceDN w:val="0"/>
        <w:bidi w:val="0"/>
        <w:adjustRightInd w:val="0"/>
        <w:spacing w:line="360" w:lineRule="auto"/>
        <w:ind w:right="-20" w:firstLine="160" w:firstLineChars="50"/>
        <w:jc w:val="left"/>
        <w:rPr>
          <w:rFonts w:hint="eastAsia" w:ascii="Times New Roman" w:hAnsi="Times New Roman" w:cs="宋体"/>
          <w:smallCaps w:val="0"/>
          <w:color w:val="000000" w:themeColor="text1"/>
          <w:sz w:val="32"/>
          <w:szCs w:val="22"/>
          <w:highlight w:val="none"/>
          <w14:textFill>
            <w14:solidFill>
              <w14:schemeClr w14:val="tx1"/>
            </w14:solidFill>
          </w14:textFill>
        </w:rPr>
        <w:sectPr>
          <w:footnotePr>
            <w:numFmt w:val="decimalEnclosedCircleChinese"/>
            <w:numRestart w:val="eachPage"/>
          </w:footnotePr>
          <w:pgSz w:w="11907" w:h="16840"/>
          <w:pgMar w:top="1474" w:right="1474" w:bottom="1474" w:left="1474" w:header="799" w:footer="907" w:gutter="0"/>
          <w:pgNumType w:fmt="decimal"/>
          <w:cols w:space="720" w:num="1"/>
          <w:docGrid w:linePitch="271" w:charSpace="0"/>
        </w:sectPr>
      </w:pPr>
    </w:p>
    <w:p w14:paraId="4ADCDA79">
      <w:pPr>
        <w:pStyle w:val="40"/>
        <w:pageBreakBefore w:val="0"/>
        <w:kinsoku/>
        <w:wordWrap w:val="0"/>
        <w:overflowPunct/>
        <w:bidi w:val="0"/>
        <w:outlineLvl w:val="1"/>
        <w:rPr>
          <w:rFonts w:hint="eastAsia" w:ascii="Times New Roman" w:hAnsi="Times New Roman"/>
          <w:smallCaps w:val="0"/>
          <w:color w:val="000000" w:themeColor="text1"/>
          <w:highlight w:val="none"/>
          <w14:textFill>
            <w14:solidFill>
              <w14:schemeClr w14:val="tx1"/>
            </w14:solidFill>
          </w14:textFill>
        </w:rPr>
      </w:pPr>
      <w:bookmarkStart w:id="1571" w:name="_Toc421917012"/>
      <w:bookmarkStart w:id="1572" w:name="_Toc460660235"/>
      <w:bookmarkStart w:id="1573" w:name="_Toc15108"/>
      <w:bookmarkStart w:id="1574" w:name="_Toc22790"/>
      <w:bookmarkStart w:id="1575" w:name="_Toc390411631"/>
      <w:bookmarkStart w:id="1576" w:name="_Toc460227120"/>
      <w:bookmarkStart w:id="1577" w:name="_Toc2672"/>
      <w:r>
        <w:rPr>
          <w:rFonts w:hint="eastAsia" w:ascii="Times New Roman" w:hAnsi="Times New Roman"/>
          <w:smallCaps w:val="0"/>
          <w:color w:val="000000" w:themeColor="text1"/>
          <w:highlight w:val="none"/>
          <w14:textFill>
            <w14:solidFill>
              <w14:schemeClr w14:val="tx1"/>
            </w14:solidFill>
          </w14:textFill>
        </w:rPr>
        <w:t>一、投标函</w:t>
      </w:r>
      <w:bookmarkEnd w:id="1571"/>
      <w:bookmarkEnd w:id="1572"/>
      <w:bookmarkEnd w:id="1573"/>
      <w:bookmarkEnd w:id="1574"/>
      <w:bookmarkEnd w:id="1575"/>
      <w:bookmarkEnd w:id="1576"/>
      <w:bookmarkEnd w:id="1577"/>
    </w:p>
    <w:p w14:paraId="1841AAE9">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3D1D6A9A">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（招标人名称）</w:t>
      </w:r>
      <w:r>
        <w:rPr>
          <w:rFonts w:hint="eastAsia" w:ascii="Times New Roman" w:hAnsi="Times New Roman"/>
          <w:smallCaps w:val="0"/>
          <w:color w:val="000000" w:themeColor="text1"/>
          <w:highlight w:val="none"/>
          <w:lang w:eastAsia="zh-CN"/>
          <w14:textFill>
            <w14:solidFill>
              <w14:schemeClr w14:val="tx1"/>
            </w14:solidFill>
          </w14:textFill>
        </w:rPr>
        <w:t>：</w:t>
      </w:r>
    </w:p>
    <w:p w14:paraId="14B17394">
      <w:pPr>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p>
    <w:p w14:paraId="1036812F">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我方已仔细研究</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（招标项目名称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标段招标文件的全部内容，在考察工程现场后，愿意以人民币（大写</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元）的投标总报价，按合同约定实施和完成承包工程，修补工程中的任何缺陷。</w:t>
      </w:r>
    </w:p>
    <w:p w14:paraId="22F62A68">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我方已按招标文件要求详细审核并确认全部招标文件及有关附件，充分理解投标价格不得低于企业个别成本有关规定。我方经成本核算，所填报的投标报价不低于企业个别成本。</w:t>
      </w:r>
    </w:p>
    <w:p w14:paraId="27C4195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（其他补充说明）。</w:t>
      </w:r>
    </w:p>
    <w:p w14:paraId="6A35EABA">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16B3D321">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3F26BA7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 标 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p>
    <w:p w14:paraId="591D2C3C">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（签字或盖章）</w:t>
      </w:r>
    </w:p>
    <w:p w14:paraId="201B4CC4">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单位地址</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290E60C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邮政编码</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电话</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传真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p>
    <w:p w14:paraId="329E1C3E">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日</w:t>
      </w:r>
      <w:r>
        <w:rPr>
          <w:rFonts w:hint="eastAsia" w:ascii="Times New Roman" w:hAnsi="Times New Roman"/>
          <w:smallCaps w:val="0"/>
          <w:color w:val="000000" w:themeColor="text1"/>
          <w:highlight w:val="none"/>
          <w:lang w:val="en-US" w:eastAsia="zh-CN"/>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p>
    <w:p w14:paraId="19F56154">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p>
    <w:p w14:paraId="6FA87626">
      <w:pPr>
        <w:pStyle w:val="40"/>
        <w:pageBreakBefore w:val="0"/>
        <w:kinsoku/>
        <w:wordWrap w:val="0"/>
        <w:overflowPunct/>
        <w:bidi w:val="0"/>
        <w:outlineLvl w:val="1"/>
        <w:rPr>
          <w:rFonts w:hint="eastAsia" w:ascii="Times New Roman" w:hAnsi="Times New Roman"/>
          <w:smallCaps w:val="0"/>
          <w:color w:val="000000" w:themeColor="text1"/>
          <w:highlight w:val="none"/>
          <w14:textFill>
            <w14:solidFill>
              <w14:schemeClr w14:val="tx1"/>
            </w14:solidFill>
          </w14:textFill>
        </w:rPr>
      </w:pPr>
      <w:bookmarkStart w:id="1578" w:name="_Toc460660237"/>
      <w:bookmarkStart w:id="1579" w:name="_Toc460227122"/>
      <w:bookmarkStart w:id="1580" w:name="_Toc421917014"/>
      <w:bookmarkStart w:id="1581" w:name="_Toc32611"/>
      <w:bookmarkStart w:id="1582" w:name="_Toc228"/>
      <w:bookmarkStart w:id="1583" w:name="_Toc3942"/>
      <w:r>
        <w:rPr>
          <w:rFonts w:hint="eastAsia" w:ascii="Times New Roman" w:hAnsi="Times New Roman"/>
          <w:smallCaps w:val="0"/>
          <w:color w:val="000000" w:themeColor="text1"/>
          <w:highlight w:val="none"/>
          <w14:textFill>
            <w14:solidFill>
              <w14:schemeClr w14:val="tx1"/>
            </w14:solidFill>
          </w14:textFill>
        </w:rPr>
        <w:t>二、工程量清单报价书</w:t>
      </w:r>
      <w:bookmarkEnd w:id="1578"/>
      <w:bookmarkEnd w:id="1579"/>
      <w:bookmarkEnd w:id="1580"/>
      <w:bookmarkEnd w:id="1581"/>
      <w:bookmarkEnd w:id="1582"/>
      <w:bookmarkEnd w:id="1583"/>
    </w:p>
    <w:p w14:paraId="1C24204A">
      <w:pPr>
        <w:pageBreakBefore w:val="0"/>
        <w:kinsoku/>
        <w:wordWrap w:val="0"/>
        <w:overflowPunct/>
        <w:bidi w:val="0"/>
        <w:adjustRightInd w:val="0"/>
        <w:snapToGrid w:val="0"/>
        <w:spacing w:before="48" w:beforeLines="20" w:after="48" w:afterLines="20" w:line="540" w:lineRule="exact"/>
        <w:rPr>
          <w:rFonts w:hint="eastAsia" w:ascii="Times New Roman" w:hAnsi="Times New Roman" w:cs="宋体"/>
          <w:smallCaps w:val="0"/>
          <w:color w:val="000000" w:themeColor="text1"/>
          <w:sz w:val="28"/>
          <w:szCs w:val="22"/>
          <w:highlight w:val="none"/>
          <w14:textFill>
            <w14:solidFill>
              <w14:schemeClr w14:val="tx1"/>
            </w14:solidFill>
          </w14:textFill>
        </w:rPr>
      </w:pPr>
    </w:p>
    <w:p w14:paraId="4C82C1F5">
      <w:pPr>
        <w:pageBreakBefore w:val="0"/>
        <w:kinsoku/>
        <w:wordWrap w:val="0"/>
        <w:overflowPunct/>
        <w:bidi w:val="0"/>
        <w:adjustRightInd w:val="0"/>
        <w:snapToGrid w:val="0"/>
        <w:spacing w:before="48" w:beforeLines="20" w:after="48" w:afterLines="20" w:line="540" w:lineRule="exact"/>
        <w:jc w:val="center"/>
        <w:outlineLvl w:val="9"/>
        <w:rPr>
          <w:rFonts w:hint="eastAsia" w:ascii="Times New Roman" w:hAnsi="Times New Roman" w:cs="宋体"/>
          <w:b/>
          <w:smallCaps w:val="0"/>
          <w:color w:val="000000" w:themeColor="text1"/>
          <w:sz w:val="44"/>
          <w:szCs w:val="22"/>
          <w:highlight w:val="none"/>
          <w14:textFill>
            <w14:solidFill>
              <w14:schemeClr w14:val="tx1"/>
            </w14:solidFill>
          </w14:textFill>
        </w:rPr>
      </w:pPr>
      <w:bookmarkStart w:id="1584" w:name="_Toc5585"/>
      <w:bookmarkStart w:id="1585" w:name="_Toc6485"/>
      <w:bookmarkStart w:id="1586" w:name="_Toc27588"/>
      <w:bookmarkStart w:id="1587" w:name="_Toc24539"/>
      <w:bookmarkStart w:id="1588" w:name="_Toc11533"/>
      <w:bookmarkStart w:id="1589" w:name="_Toc185"/>
      <w:bookmarkStart w:id="1590" w:name="_Toc14482"/>
      <w:bookmarkStart w:id="1591" w:name="_Toc849"/>
      <w:r>
        <w:rPr>
          <w:rFonts w:hint="eastAsia" w:ascii="Times New Roman" w:hAnsi="Times New Roman" w:cs="宋体"/>
          <w:b/>
          <w:smallCaps w:val="0"/>
          <w:color w:val="000000" w:themeColor="text1"/>
          <w:sz w:val="36"/>
          <w:szCs w:val="22"/>
          <w:highlight w:val="none"/>
          <w14:textFill>
            <w14:solidFill>
              <w14:schemeClr w14:val="tx1"/>
            </w14:solidFill>
          </w14:textFill>
        </w:rPr>
        <w:t>投标总价</w:t>
      </w:r>
      <w:bookmarkEnd w:id="1584"/>
      <w:bookmarkEnd w:id="1585"/>
      <w:bookmarkEnd w:id="1586"/>
      <w:bookmarkEnd w:id="1587"/>
      <w:bookmarkEnd w:id="1588"/>
      <w:bookmarkEnd w:id="1589"/>
      <w:bookmarkEnd w:id="1590"/>
      <w:bookmarkEnd w:id="1591"/>
    </w:p>
    <w:p w14:paraId="79C3FDF3">
      <w:pPr>
        <w:pageBreakBefore w:val="0"/>
        <w:kinsoku/>
        <w:wordWrap w:val="0"/>
        <w:overflowPunct/>
        <w:bidi w:val="0"/>
        <w:adjustRightInd w:val="0"/>
        <w:snapToGrid w:val="0"/>
        <w:spacing w:before="48" w:beforeLines="20" w:after="48" w:afterLines="20" w:line="540" w:lineRule="exact"/>
        <w:outlineLvl w:val="9"/>
        <w:rPr>
          <w:rFonts w:hint="eastAsia" w:ascii="Times New Roman" w:hAnsi="Times New Roman" w:cs="宋体"/>
          <w:b/>
          <w:smallCaps w:val="0"/>
          <w:color w:val="000000" w:themeColor="text1"/>
          <w:sz w:val="30"/>
          <w:szCs w:val="22"/>
          <w:highlight w:val="none"/>
          <w14:textFill>
            <w14:solidFill>
              <w14:schemeClr w14:val="tx1"/>
            </w14:solidFill>
          </w14:textFill>
        </w:rPr>
      </w:pPr>
    </w:p>
    <w:p w14:paraId="4A899A08">
      <w:pPr>
        <w:pageBreakBefore w:val="0"/>
        <w:kinsoku/>
        <w:wordWrap w:val="0"/>
        <w:overflowPunct/>
        <w:bidi w:val="0"/>
        <w:adjustRightInd w:val="0"/>
        <w:snapToGrid w:val="0"/>
        <w:spacing w:before="48" w:beforeLines="20" w:after="48" w:afterLines="20" w:line="540" w:lineRule="exact"/>
        <w:ind w:firstLine="861" w:firstLineChars="287"/>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bookmarkStart w:id="1592" w:name="_Toc8384"/>
      <w:bookmarkStart w:id="1593" w:name="_Toc23922"/>
      <w:bookmarkStart w:id="1594" w:name="_Toc25124"/>
      <w:bookmarkStart w:id="1595" w:name="_Toc12323"/>
      <w:bookmarkStart w:id="1596" w:name="_Toc13204"/>
      <w:bookmarkStart w:id="1597" w:name="_Toc3954"/>
      <w:bookmarkStart w:id="1598" w:name="_Toc30869"/>
      <w:bookmarkStart w:id="1599" w:name="_Toc12315"/>
      <w:r>
        <w:rPr>
          <w:rFonts w:hint="eastAsia" w:ascii="Times New Roman" w:hAnsi="Times New Roman" w:cs="宋体"/>
          <w:smallCaps w:val="0"/>
          <w:color w:val="000000" w:themeColor="text1"/>
          <w:sz w:val="30"/>
          <w:szCs w:val="30"/>
          <w:highlight w:val="none"/>
          <w14:textFill>
            <w14:solidFill>
              <w14:schemeClr w14:val="tx1"/>
            </w14:solidFill>
          </w14:textFill>
        </w:rPr>
        <w:t>招标人</w:t>
      </w:r>
      <w:bookmarkEnd w:id="1592"/>
      <w:bookmarkEnd w:id="1593"/>
      <w:bookmarkEnd w:id="1594"/>
      <w:bookmarkEnd w:id="1595"/>
      <w:bookmarkEnd w:id="1596"/>
      <w:bookmarkEnd w:id="1597"/>
      <w:bookmarkEnd w:id="1598"/>
      <w:bookmarkEnd w:id="1599"/>
      <w:r>
        <w:rPr>
          <w:rFonts w:hint="eastAsia" w:ascii="Times New Roman" w:hAnsi="Times New Roman" w:cs="宋体"/>
          <w:smallCaps w:val="0"/>
          <w:color w:val="000000" w:themeColor="text1"/>
          <w:sz w:val="30"/>
          <w:szCs w:val="30"/>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p>
    <w:p w14:paraId="04B5E2A9">
      <w:pPr>
        <w:pageBreakBefore w:val="0"/>
        <w:kinsoku/>
        <w:wordWrap w:val="0"/>
        <w:overflowPunct/>
        <w:bidi w:val="0"/>
        <w:adjustRightInd w:val="0"/>
        <w:snapToGrid w:val="0"/>
        <w:spacing w:before="48" w:beforeLines="20" w:after="48" w:afterLines="20" w:line="540" w:lineRule="exact"/>
        <w:ind w:firstLine="861" w:firstLineChars="287"/>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bookmarkStart w:id="1600" w:name="_Toc15533"/>
      <w:bookmarkStart w:id="1601" w:name="_Toc23660"/>
      <w:bookmarkStart w:id="1602" w:name="_Toc18688"/>
      <w:bookmarkStart w:id="1603" w:name="_Toc24357"/>
      <w:bookmarkStart w:id="1604" w:name="_Toc16217"/>
      <w:bookmarkStart w:id="1605" w:name="_Toc20498"/>
      <w:bookmarkStart w:id="1606" w:name="_Toc24598"/>
      <w:bookmarkStart w:id="1607" w:name="_Toc15849"/>
      <w:r>
        <w:rPr>
          <w:rFonts w:hint="eastAsia" w:ascii="Times New Roman" w:hAnsi="Times New Roman" w:cs="宋体"/>
          <w:smallCaps w:val="0"/>
          <w:color w:val="000000" w:themeColor="text1"/>
          <w:sz w:val="30"/>
          <w:szCs w:val="30"/>
          <w:highlight w:val="none"/>
          <w14:textFill>
            <w14:solidFill>
              <w14:schemeClr w14:val="tx1"/>
            </w14:solidFill>
          </w14:textFill>
        </w:rPr>
        <w:t>工程名称</w:t>
      </w:r>
      <w:bookmarkEnd w:id="1600"/>
      <w:bookmarkEnd w:id="1601"/>
      <w:bookmarkEnd w:id="1602"/>
      <w:bookmarkEnd w:id="1603"/>
      <w:bookmarkEnd w:id="1604"/>
      <w:bookmarkEnd w:id="1605"/>
      <w:bookmarkEnd w:id="1606"/>
      <w:bookmarkEnd w:id="1607"/>
      <w:r>
        <w:rPr>
          <w:rFonts w:hint="eastAsia" w:ascii="Times New Roman" w:hAnsi="Times New Roman" w:cs="宋体"/>
          <w:smallCaps w:val="0"/>
          <w:color w:val="000000" w:themeColor="text1"/>
          <w:sz w:val="30"/>
          <w:szCs w:val="30"/>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p>
    <w:p w14:paraId="02BA025E">
      <w:pPr>
        <w:pageBreakBefore w:val="0"/>
        <w:kinsoku/>
        <w:wordWrap w:val="0"/>
        <w:overflowPunct/>
        <w:bidi w:val="0"/>
        <w:adjustRightInd w:val="0"/>
        <w:snapToGrid w:val="0"/>
        <w:spacing w:before="48" w:beforeLines="20" w:after="48" w:afterLines="20" w:line="540" w:lineRule="exact"/>
        <w:ind w:firstLine="861" w:firstLineChars="287"/>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bookmarkStart w:id="1608" w:name="_Toc30005"/>
      <w:bookmarkStart w:id="1609" w:name="_Toc6888"/>
      <w:bookmarkStart w:id="1610" w:name="_Toc18199"/>
      <w:bookmarkStart w:id="1611" w:name="_Toc21996"/>
      <w:bookmarkStart w:id="1612" w:name="_Toc22479"/>
      <w:bookmarkStart w:id="1613" w:name="_Toc24448"/>
      <w:bookmarkStart w:id="1614" w:name="_Toc17557"/>
      <w:bookmarkStart w:id="1615" w:name="_Toc29954"/>
      <w:r>
        <w:rPr>
          <w:rFonts w:hint="eastAsia" w:ascii="Times New Roman" w:hAnsi="Times New Roman" w:cs="宋体"/>
          <w:smallCaps w:val="0"/>
          <w:color w:val="000000" w:themeColor="text1"/>
          <w:sz w:val="30"/>
          <w:szCs w:val="30"/>
          <w:highlight w:val="none"/>
          <w14:textFill>
            <w14:solidFill>
              <w14:schemeClr w14:val="tx1"/>
            </w14:solidFill>
          </w14:textFill>
        </w:rPr>
        <w:t>投标总价（小写）</w:t>
      </w:r>
      <w:bookmarkEnd w:id="1608"/>
      <w:bookmarkEnd w:id="1609"/>
      <w:bookmarkEnd w:id="1610"/>
      <w:bookmarkEnd w:id="1611"/>
      <w:bookmarkEnd w:id="1612"/>
      <w:bookmarkEnd w:id="1613"/>
      <w:bookmarkEnd w:id="1614"/>
      <w:bookmarkEnd w:id="1615"/>
      <w:r>
        <w:rPr>
          <w:rFonts w:hint="eastAsia" w:ascii="Times New Roman" w:hAnsi="Times New Roman" w:cs="宋体"/>
          <w:smallCaps w:val="0"/>
          <w:color w:val="000000" w:themeColor="text1"/>
          <w:sz w:val="30"/>
          <w:szCs w:val="30"/>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p>
    <w:p w14:paraId="4BE680F6">
      <w:pPr>
        <w:pageBreakBefore w:val="0"/>
        <w:kinsoku/>
        <w:wordWrap w:val="0"/>
        <w:overflowPunct/>
        <w:bidi w:val="0"/>
        <w:adjustRightInd w:val="0"/>
        <w:snapToGrid w:val="0"/>
        <w:spacing w:before="48" w:beforeLines="20" w:after="48" w:afterLines="20" w:line="540" w:lineRule="exact"/>
        <w:ind w:firstLine="2127" w:firstLineChars="709"/>
        <w:outlineLvl w:val="9"/>
        <w:rPr>
          <w:rFonts w:hint="eastAsia" w:ascii="Times New Roman" w:hAnsi="Times New Roman" w:cs="宋体"/>
          <w:b/>
          <w:smallCaps w:val="0"/>
          <w:color w:val="000000" w:themeColor="text1"/>
          <w:sz w:val="30"/>
          <w:szCs w:val="30"/>
          <w:highlight w:val="none"/>
          <w:u w:val="single"/>
          <w14:textFill>
            <w14:solidFill>
              <w14:schemeClr w14:val="tx1"/>
            </w14:solidFill>
          </w14:textFill>
        </w:rPr>
      </w:pPr>
      <w:bookmarkStart w:id="1616" w:name="_Toc24708"/>
      <w:bookmarkStart w:id="1617" w:name="_Toc28896"/>
      <w:bookmarkStart w:id="1618" w:name="_Toc17318"/>
      <w:bookmarkStart w:id="1619" w:name="_Toc5841"/>
      <w:bookmarkStart w:id="1620" w:name="_Toc27619"/>
      <w:bookmarkStart w:id="1621" w:name="_Toc17138"/>
      <w:bookmarkStart w:id="1622" w:name="_Toc21646"/>
      <w:bookmarkStart w:id="1623" w:name="_Toc8294"/>
      <w:r>
        <w:rPr>
          <w:rFonts w:hint="eastAsia" w:ascii="Times New Roman" w:hAnsi="Times New Roman" w:cs="宋体"/>
          <w:smallCaps w:val="0"/>
          <w:color w:val="000000" w:themeColor="text1"/>
          <w:sz w:val="30"/>
          <w:szCs w:val="30"/>
          <w:highlight w:val="none"/>
          <w14:textFill>
            <w14:solidFill>
              <w14:schemeClr w14:val="tx1"/>
            </w14:solidFill>
          </w14:textFill>
        </w:rPr>
        <w:t>（大写）</w:t>
      </w:r>
      <w:bookmarkEnd w:id="1616"/>
      <w:bookmarkEnd w:id="1617"/>
      <w:bookmarkEnd w:id="1618"/>
      <w:bookmarkEnd w:id="1619"/>
      <w:bookmarkEnd w:id="1620"/>
      <w:bookmarkEnd w:id="1621"/>
      <w:bookmarkEnd w:id="1622"/>
      <w:bookmarkEnd w:id="1623"/>
      <w:r>
        <w:rPr>
          <w:rFonts w:hint="eastAsia" w:ascii="Times New Roman" w:hAnsi="Times New Roman" w:cs="宋体"/>
          <w:smallCaps w:val="0"/>
          <w:color w:val="000000" w:themeColor="text1"/>
          <w:sz w:val="30"/>
          <w:szCs w:val="30"/>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p>
    <w:p w14:paraId="5A9E6A0A">
      <w:pPr>
        <w:pageBreakBefore w:val="0"/>
        <w:kinsoku/>
        <w:wordWrap w:val="0"/>
        <w:overflowPunct/>
        <w:bidi w:val="0"/>
        <w:adjustRightInd w:val="0"/>
        <w:snapToGrid w:val="0"/>
        <w:spacing w:before="48" w:beforeLines="20" w:after="48" w:afterLines="20" w:line="540" w:lineRule="exact"/>
        <w:ind w:firstLine="3000" w:firstLineChars="996"/>
        <w:outlineLvl w:val="9"/>
        <w:rPr>
          <w:rFonts w:hint="eastAsia" w:ascii="Times New Roman" w:hAnsi="Times New Roman" w:cs="宋体"/>
          <w:b/>
          <w:smallCaps w:val="0"/>
          <w:color w:val="000000" w:themeColor="text1"/>
          <w:sz w:val="30"/>
          <w:szCs w:val="30"/>
          <w:highlight w:val="none"/>
          <w14:textFill>
            <w14:solidFill>
              <w14:schemeClr w14:val="tx1"/>
            </w14:solidFill>
          </w14:textFill>
        </w:rPr>
      </w:pPr>
    </w:p>
    <w:p w14:paraId="67DA678D">
      <w:pPr>
        <w:pageBreakBefore w:val="0"/>
        <w:kinsoku/>
        <w:wordWrap w:val="0"/>
        <w:overflowPunct/>
        <w:bidi w:val="0"/>
        <w:adjustRightInd w:val="0"/>
        <w:snapToGrid w:val="0"/>
        <w:spacing w:before="48" w:beforeLines="20" w:after="48" w:afterLines="20" w:line="540" w:lineRule="exact"/>
        <w:ind w:firstLine="2988" w:firstLineChars="996"/>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p>
    <w:p w14:paraId="51D4792A">
      <w:pPr>
        <w:pageBreakBefore w:val="0"/>
        <w:kinsoku/>
        <w:wordWrap w:val="0"/>
        <w:overflowPunct/>
        <w:bidi w:val="0"/>
        <w:spacing w:line="320" w:lineRule="exact"/>
        <w:ind w:firstLine="600" w:firstLineChars="200"/>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bookmarkStart w:id="1624" w:name="_Toc31826"/>
      <w:bookmarkStart w:id="1625" w:name="_Toc4933"/>
      <w:bookmarkStart w:id="1626" w:name="_Toc27163"/>
      <w:bookmarkStart w:id="1627" w:name="_Toc27131"/>
      <w:bookmarkStart w:id="1628" w:name="_Toc6511"/>
      <w:bookmarkStart w:id="1629" w:name="_Toc22123"/>
      <w:bookmarkStart w:id="1630" w:name="_Toc28534"/>
      <w:bookmarkStart w:id="1631" w:name="_Toc28611"/>
      <w:r>
        <w:rPr>
          <w:rFonts w:hint="eastAsia" w:ascii="Times New Roman" w:hAnsi="Times New Roman" w:cs="宋体"/>
          <w:smallCaps w:val="0"/>
          <w:color w:val="000000" w:themeColor="text1"/>
          <w:sz w:val="30"/>
          <w:szCs w:val="30"/>
          <w:highlight w:val="none"/>
          <w14:textFill>
            <w14:solidFill>
              <w14:schemeClr w14:val="tx1"/>
            </w14:solidFill>
          </w14:textFill>
        </w:rPr>
        <w:t>投 标 人</w:t>
      </w:r>
      <w:r>
        <w:rPr>
          <w:rFonts w:hint="eastAsia" w:ascii="Times New Roman" w:hAnsi="Times New Roman" w:cs="宋体"/>
          <w:smallCaps w:val="0"/>
          <w:color w:val="000000" w:themeColor="text1"/>
          <w:sz w:val="30"/>
          <w:szCs w:val="30"/>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30"/>
          <w:szCs w:val="30"/>
          <w:highlight w:val="none"/>
          <w14:textFill>
            <w14:solidFill>
              <w14:schemeClr w14:val="tx1"/>
            </w14:solidFill>
          </w14:textFill>
        </w:rPr>
        <w:t>(单位盖章)</w:t>
      </w:r>
      <w:bookmarkEnd w:id="1624"/>
      <w:bookmarkEnd w:id="1625"/>
      <w:bookmarkEnd w:id="1626"/>
      <w:bookmarkEnd w:id="1627"/>
      <w:bookmarkEnd w:id="1628"/>
      <w:bookmarkEnd w:id="1629"/>
      <w:bookmarkEnd w:id="1630"/>
      <w:bookmarkEnd w:id="1631"/>
    </w:p>
    <w:p w14:paraId="35EAB7E1">
      <w:pPr>
        <w:pageBreakBefore w:val="0"/>
        <w:kinsoku/>
        <w:wordWrap w:val="0"/>
        <w:overflowPunct/>
        <w:bidi w:val="0"/>
        <w:spacing w:line="380" w:lineRule="exact"/>
        <w:ind w:firstLine="600" w:firstLineChars="200"/>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p>
    <w:p w14:paraId="617D79D6">
      <w:pPr>
        <w:pageBreakBefore w:val="0"/>
        <w:kinsoku/>
        <w:wordWrap w:val="0"/>
        <w:overflowPunct/>
        <w:bidi w:val="0"/>
        <w:spacing w:after="72" w:afterLines="30" w:line="380" w:lineRule="exact"/>
        <w:ind w:firstLine="600" w:firstLineChars="200"/>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bookmarkStart w:id="1632" w:name="_Toc9494"/>
      <w:bookmarkStart w:id="1633" w:name="_Toc30437"/>
      <w:bookmarkStart w:id="1634" w:name="_Toc3446"/>
      <w:bookmarkStart w:id="1635" w:name="_Toc28419"/>
      <w:bookmarkStart w:id="1636" w:name="_Toc3509"/>
      <w:bookmarkStart w:id="1637" w:name="_Toc29309"/>
      <w:bookmarkStart w:id="1638" w:name="_Toc12766"/>
      <w:bookmarkStart w:id="1639" w:name="_Toc1214"/>
      <w:r>
        <w:rPr>
          <w:rFonts w:hint="eastAsia" w:ascii="Times New Roman" w:hAnsi="Times New Roman" w:cs="宋体"/>
          <w:smallCaps w:val="0"/>
          <w:color w:val="000000" w:themeColor="text1"/>
          <w:sz w:val="30"/>
          <w:szCs w:val="30"/>
          <w:highlight w:val="none"/>
          <w14:textFill>
            <w14:solidFill>
              <w14:schemeClr w14:val="tx1"/>
            </w14:solidFill>
          </w14:textFill>
        </w:rPr>
        <w:t>法定代表人</w:t>
      </w:r>
      <w:r>
        <w:rPr>
          <w:rFonts w:hint="eastAsia" w:ascii="Times New Roman" w:hAnsi="Times New Roman" w:cs="宋体"/>
          <w:smallCaps w:val="0"/>
          <w:color w:val="000000" w:themeColor="text1"/>
          <w:sz w:val="30"/>
          <w:szCs w:val="30"/>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30"/>
          <w:szCs w:val="30"/>
          <w:highlight w:val="none"/>
          <w14:textFill>
            <w14:solidFill>
              <w14:schemeClr w14:val="tx1"/>
            </w14:solidFill>
          </w14:textFill>
        </w:rPr>
        <w:t xml:space="preserve"> (签字或盖章)</w:t>
      </w:r>
      <w:bookmarkEnd w:id="1632"/>
      <w:bookmarkEnd w:id="1633"/>
      <w:bookmarkEnd w:id="1634"/>
      <w:bookmarkEnd w:id="1635"/>
      <w:bookmarkEnd w:id="1636"/>
      <w:bookmarkEnd w:id="1637"/>
      <w:bookmarkEnd w:id="1638"/>
      <w:bookmarkEnd w:id="1639"/>
    </w:p>
    <w:p w14:paraId="5FB05BC6">
      <w:pPr>
        <w:pageBreakBefore w:val="0"/>
        <w:kinsoku/>
        <w:wordWrap w:val="0"/>
        <w:overflowPunct/>
        <w:bidi w:val="0"/>
        <w:spacing w:line="320" w:lineRule="exact"/>
        <w:ind w:firstLine="5700" w:firstLineChars="1900"/>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p>
    <w:p w14:paraId="472787AE">
      <w:pPr>
        <w:pageBreakBefore w:val="0"/>
        <w:kinsoku/>
        <w:wordWrap w:val="0"/>
        <w:overflowPunct/>
        <w:bidi w:val="0"/>
        <w:spacing w:line="320" w:lineRule="exact"/>
        <w:ind w:firstLine="5700" w:firstLineChars="1900"/>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p>
    <w:p w14:paraId="32D18BA3">
      <w:pPr>
        <w:pageBreakBefore w:val="0"/>
        <w:kinsoku/>
        <w:wordWrap w:val="0"/>
        <w:overflowPunct/>
        <w:bidi w:val="0"/>
        <w:spacing w:line="320" w:lineRule="exact"/>
        <w:ind w:firstLine="600" w:firstLineChars="200"/>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bookmarkStart w:id="1640" w:name="_Toc18681"/>
      <w:bookmarkStart w:id="1641" w:name="_Toc25017"/>
      <w:bookmarkStart w:id="1642" w:name="_Toc24548"/>
      <w:bookmarkStart w:id="1643" w:name="_Toc15220"/>
      <w:bookmarkStart w:id="1644" w:name="_Toc3894"/>
      <w:bookmarkStart w:id="1645" w:name="_Toc27591"/>
      <w:bookmarkStart w:id="1646" w:name="_Toc19771"/>
      <w:bookmarkStart w:id="1647" w:name="_Toc23103"/>
      <w:r>
        <w:rPr>
          <w:rFonts w:hint="eastAsia" w:ascii="Times New Roman" w:hAnsi="Times New Roman" w:cs="宋体"/>
          <w:smallCaps w:val="0"/>
          <w:color w:val="000000" w:themeColor="text1"/>
          <w:sz w:val="30"/>
          <w:szCs w:val="30"/>
          <w:highlight w:val="none"/>
          <w14:textFill>
            <w14:solidFill>
              <w14:schemeClr w14:val="tx1"/>
            </w14:solidFill>
          </w14:textFill>
        </w:rPr>
        <w:t>编制人</w:t>
      </w:r>
      <w:r>
        <w:rPr>
          <w:rFonts w:hint="eastAsia" w:ascii="Times New Roman" w:hAnsi="Times New Roman" w:cs="宋体"/>
          <w:smallCaps w:val="0"/>
          <w:color w:val="000000" w:themeColor="text1"/>
          <w:sz w:val="30"/>
          <w:szCs w:val="30"/>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30"/>
          <w:szCs w:val="30"/>
          <w:highlight w:val="none"/>
          <w14:textFill>
            <w14:solidFill>
              <w14:schemeClr w14:val="tx1"/>
            </w14:solidFill>
          </w14:textFill>
        </w:rPr>
        <w:t>(盖造价专业人员执业专用章或电子执业章)</w:t>
      </w:r>
      <w:bookmarkEnd w:id="1640"/>
      <w:bookmarkEnd w:id="1641"/>
      <w:bookmarkEnd w:id="1642"/>
      <w:bookmarkEnd w:id="1643"/>
      <w:bookmarkEnd w:id="1644"/>
      <w:bookmarkEnd w:id="1645"/>
      <w:bookmarkEnd w:id="1646"/>
      <w:bookmarkEnd w:id="1647"/>
    </w:p>
    <w:p w14:paraId="71C41BAE">
      <w:pPr>
        <w:pageBreakBefore w:val="0"/>
        <w:kinsoku/>
        <w:wordWrap w:val="0"/>
        <w:overflowPunct/>
        <w:bidi w:val="0"/>
        <w:spacing w:line="380" w:lineRule="exact"/>
        <w:ind w:firstLine="600" w:firstLineChars="200"/>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p>
    <w:p w14:paraId="52CB7AA3">
      <w:pPr>
        <w:pageBreakBefore w:val="0"/>
        <w:kinsoku/>
        <w:wordWrap w:val="0"/>
        <w:overflowPunct/>
        <w:bidi w:val="0"/>
        <w:spacing w:line="380" w:lineRule="exact"/>
        <w:ind w:firstLine="600" w:firstLineChars="200"/>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p>
    <w:p w14:paraId="5219EB9B">
      <w:pPr>
        <w:pageBreakBefore w:val="0"/>
        <w:kinsoku/>
        <w:wordWrap w:val="0"/>
        <w:overflowPunct/>
        <w:bidi w:val="0"/>
        <w:spacing w:line="380" w:lineRule="exact"/>
        <w:ind w:firstLine="600" w:firstLineChars="200"/>
        <w:outlineLvl w:val="9"/>
        <w:rPr>
          <w:rFonts w:hint="eastAsia" w:ascii="Times New Roman" w:hAnsi="Times New Roman" w:cs="宋体"/>
          <w:smallCaps w:val="0"/>
          <w:color w:val="000000" w:themeColor="text1"/>
          <w:sz w:val="30"/>
          <w:szCs w:val="30"/>
          <w:highlight w:val="none"/>
          <w14:textFill>
            <w14:solidFill>
              <w14:schemeClr w14:val="tx1"/>
            </w14:solidFill>
          </w14:textFill>
        </w:rPr>
      </w:pPr>
      <w:bookmarkStart w:id="1648" w:name="_Toc16197"/>
      <w:bookmarkStart w:id="1649" w:name="_Toc13176"/>
      <w:bookmarkStart w:id="1650" w:name="_Toc22129"/>
      <w:bookmarkStart w:id="1651" w:name="_Toc3467"/>
      <w:bookmarkStart w:id="1652" w:name="_Toc22523"/>
      <w:bookmarkStart w:id="1653" w:name="_Toc23079"/>
      <w:bookmarkStart w:id="1654" w:name="_Toc20951"/>
      <w:bookmarkStart w:id="1655" w:name="_Toc13569"/>
      <w:r>
        <w:rPr>
          <w:rFonts w:hint="eastAsia" w:ascii="Times New Roman" w:hAnsi="Times New Roman" w:cs="宋体"/>
          <w:smallCaps w:val="0"/>
          <w:color w:val="000000" w:themeColor="text1"/>
          <w:sz w:val="30"/>
          <w:szCs w:val="30"/>
          <w:highlight w:val="none"/>
          <w14:textFill>
            <w14:solidFill>
              <w14:schemeClr w14:val="tx1"/>
            </w14:solidFill>
          </w14:textFill>
        </w:rPr>
        <w:t>编制时间</w:t>
      </w:r>
      <w:r>
        <w:rPr>
          <w:rFonts w:hint="eastAsia" w:ascii="Times New Roman" w:hAnsi="Times New Roman" w:cs="宋体"/>
          <w:smallCaps w:val="0"/>
          <w:color w:val="000000" w:themeColor="text1"/>
          <w:sz w:val="30"/>
          <w:szCs w:val="30"/>
          <w:highlight w:val="none"/>
          <w:u w:val="none"/>
          <w:lang w:eastAsia="zh-CN"/>
          <w14:textFill>
            <w14:solidFill>
              <w14:schemeClr w14:val="tx1"/>
            </w14:solidFill>
          </w14:textFill>
        </w:rPr>
        <w:t>：</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30"/>
          <w:szCs w:val="30"/>
          <w:highlight w:val="none"/>
          <w14:textFill>
            <w14:solidFill>
              <w14:schemeClr w14:val="tx1"/>
            </w14:solidFill>
          </w14:textFill>
        </w:rPr>
        <w:t xml:space="preserve"> 年</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30"/>
          <w:szCs w:val="30"/>
          <w:highlight w:val="none"/>
          <w14:textFill>
            <w14:solidFill>
              <w14:schemeClr w14:val="tx1"/>
            </w14:solidFill>
          </w14:textFill>
        </w:rPr>
        <w:t>月</w:t>
      </w:r>
      <w:r>
        <w:rPr>
          <w:rFonts w:hint="eastAsia" w:ascii="Times New Roman" w:hAnsi="Times New Roman" w:cs="宋体"/>
          <w:smallCaps w:val="0"/>
          <w:color w:val="000000" w:themeColor="text1"/>
          <w:sz w:val="30"/>
          <w:szCs w:val="30"/>
          <w:highlight w:val="none"/>
          <w:u w:val="single"/>
          <w14:textFill>
            <w14:solidFill>
              <w14:schemeClr w14:val="tx1"/>
            </w14:solidFill>
          </w14:textFill>
        </w:rPr>
        <w:t xml:space="preserve">      </w:t>
      </w:r>
      <w:r>
        <w:rPr>
          <w:rFonts w:hint="eastAsia" w:ascii="Times New Roman" w:hAnsi="Times New Roman" w:cs="宋体"/>
          <w:smallCaps w:val="0"/>
          <w:color w:val="000000" w:themeColor="text1"/>
          <w:sz w:val="30"/>
          <w:szCs w:val="30"/>
          <w:highlight w:val="none"/>
          <w14:textFill>
            <w14:solidFill>
              <w14:schemeClr w14:val="tx1"/>
            </w14:solidFill>
          </w14:textFill>
        </w:rPr>
        <w:t>日</w:t>
      </w:r>
      <w:bookmarkEnd w:id="1648"/>
      <w:bookmarkEnd w:id="1649"/>
      <w:bookmarkEnd w:id="1650"/>
      <w:bookmarkEnd w:id="1651"/>
      <w:bookmarkEnd w:id="1652"/>
      <w:bookmarkEnd w:id="1653"/>
      <w:bookmarkEnd w:id="1654"/>
      <w:bookmarkEnd w:id="1655"/>
    </w:p>
    <w:p w14:paraId="4D77CB1B">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656" w:name="_Toc460660238"/>
      <w:bookmarkStart w:id="1657" w:name="_Toc460227123"/>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658" w:name="_Toc2620"/>
      <w:bookmarkStart w:id="1659" w:name="_Toc23620"/>
      <w:bookmarkStart w:id="1660" w:name="_Toc26531"/>
      <w:bookmarkStart w:id="1661" w:name="_Toc32575"/>
      <w:bookmarkStart w:id="1662" w:name="_Toc26913"/>
      <w:bookmarkStart w:id="1663" w:name="_Toc24812"/>
      <w:bookmarkStart w:id="1664" w:name="_Toc26358"/>
      <w:bookmarkStart w:id="1665" w:name="_Toc1336"/>
      <w:r>
        <w:rPr>
          <w:rStyle w:val="73"/>
          <w:rFonts w:hint="eastAsia" w:ascii="Times New Roman" w:hAnsi="Times New Roman"/>
          <w:smallCaps w:val="0"/>
          <w:color w:val="000000" w:themeColor="text1"/>
          <w:highlight w:val="none"/>
          <w14:textFill>
            <w14:solidFill>
              <w14:schemeClr w14:val="tx1"/>
            </w14:solidFill>
          </w14:textFill>
        </w:rPr>
        <w:t>(一)投标报价说明</w:t>
      </w:r>
      <w:bookmarkEnd w:id="1656"/>
      <w:bookmarkEnd w:id="1657"/>
      <w:bookmarkEnd w:id="1658"/>
      <w:bookmarkEnd w:id="1659"/>
      <w:bookmarkEnd w:id="1660"/>
      <w:bookmarkEnd w:id="1661"/>
      <w:bookmarkEnd w:id="1662"/>
      <w:bookmarkEnd w:id="1663"/>
      <w:bookmarkEnd w:id="1664"/>
      <w:bookmarkEnd w:id="1665"/>
    </w:p>
    <w:p w14:paraId="20206A19">
      <w:pPr>
        <w:pageBreakBefore w:val="0"/>
        <w:kinsoku/>
        <w:wordWrap w:val="0"/>
        <w:overflowPunct/>
        <w:bidi w:val="0"/>
        <w:spacing w:before="48" w:beforeLines="20" w:after="48" w:afterLines="20" w:line="540" w:lineRule="exact"/>
        <w:ind w:firstLine="480" w:firstLineChars="200"/>
        <w:rPr>
          <w:rFonts w:hint="eastAsia" w:ascii="Times New Roman" w:hAnsi="Times New Roman" w:cs="宋体"/>
          <w:smallCaps w:val="0"/>
          <w:color w:val="000000" w:themeColor="text1"/>
          <w:highlight w:val="none"/>
          <w14:textFill>
            <w14:solidFill>
              <w14:schemeClr w14:val="tx1"/>
            </w14:solidFill>
          </w14:textFill>
        </w:rPr>
      </w:pPr>
    </w:p>
    <w:p w14:paraId="472AAFA2">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 共  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5"/>
      </w:tblGrid>
      <w:tr w14:paraId="0021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9" w:hRule="atLeast"/>
          <w:jc w:val="center"/>
        </w:trPr>
        <w:tc>
          <w:tcPr>
            <w:tcW w:w="8295" w:type="dxa"/>
            <w:noWrap w:val="0"/>
            <w:vAlign w:val="top"/>
          </w:tcPr>
          <w:p w14:paraId="75F75D99">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本报价依据本工程招标文件中投标须知、合同文件、计价依据及工程造价确定等有关条款进行编制。</w:t>
            </w:r>
          </w:p>
          <w:p w14:paraId="4C50AB7C">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工程量清单报价表中所填入的综合单价和合价，均包括人工费、材料费、机械费、综合费、施工期内的风险金等全部费用。</w:t>
            </w:r>
          </w:p>
          <w:p w14:paraId="4CD8F1EA">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 措施项目报价表中所填入的措施项目报价，包括采用的各种措施的费用。</w:t>
            </w:r>
          </w:p>
          <w:p w14:paraId="136EF986">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 其他项目报价表中所填入的其他项目报价，包括工程量清单报价表和措施项目报价表以外的，为完成本工程项目的施工所必须发生的其他费用。</w:t>
            </w:r>
          </w:p>
          <w:p w14:paraId="73728425">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 本工程量清单报价表中的每一单项均应填写单价和合价，对没有填写单价和合价的项目费用，视为已包括在工程量清单的其他单价或合价之中。</w:t>
            </w:r>
          </w:p>
          <w:p w14:paraId="24D2E736">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 本报价的币种为 人民币 。</w:t>
            </w:r>
          </w:p>
          <w:p w14:paraId="276154D3">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 投标人应将投标报价需要说明的事项，用文字书写与投标报价表一并报送。</w:t>
            </w:r>
          </w:p>
        </w:tc>
      </w:tr>
    </w:tbl>
    <w:p w14:paraId="27888223">
      <w:pPr>
        <w:pStyle w:val="93"/>
        <w:pageBreakBefore w:val="0"/>
        <w:kinsoku/>
        <w:wordWrap w:val="0"/>
        <w:overflowPunct/>
        <w:bidi w:val="0"/>
        <w:rPr>
          <w:rFonts w:hint="eastAsia" w:ascii="Times New Roman" w:hAnsi="Times New Roman" w:cs="宋体"/>
          <w:smallCaps w:val="0"/>
          <w:color w:val="000000" w:themeColor="text1"/>
          <w:highlight w:val="none"/>
          <w14:textFill>
            <w14:solidFill>
              <w14:schemeClr w14:val="tx1"/>
            </w14:solidFill>
          </w14:textFill>
        </w:rPr>
      </w:pPr>
    </w:p>
    <w:p w14:paraId="60B32E6C">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666" w:name="_Toc460660239"/>
      <w:bookmarkStart w:id="1667" w:name="_Toc460227124"/>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668" w:name="_Toc12837"/>
      <w:bookmarkStart w:id="1669" w:name="_Toc743"/>
      <w:bookmarkStart w:id="1670" w:name="_Toc23555"/>
      <w:bookmarkStart w:id="1671" w:name="_Toc23612"/>
      <w:bookmarkStart w:id="1672" w:name="_Toc26072"/>
      <w:bookmarkStart w:id="1673" w:name="_Toc3570"/>
      <w:bookmarkStart w:id="1674" w:name="_Toc437"/>
      <w:bookmarkStart w:id="1675" w:name="_Toc16860"/>
      <w:r>
        <w:rPr>
          <w:rStyle w:val="73"/>
          <w:rFonts w:hint="eastAsia" w:ascii="Times New Roman" w:hAnsi="Times New Roman"/>
          <w:smallCaps w:val="0"/>
          <w:color w:val="000000" w:themeColor="text1"/>
          <w:highlight w:val="none"/>
          <w14:textFill>
            <w14:solidFill>
              <w14:schemeClr w14:val="tx1"/>
            </w14:solidFill>
          </w14:textFill>
        </w:rPr>
        <w:t>（二）</w:t>
      </w:r>
      <w:bookmarkEnd w:id="1666"/>
      <w:bookmarkEnd w:id="1667"/>
      <w:r>
        <w:rPr>
          <w:rStyle w:val="73"/>
          <w:rFonts w:hint="eastAsia" w:ascii="Times New Roman" w:hAnsi="Times New Roman"/>
          <w:smallCaps w:val="0"/>
          <w:color w:val="000000" w:themeColor="text1"/>
          <w:highlight w:val="none"/>
          <w14:textFill>
            <w14:solidFill>
              <w14:schemeClr w14:val="tx1"/>
            </w14:solidFill>
          </w14:textFill>
        </w:rPr>
        <w:t>建设项目投标报价汇总表</w:t>
      </w:r>
      <w:bookmarkEnd w:id="1668"/>
      <w:bookmarkEnd w:id="1669"/>
      <w:bookmarkEnd w:id="1670"/>
      <w:bookmarkEnd w:id="1671"/>
      <w:bookmarkEnd w:id="1672"/>
      <w:bookmarkEnd w:id="1673"/>
      <w:bookmarkEnd w:id="1674"/>
      <w:bookmarkEnd w:id="1675"/>
    </w:p>
    <w:p w14:paraId="37882950">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840"/>
        <w:gridCol w:w="3101"/>
        <w:gridCol w:w="1596"/>
        <w:gridCol w:w="1330"/>
        <w:gridCol w:w="2308"/>
      </w:tblGrid>
      <w:tr w14:paraId="222F9E39">
        <w:tblPrEx>
          <w:tblCellMar>
            <w:top w:w="0" w:type="dxa"/>
            <w:left w:w="108" w:type="dxa"/>
            <w:bottom w:w="0" w:type="dxa"/>
            <w:right w:w="108" w:type="dxa"/>
          </w:tblCellMar>
        </w:tblPrEx>
        <w:trPr>
          <w:trHeight w:val="338" w:hRule="atLeast"/>
        </w:trPr>
        <w:tc>
          <w:tcPr>
            <w:tcW w:w="458" w:type="pct"/>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38FA936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690"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4243CBC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单项工程名称</w:t>
            </w:r>
          </w:p>
        </w:tc>
        <w:tc>
          <w:tcPr>
            <w:tcW w:w="870"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293C993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金额(元)</w:t>
            </w:r>
          </w:p>
        </w:tc>
        <w:tc>
          <w:tcPr>
            <w:tcW w:w="1982" w:type="pct"/>
            <w:gridSpan w:val="2"/>
            <w:tcBorders>
              <w:top w:val="single" w:color="000000" w:sz="8" w:space="0"/>
              <w:left w:val="nil"/>
              <w:bottom w:val="single" w:color="000000" w:sz="4" w:space="0"/>
              <w:right w:val="single" w:color="000000" w:sz="8" w:space="0"/>
            </w:tcBorders>
            <w:shd w:val="clear" w:color="FFFFFF" w:fill="FFFFFF"/>
            <w:noWrap w:val="0"/>
            <w:vAlign w:val="center"/>
          </w:tcPr>
          <w:p w14:paraId="128D6AE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其中</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（元）</w:t>
            </w:r>
          </w:p>
        </w:tc>
      </w:tr>
      <w:tr w14:paraId="7F92D903">
        <w:tblPrEx>
          <w:tblCellMar>
            <w:top w:w="0" w:type="dxa"/>
            <w:left w:w="108" w:type="dxa"/>
            <w:bottom w:w="0" w:type="dxa"/>
            <w:right w:w="108" w:type="dxa"/>
          </w:tblCellMar>
        </w:tblPrEx>
        <w:trPr>
          <w:trHeight w:val="353" w:hRule="atLeast"/>
        </w:trPr>
        <w:tc>
          <w:tcPr>
            <w:tcW w:w="458" w:type="pct"/>
            <w:vMerge w:val="continue"/>
            <w:tcBorders>
              <w:top w:val="single" w:color="000000" w:sz="8" w:space="0"/>
              <w:left w:val="single" w:color="000000" w:sz="8" w:space="0"/>
              <w:bottom w:val="single" w:color="000000" w:sz="4" w:space="0"/>
              <w:right w:val="single" w:color="000000" w:sz="4" w:space="0"/>
            </w:tcBorders>
            <w:shd w:val="clear" w:color="auto" w:fill="auto"/>
            <w:noWrap w:val="0"/>
            <w:vAlign w:val="center"/>
          </w:tcPr>
          <w:p w14:paraId="14BB593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690"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44A8A3C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70"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45AFB9C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5" w:type="pct"/>
            <w:tcBorders>
              <w:top w:val="single" w:color="000000" w:sz="4" w:space="0"/>
              <w:left w:val="nil"/>
              <w:bottom w:val="single" w:color="000000" w:sz="4" w:space="0"/>
              <w:right w:val="single" w:color="000000" w:sz="4" w:space="0"/>
            </w:tcBorders>
            <w:shd w:val="clear" w:color="FFFFFF" w:fill="FFFFFF"/>
            <w:noWrap w:val="0"/>
            <w:vAlign w:val="center"/>
          </w:tcPr>
          <w:p w14:paraId="146C0D1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暂估价</w:t>
            </w:r>
          </w:p>
        </w:tc>
        <w:tc>
          <w:tcPr>
            <w:tcW w:w="1257" w:type="pct"/>
            <w:tcBorders>
              <w:top w:val="nil"/>
              <w:left w:val="nil"/>
              <w:bottom w:val="single" w:color="000000" w:sz="4" w:space="0"/>
              <w:right w:val="single" w:color="000000" w:sz="8" w:space="0"/>
            </w:tcBorders>
            <w:shd w:val="clear" w:color="FFFFFF" w:fill="FFFFFF"/>
            <w:noWrap w:val="0"/>
            <w:vAlign w:val="center"/>
          </w:tcPr>
          <w:p w14:paraId="30257BA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不可竞争费</w:t>
            </w:r>
          </w:p>
        </w:tc>
      </w:tr>
      <w:tr w14:paraId="6AB8CAA8">
        <w:tblPrEx>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cBorders>
            <w:noWrap w:val="0"/>
            <w:vAlign w:val="center"/>
          </w:tcPr>
          <w:p w14:paraId="0B87DE8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690" w:type="pct"/>
            <w:tcBorders>
              <w:top w:val="single" w:color="000000" w:sz="4" w:space="0"/>
              <w:left w:val="nil"/>
              <w:bottom w:val="single" w:color="000000" w:sz="4" w:space="0"/>
              <w:right w:val="single" w:color="000000" w:sz="4" w:space="0"/>
            </w:tcBorders>
            <w:noWrap w:val="0"/>
            <w:vAlign w:val="center"/>
          </w:tcPr>
          <w:p w14:paraId="7368A1A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70" w:type="pct"/>
            <w:tcBorders>
              <w:top w:val="single" w:color="000000" w:sz="4" w:space="0"/>
              <w:left w:val="nil"/>
              <w:bottom w:val="single" w:color="000000" w:sz="4" w:space="0"/>
              <w:right w:val="single" w:color="000000" w:sz="4" w:space="0"/>
            </w:tcBorders>
            <w:noWrap w:val="0"/>
            <w:vAlign w:val="center"/>
          </w:tcPr>
          <w:p w14:paraId="5558CD5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5" w:type="pct"/>
            <w:tcBorders>
              <w:top w:val="single" w:color="000000" w:sz="4" w:space="0"/>
              <w:left w:val="nil"/>
              <w:bottom w:val="single" w:color="000000" w:sz="4" w:space="0"/>
              <w:right w:val="single" w:color="000000" w:sz="4" w:space="0"/>
            </w:tcBorders>
            <w:noWrap w:val="0"/>
            <w:vAlign w:val="center"/>
          </w:tcPr>
          <w:p w14:paraId="34319ED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57" w:type="pct"/>
            <w:tcBorders>
              <w:top w:val="nil"/>
              <w:left w:val="nil"/>
              <w:bottom w:val="single" w:color="000000" w:sz="4" w:space="0"/>
              <w:right w:val="single" w:color="000000" w:sz="8" w:space="0"/>
            </w:tcBorders>
            <w:noWrap w:val="0"/>
            <w:vAlign w:val="center"/>
          </w:tcPr>
          <w:p w14:paraId="3E21302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7A4EFEEF">
        <w:tblPrEx>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cBorders>
            <w:noWrap w:val="0"/>
            <w:vAlign w:val="center"/>
          </w:tcPr>
          <w:p w14:paraId="015BA3C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690" w:type="pct"/>
            <w:tcBorders>
              <w:top w:val="single" w:color="000000" w:sz="4" w:space="0"/>
              <w:left w:val="nil"/>
              <w:bottom w:val="single" w:color="000000" w:sz="4" w:space="0"/>
              <w:right w:val="single" w:color="000000" w:sz="4" w:space="0"/>
            </w:tcBorders>
            <w:noWrap w:val="0"/>
            <w:vAlign w:val="center"/>
          </w:tcPr>
          <w:p w14:paraId="5153DEE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70" w:type="pct"/>
            <w:tcBorders>
              <w:top w:val="single" w:color="000000" w:sz="4" w:space="0"/>
              <w:left w:val="nil"/>
              <w:bottom w:val="single" w:color="000000" w:sz="4" w:space="0"/>
              <w:right w:val="single" w:color="000000" w:sz="4" w:space="0"/>
            </w:tcBorders>
            <w:noWrap w:val="0"/>
            <w:vAlign w:val="center"/>
          </w:tcPr>
          <w:p w14:paraId="3D99B12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5" w:type="pct"/>
            <w:tcBorders>
              <w:top w:val="single" w:color="000000" w:sz="4" w:space="0"/>
              <w:left w:val="nil"/>
              <w:bottom w:val="single" w:color="000000" w:sz="4" w:space="0"/>
              <w:right w:val="single" w:color="000000" w:sz="4" w:space="0"/>
            </w:tcBorders>
            <w:noWrap w:val="0"/>
            <w:vAlign w:val="center"/>
          </w:tcPr>
          <w:p w14:paraId="7C04488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57" w:type="pct"/>
            <w:tcBorders>
              <w:top w:val="nil"/>
              <w:left w:val="nil"/>
              <w:bottom w:val="single" w:color="000000" w:sz="4" w:space="0"/>
              <w:right w:val="single" w:color="000000" w:sz="8" w:space="0"/>
            </w:tcBorders>
            <w:noWrap w:val="0"/>
            <w:vAlign w:val="center"/>
          </w:tcPr>
          <w:p w14:paraId="48EE676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E1BD58C">
        <w:tblPrEx>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cBorders>
            <w:noWrap w:val="0"/>
            <w:vAlign w:val="center"/>
          </w:tcPr>
          <w:p w14:paraId="08AB39C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690" w:type="pct"/>
            <w:tcBorders>
              <w:top w:val="single" w:color="000000" w:sz="4" w:space="0"/>
              <w:left w:val="nil"/>
              <w:bottom w:val="single" w:color="000000" w:sz="4" w:space="0"/>
              <w:right w:val="single" w:color="000000" w:sz="4" w:space="0"/>
            </w:tcBorders>
            <w:noWrap w:val="0"/>
            <w:vAlign w:val="center"/>
          </w:tcPr>
          <w:p w14:paraId="7ED8417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870" w:type="pct"/>
            <w:tcBorders>
              <w:top w:val="single" w:color="000000" w:sz="4" w:space="0"/>
              <w:left w:val="nil"/>
              <w:bottom w:val="single" w:color="000000" w:sz="4" w:space="0"/>
              <w:right w:val="single" w:color="000000" w:sz="4" w:space="0"/>
            </w:tcBorders>
            <w:noWrap w:val="0"/>
            <w:vAlign w:val="center"/>
          </w:tcPr>
          <w:p w14:paraId="0DC67DC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5" w:type="pct"/>
            <w:tcBorders>
              <w:top w:val="single" w:color="000000" w:sz="4" w:space="0"/>
              <w:left w:val="nil"/>
              <w:bottom w:val="single" w:color="000000" w:sz="4" w:space="0"/>
              <w:right w:val="single" w:color="000000" w:sz="4" w:space="0"/>
            </w:tcBorders>
            <w:noWrap w:val="0"/>
            <w:vAlign w:val="center"/>
          </w:tcPr>
          <w:p w14:paraId="2964247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57" w:type="pct"/>
            <w:tcBorders>
              <w:top w:val="nil"/>
              <w:left w:val="nil"/>
              <w:bottom w:val="single" w:color="000000" w:sz="4" w:space="0"/>
              <w:right w:val="single" w:color="000000" w:sz="8" w:space="0"/>
            </w:tcBorders>
            <w:noWrap w:val="0"/>
            <w:vAlign w:val="center"/>
          </w:tcPr>
          <w:p w14:paraId="4AD3661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7D214DC">
        <w:tblPrEx>
          <w:tblCellMar>
            <w:top w:w="0" w:type="dxa"/>
            <w:left w:w="108" w:type="dxa"/>
            <w:bottom w:w="0" w:type="dxa"/>
            <w:right w:w="108" w:type="dxa"/>
          </w:tblCellMar>
        </w:tblPrEx>
        <w:trPr>
          <w:trHeight w:val="680" w:hRule="atLeast"/>
        </w:trPr>
        <w:tc>
          <w:tcPr>
            <w:tcW w:w="2148" w:type="pct"/>
            <w:gridSpan w:val="2"/>
            <w:tcBorders>
              <w:top w:val="nil"/>
              <w:left w:val="single" w:color="000000" w:sz="8" w:space="0"/>
              <w:bottom w:val="single" w:color="000000" w:sz="4" w:space="0"/>
              <w:right w:val="single" w:color="000000" w:sz="4" w:space="0"/>
            </w:tcBorders>
            <w:noWrap w:val="0"/>
            <w:vAlign w:val="center"/>
          </w:tcPr>
          <w:p w14:paraId="52A4AE5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合计</w:t>
            </w:r>
          </w:p>
        </w:tc>
        <w:tc>
          <w:tcPr>
            <w:tcW w:w="870" w:type="pct"/>
            <w:tcBorders>
              <w:top w:val="single" w:color="000000" w:sz="4" w:space="0"/>
              <w:left w:val="nil"/>
              <w:bottom w:val="single" w:color="000000" w:sz="4" w:space="0"/>
              <w:right w:val="single" w:color="000000" w:sz="4" w:space="0"/>
            </w:tcBorders>
            <w:noWrap w:val="0"/>
            <w:vAlign w:val="center"/>
          </w:tcPr>
          <w:p w14:paraId="48B7636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25" w:type="pct"/>
            <w:tcBorders>
              <w:top w:val="single" w:color="000000" w:sz="4" w:space="0"/>
              <w:left w:val="nil"/>
              <w:bottom w:val="single" w:color="000000" w:sz="4" w:space="0"/>
              <w:right w:val="single" w:color="000000" w:sz="4" w:space="0"/>
            </w:tcBorders>
            <w:noWrap w:val="0"/>
            <w:vAlign w:val="center"/>
          </w:tcPr>
          <w:p w14:paraId="5C8CFCC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57" w:type="pct"/>
            <w:tcBorders>
              <w:top w:val="nil"/>
              <w:left w:val="nil"/>
              <w:bottom w:val="single" w:color="000000" w:sz="4" w:space="0"/>
              <w:right w:val="single" w:color="000000" w:sz="8" w:space="0"/>
            </w:tcBorders>
            <w:noWrap w:val="0"/>
            <w:vAlign w:val="center"/>
          </w:tcPr>
          <w:p w14:paraId="0DD3A7C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bl>
    <w:p w14:paraId="65FCCEEE">
      <w:pPr>
        <w:pageBreakBefore w:val="0"/>
        <w:kinsoku/>
        <w:wordWrap w:val="0"/>
        <w:overflowPunct/>
        <w:bidi w:val="0"/>
        <w:rPr>
          <w:rStyle w:val="73"/>
          <w:rFonts w:hint="eastAsia" w:ascii="Times New Roman" w:hAnsi="Times New Roman"/>
          <w:smallCaps w:val="0"/>
          <w:color w:val="000000" w:themeColor="text1"/>
          <w:highlight w:val="none"/>
          <w14:textFill>
            <w14:solidFill>
              <w14:schemeClr w14:val="tx1"/>
            </w14:solidFill>
          </w14:textFill>
        </w:rPr>
      </w:pPr>
    </w:p>
    <w:p w14:paraId="100F9EE6">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676" w:name="_Toc460660240"/>
      <w:bookmarkStart w:id="1677" w:name="_Toc460227125"/>
      <w:bookmarkStart w:id="1678" w:name="_Toc25857"/>
      <w:bookmarkStart w:id="1679" w:name="_Toc16219"/>
      <w:bookmarkStart w:id="1680" w:name="_Toc20859"/>
      <w:bookmarkStart w:id="1681" w:name="_Toc22895"/>
      <w:bookmarkStart w:id="1682" w:name="_Toc13783"/>
      <w:bookmarkStart w:id="1683" w:name="_Toc22650"/>
      <w:bookmarkStart w:id="1684" w:name="_Toc17768"/>
      <w:bookmarkStart w:id="1685" w:name="_Toc31857"/>
      <w:r>
        <w:rPr>
          <w:rStyle w:val="73"/>
          <w:rFonts w:hint="eastAsia" w:ascii="Times New Roman" w:hAnsi="Times New Roman"/>
          <w:smallCaps w:val="0"/>
          <w:color w:val="000000" w:themeColor="text1"/>
          <w:highlight w:val="none"/>
          <w14:textFill>
            <w14:solidFill>
              <w14:schemeClr w14:val="tx1"/>
            </w14:solidFill>
          </w14:textFill>
        </w:rPr>
        <w:t>（三）</w:t>
      </w:r>
      <w:bookmarkEnd w:id="1676"/>
      <w:bookmarkEnd w:id="1677"/>
      <w:r>
        <w:rPr>
          <w:rStyle w:val="73"/>
          <w:rFonts w:hint="eastAsia" w:ascii="Times New Roman" w:hAnsi="Times New Roman"/>
          <w:smallCaps w:val="0"/>
          <w:color w:val="000000" w:themeColor="text1"/>
          <w:highlight w:val="none"/>
          <w14:textFill>
            <w14:solidFill>
              <w14:schemeClr w14:val="tx1"/>
            </w14:solidFill>
          </w14:textFill>
        </w:rPr>
        <w:t>单项工程投标报价汇总表</w:t>
      </w:r>
      <w:bookmarkEnd w:id="1678"/>
      <w:bookmarkEnd w:id="1679"/>
      <w:bookmarkEnd w:id="1680"/>
      <w:bookmarkEnd w:id="1681"/>
      <w:bookmarkEnd w:id="1682"/>
      <w:bookmarkEnd w:id="1683"/>
      <w:bookmarkEnd w:id="1684"/>
      <w:bookmarkEnd w:id="1685"/>
    </w:p>
    <w:p w14:paraId="505E6341">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8946" w:type="dxa"/>
        <w:tblInd w:w="93" w:type="dxa"/>
        <w:tblLayout w:type="autofit"/>
        <w:tblCellMar>
          <w:top w:w="0" w:type="dxa"/>
          <w:left w:w="108" w:type="dxa"/>
          <w:bottom w:w="0" w:type="dxa"/>
          <w:right w:w="108" w:type="dxa"/>
        </w:tblCellMar>
      </w:tblPr>
      <w:tblGrid>
        <w:gridCol w:w="820"/>
        <w:gridCol w:w="3023"/>
        <w:gridCol w:w="1557"/>
        <w:gridCol w:w="1298"/>
        <w:gridCol w:w="2248"/>
      </w:tblGrid>
      <w:tr w14:paraId="28B4A543">
        <w:tblPrEx>
          <w:tblCellMar>
            <w:top w:w="0" w:type="dxa"/>
            <w:left w:w="108" w:type="dxa"/>
            <w:bottom w:w="0" w:type="dxa"/>
            <w:right w:w="108" w:type="dxa"/>
          </w:tblCellMar>
        </w:tblPrEx>
        <w:trPr>
          <w:trHeight w:val="338" w:hRule="atLeast"/>
        </w:trPr>
        <w:tc>
          <w:tcPr>
            <w:tcW w:w="820"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2BD757B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3023"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1B37D4D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单位工程名称</w:t>
            </w:r>
          </w:p>
        </w:tc>
        <w:tc>
          <w:tcPr>
            <w:tcW w:w="1557"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37A2C34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金额(元)</w:t>
            </w:r>
          </w:p>
        </w:tc>
        <w:tc>
          <w:tcPr>
            <w:tcW w:w="3546" w:type="dxa"/>
            <w:gridSpan w:val="2"/>
            <w:tcBorders>
              <w:top w:val="single" w:color="000000" w:sz="8" w:space="0"/>
              <w:left w:val="nil"/>
              <w:bottom w:val="single" w:color="000000" w:sz="4" w:space="0"/>
              <w:right w:val="single" w:color="000000" w:sz="8" w:space="0"/>
            </w:tcBorders>
            <w:shd w:val="clear" w:color="FFFFFF" w:fill="FFFFFF"/>
            <w:noWrap w:val="0"/>
            <w:vAlign w:val="center"/>
          </w:tcPr>
          <w:p w14:paraId="5D41C35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其中</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（元）</w:t>
            </w:r>
          </w:p>
        </w:tc>
      </w:tr>
      <w:tr w14:paraId="55882A6F">
        <w:tblPrEx>
          <w:tblCellMar>
            <w:top w:w="0" w:type="dxa"/>
            <w:left w:w="108" w:type="dxa"/>
            <w:bottom w:w="0" w:type="dxa"/>
            <w:right w:w="108" w:type="dxa"/>
          </w:tblCellMar>
        </w:tblPrEx>
        <w:trPr>
          <w:trHeight w:val="353" w:hRule="atLeast"/>
        </w:trPr>
        <w:tc>
          <w:tcPr>
            <w:tcW w:w="820" w:type="dxa"/>
            <w:vMerge w:val="continue"/>
            <w:tcBorders>
              <w:top w:val="single" w:color="000000" w:sz="8" w:space="0"/>
              <w:left w:val="single" w:color="000000" w:sz="8" w:space="0"/>
              <w:bottom w:val="single" w:color="000000" w:sz="4" w:space="0"/>
              <w:right w:val="single" w:color="000000" w:sz="4" w:space="0"/>
            </w:tcBorders>
            <w:shd w:val="clear" w:color="auto" w:fill="auto"/>
            <w:noWrap w:val="0"/>
            <w:vAlign w:val="center"/>
          </w:tcPr>
          <w:p w14:paraId="4910D50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3023" w:type="dxa"/>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5CA62A3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557" w:type="dxa"/>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188848C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298" w:type="dxa"/>
            <w:tcBorders>
              <w:top w:val="single" w:color="000000" w:sz="4" w:space="0"/>
              <w:left w:val="nil"/>
              <w:bottom w:val="single" w:color="000000" w:sz="4" w:space="0"/>
              <w:right w:val="single" w:color="000000" w:sz="4" w:space="0"/>
            </w:tcBorders>
            <w:shd w:val="clear" w:color="FFFFFF" w:fill="FFFFFF"/>
            <w:noWrap w:val="0"/>
            <w:vAlign w:val="center"/>
          </w:tcPr>
          <w:p w14:paraId="17F22B2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暂估价</w:t>
            </w:r>
          </w:p>
        </w:tc>
        <w:tc>
          <w:tcPr>
            <w:tcW w:w="2248" w:type="dxa"/>
            <w:tcBorders>
              <w:top w:val="nil"/>
              <w:left w:val="nil"/>
              <w:bottom w:val="single" w:color="000000" w:sz="4" w:space="0"/>
              <w:right w:val="single" w:color="000000" w:sz="8" w:space="0"/>
            </w:tcBorders>
            <w:shd w:val="clear" w:color="FFFFFF" w:fill="FFFFFF"/>
            <w:noWrap w:val="0"/>
            <w:vAlign w:val="center"/>
          </w:tcPr>
          <w:p w14:paraId="3A73EF2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不可竞争费</w:t>
            </w:r>
          </w:p>
        </w:tc>
      </w:tr>
      <w:tr w14:paraId="4B9ED3CE">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72325504">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023" w:type="dxa"/>
            <w:tcBorders>
              <w:top w:val="single" w:color="000000" w:sz="4" w:space="0"/>
              <w:left w:val="nil"/>
              <w:bottom w:val="single" w:color="000000" w:sz="4" w:space="0"/>
              <w:right w:val="single" w:color="000000" w:sz="4" w:space="0"/>
            </w:tcBorders>
            <w:noWrap w:val="0"/>
            <w:vAlign w:val="center"/>
          </w:tcPr>
          <w:p w14:paraId="129AF5B8">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557" w:type="dxa"/>
            <w:tcBorders>
              <w:top w:val="single" w:color="000000" w:sz="4" w:space="0"/>
              <w:left w:val="nil"/>
              <w:bottom w:val="single" w:color="000000" w:sz="4" w:space="0"/>
              <w:right w:val="single" w:color="000000" w:sz="4" w:space="0"/>
            </w:tcBorders>
            <w:noWrap w:val="0"/>
            <w:vAlign w:val="center"/>
          </w:tcPr>
          <w:p w14:paraId="07DB9FA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98" w:type="dxa"/>
            <w:tcBorders>
              <w:top w:val="single" w:color="000000" w:sz="4" w:space="0"/>
              <w:left w:val="nil"/>
              <w:bottom w:val="single" w:color="000000" w:sz="4" w:space="0"/>
              <w:right w:val="single" w:color="000000" w:sz="4" w:space="0"/>
            </w:tcBorders>
            <w:noWrap w:val="0"/>
            <w:vAlign w:val="center"/>
          </w:tcPr>
          <w:p w14:paraId="66440F8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248" w:type="dxa"/>
            <w:tcBorders>
              <w:top w:val="nil"/>
              <w:left w:val="nil"/>
              <w:bottom w:val="single" w:color="000000" w:sz="4" w:space="0"/>
              <w:right w:val="single" w:color="000000" w:sz="8" w:space="0"/>
            </w:tcBorders>
            <w:noWrap w:val="0"/>
            <w:vAlign w:val="center"/>
          </w:tcPr>
          <w:p w14:paraId="4D95A9B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03249C5">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416CA70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023" w:type="dxa"/>
            <w:tcBorders>
              <w:top w:val="single" w:color="000000" w:sz="4" w:space="0"/>
              <w:left w:val="nil"/>
              <w:bottom w:val="single" w:color="000000" w:sz="4" w:space="0"/>
              <w:right w:val="single" w:color="000000" w:sz="4" w:space="0"/>
            </w:tcBorders>
            <w:noWrap w:val="0"/>
            <w:vAlign w:val="center"/>
          </w:tcPr>
          <w:p w14:paraId="1D968302">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557" w:type="dxa"/>
            <w:tcBorders>
              <w:top w:val="single" w:color="000000" w:sz="4" w:space="0"/>
              <w:left w:val="nil"/>
              <w:bottom w:val="single" w:color="000000" w:sz="4" w:space="0"/>
              <w:right w:val="single" w:color="000000" w:sz="4" w:space="0"/>
            </w:tcBorders>
            <w:noWrap w:val="0"/>
            <w:vAlign w:val="center"/>
          </w:tcPr>
          <w:p w14:paraId="1CA35689">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98" w:type="dxa"/>
            <w:tcBorders>
              <w:top w:val="single" w:color="000000" w:sz="4" w:space="0"/>
              <w:left w:val="nil"/>
              <w:bottom w:val="single" w:color="000000" w:sz="4" w:space="0"/>
              <w:right w:val="single" w:color="000000" w:sz="4" w:space="0"/>
            </w:tcBorders>
            <w:noWrap w:val="0"/>
            <w:vAlign w:val="center"/>
          </w:tcPr>
          <w:p w14:paraId="48DE980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248" w:type="dxa"/>
            <w:tcBorders>
              <w:top w:val="nil"/>
              <w:left w:val="nil"/>
              <w:bottom w:val="single" w:color="000000" w:sz="4" w:space="0"/>
              <w:right w:val="single" w:color="000000" w:sz="8" w:space="0"/>
            </w:tcBorders>
            <w:noWrap w:val="0"/>
            <w:vAlign w:val="center"/>
          </w:tcPr>
          <w:p w14:paraId="2175A525">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976BDFD">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0681E5FC">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023" w:type="dxa"/>
            <w:tcBorders>
              <w:top w:val="single" w:color="000000" w:sz="4" w:space="0"/>
              <w:left w:val="nil"/>
              <w:bottom w:val="single" w:color="000000" w:sz="4" w:space="0"/>
              <w:right w:val="single" w:color="000000" w:sz="4" w:space="0"/>
            </w:tcBorders>
            <w:noWrap w:val="0"/>
            <w:vAlign w:val="center"/>
          </w:tcPr>
          <w:p w14:paraId="67E4C277">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557" w:type="dxa"/>
            <w:tcBorders>
              <w:top w:val="single" w:color="000000" w:sz="4" w:space="0"/>
              <w:left w:val="nil"/>
              <w:bottom w:val="single" w:color="000000" w:sz="4" w:space="0"/>
              <w:right w:val="single" w:color="000000" w:sz="4" w:space="0"/>
            </w:tcBorders>
            <w:noWrap w:val="0"/>
            <w:vAlign w:val="center"/>
          </w:tcPr>
          <w:p w14:paraId="6E22F80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98" w:type="dxa"/>
            <w:tcBorders>
              <w:top w:val="single" w:color="000000" w:sz="4" w:space="0"/>
              <w:left w:val="nil"/>
              <w:bottom w:val="single" w:color="000000" w:sz="4" w:space="0"/>
              <w:right w:val="single" w:color="000000" w:sz="4" w:space="0"/>
            </w:tcBorders>
            <w:noWrap w:val="0"/>
            <w:vAlign w:val="center"/>
          </w:tcPr>
          <w:p w14:paraId="0FDD2C6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248" w:type="dxa"/>
            <w:tcBorders>
              <w:top w:val="nil"/>
              <w:left w:val="nil"/>
              <w:bottom w:val="single" w:color="000000" w:sz="4" w:space="0"/>
              <w:right w:val="single" w:color="000000" w:sz="8" w:space="0"/>
            </w:tcBorders>
            <w:noWrap w:val="0"/>
            <w:vAlign w:val="center"/>
          </w:tcPr>
          <w:p w14:paraId="2BF04B1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0DA4E9B">
        <w:tblPrEx>
          <w:tblCellMar>
            <w:top w:w="0" w:type="dxa"/>
            <w:left w:w="108" w:type="dxa"/>
            <w:bottom w:w="0" w:type="dxa"/>
            <w:right w:w="108" w:type="dxa"/>
          </w:tblCellMar>
        </w:tblPrEx>
        <w:trPr>
          <w:trHeight w:val="680" w:hRule="atLeast"/>
        </w:trPr>
        <w:tc>
          <w:tcPr>
            <w:tcW w:w="3843" w:type="dxa"/>
            <w:gridSpan w:val="2"/>
            <w:tcBorders>
              <w:top w:val="nil"/>
              <w:left w:val="single" w:color="000000" w:sz="8" w:space="0"/>
              <w:bottom w:val="single" w:color="000000" w:sz="4" w:space="0"/>
              <w:right w:val="single" w:color="000000" w:sz="4" w:space="0"/>
            </w:tcBorders>
            <w:noWrap w:val="0"/>
            <w:vAlign w:val="center"/>
          </w:tcPr>
          <w:p w14:paraId="5E22A26C">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合计</w:t>
            </w:r>
          </w:p>
        </w:tc>
        <w:tc>
          <w:tcPr>
            <w:tcW w:w="1557" w:type="dxa"/>
            <w:tcBorders>
              <w:top w:val="single" w:color="000000" w:sz="4" w:space="0"/>
              <w:left w:val="nil"/>
              <w:bottom w:val="single" w:color="000000" w:sz="4" w:space="0"/>
              <w:right w:val="single" w:color="000000" w:sz="4" w:space="0"/>
            </w:tcBorders>
            <w:noWrap w:val="0"/>
            <w:vAlign w:val="center"/>
          </w:tcPr>
          <w:p w14:paraId="6534B5D5">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98" w:type="dxa"/>
            <w:tcBorders>
              <w:top w:val="single" w:color="000000" w:sz="4" w:space="0"/>
              <w:left w:val="nil"/>
              <w:bottom w:val="single" w:color="000000" w:sz="4" w:space="0"/>
              <w:right w:val="single" w:color="000000" w:sz="4" w:space="0"/>
            </w:tcBorders>
            <w:noWrap w:val="0"/>
            <w:vAlign w:val="center"/>
          </w:tcPr>
          <w:p w14:paraId="795204EA">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248" w:type="dxa"/>
            <w:tcBorders>
              <w:top w:val="nil"/>
              <w:left w:val="nil"/>
              <w:bottom w:val="single" w:color="000000" w:sz="4" w:space="0"/>
              <w:right w:val="single" w:color="000000" w:sz="8" w:space="0"/>
            </w:tcBorders>
            <w:noWrap w:val="0"/>
            <w:vAlign w:val="center"/>
          </w:tcPr>
          <w:p w14:paraId="3DCB9BF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024F57E9">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bookmarkStart w:id="1686" w:name="_Toc460660241"/>
      <w:bookmarkStart w:id="1687" w:name="_Toc460227126"/>
    </w:p>
    <w:p w14:paraId="0A9D93E2">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688" w:name="_Toc90"/>
      <w:bookmarkStart w:id="1689" w:name="_Toc24421"/>
      <w:bookmarkStart w:id="1690" w:name="_Toc24886"/>
      <w:bookmarkStart w:id="1691" w:name="_Toc24355"/>
      <w:bookmarkStart w:id="1692" w:name="_Toc13978"/>
      <w:bookmarkStart w:id="1693" w:name="_Toc14044"/>
      <w:bookmarkStart w:id="1694" w:name="_Toc32576"/>
      <w:bookmarkStart w:id="1695" w:name="_Toc3022"/>
      <w:r>
        <w:rPr>
          <w:rStyle w:val="73"/>
          <w:rFonts w:hint="eastAsia" w:ascii="Times New Roman" w:hAnsi="Times New Roman"/>
          <w:smallCaps w:val="0"/>
          <w:color w:val="000000" w:themeColor="text1"/>
          <w:highlight w:val="none"/>
          <w14:textFill>
            <w14:solidFill>
              <w14:schemeClr w14:val="tx1"/>
            </w14:solidFill>
          </w14:textFill>
        </w:rPr>
        <w:t>（四）</w:t>
      </w:r>
      <w:bookmarkEnd w:id="1686"/>
      <w:bookmarkEnd w:id="1687"/>
      <w:r>
        <w:rPr>
          <w:rStyle w:val="73"/>
          <w:rFonts w:hint="eastAsia" w:ascii="Times New Roman" w:hAnsi="Times New Roman"/>
          <w:smallCaps w:val="0"/>
          <w:color w:val="000000" w:themeColor="text1"/>
          <w:highlight w:val="none"/>
          <w14:textFill>
            <w14:solidFill>
              <w14:schemeClr w14:val="tx1"/>
            </w14:solidFill>
          </w14:textFill>
        </w:rPr>
        <w:t>单位工程投标报价汇总表</w:t>
      </w:r>
      <w:bookmarkEnd w:id="1688"/>
      <w:bookmarkEnd w:id="1689"/>
      <w:bookmarkEnd w:id="1690"/>
      <w:bookmarkEnd w:id="1691"/>
      <w:bookmarkEnd w:id="1692"/>
      <w:bookmarkEnd w:id="1693"/>
      <w:bookmarkEnd w:id="1694"/>
      <w:bookmarkEnd w:id="1695"/>
    </w:p>
    <w:p w14:paraId="2B6EC0D0">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8946" w:type="dxa"/>
        <w:tblInd w:w="93" w:type="dxa"/>
        <w:tblLayout w:type="autofit"/>
        <w:tblCellMar>
          <w:top w:w="0" w:type="dxa"/>
          <w:left w:w="108" w:type="dxa"/>
          <w:bottom w:w="0" w:type="dxa"/>
          <w:right w:w="108" w:type="dxa"/>
        </w:tblCellMar>
      </w:tblPr>
      <w:tblGrid>
        <w:gridCol w:w="820"/>
        <w:gridCol w:w="3448"/>
        <w:gridCol w:w="1701"/>
        <w:gridCol w:w="2977"/>
      </w:tblGrid>
      <w:tr w14:paraId="2953D5FB">
        <w:tblPrEx>
          <w:tblCellMar>
            <w:top w:w="0" w:type="dxa"/>
            <w:left w:w="108" w:type="dxa"/>
            <w:bottom w:w="0" w:type="dxa"/>
            <w:right w:w="108" w:type="dxa"/>
          </w:tblCellMar>
        </w:tblPrEx>
        <w:trPr>
          <w:trHeight w:val="690" w:hRule="atLeast"/>
        </w:trPr>
        <w:tc>
          <w:tcPr>
            <w:tcW w:w="820"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34BDA5F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3448" w:type="dxa"/>
            <w:tcBorders>
              <w:top w:val="single" w:color="000000" w:sz="8" w:space="0"/>
              <w:left w:val="nil"/>
              <w:bottom w:val="single" w:color="000000" w:sz="4" w:space="0"/>
              <w:right w:val="single" w:color="000000" w:sz="4" w:space="0"/>
            </w:tcBorders>
            <w:shd w:val="clear" w:color="FFFFFF" w:fill="FFFFFF"/>
            <w:noWrap w:val="0"/>
            <w:vAlign w:val="center"/>
          </w:tcPr>
          <w:p w14:paraId="3F05F55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汇总内容</w:t>
            </w:r>
          </w:p>
        </w:tc>
        <w:tc>
          <w:tcPr>
            <w:tcW w:w="1701" w:type="dxa"/>
            <w:tcBorders>
              <w:top w:val="single" w:color="000000" w:sz="8" w:space="0"/>
              <w:left w:val="nil"/>
              <w:bottom w:val="single" w:color="000000" w:sz="4" w:space="0"/>
              <w:right w:val="single" w:color="000000" w:sz="4" w:space="0"/>
            </w:tcBorders>
            <w:shd w:val="clear" w:color="FFFFFF" w:fill="FFFFFF"/>
            <w:noWrap w:val="0"/>
            <w:vAlign w:val="center"/>
          </w:tcPr>
          <w:p w14:paraId="1B1C33E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金额(元)</w:t>
            </w:r>
          </w:p>
        </w:tc>
        <w:tc>
          <w:tcPr>
            <w:tcW w:w="2977" w:type="dxa"/>
            <w:tcBorders>
              <w:top w:val="single" w:color="000000" w:sz="8" w:space="0"/>
              <w:left w:val="nil"/>
              <w:bottom w:val="single" w:color="000000" w:sz="4" w:space="0"/>
              <w:right w:val="single" w:color="000000" w:sz="8" w:space="0"/>
            </w:tcBorders>
            <w:shd w:val="clear" w:color="FFFFFF" w:fill="FFFFFF"/>
            <w:noWrap w:val="0"/>
            <w:vAlign w:val="center"/>
          </w:tcPr>
          <w:p w14:paraId="21753BD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其中</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材料、设备暂估价（元）</w:t>
            </w:r>
          </w:p>
        </w:tc>
      </w:tr>
      <w:tr w14:paraId="6B0BD9AA">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5B66F73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w:t>
            </w:r>
          </w:p>
        </w:tc>
        <w:tc>
          <w:tcPr>
            <w:tcW w:w="3448" w:type="dxa"/>
            <w:tcBorders>
              <w:top w:val="single" w:color="000000" w:sz="4" w:space="0"/>
              <w:left w:val="nil"/>
              <w:bottom w:val="single" w:color="000000" w:sz="4" w:space="0"/>
              <w:right w:val="single" w:color="000000" w:sz="4" w:space="0"/>
            </w:tcBorders>
            <w:noWrap w:val="0"/>
            <w:vAlign w:val="center"/>
          </w:tcPr>
          <w:p w14:paraId="10F837C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分部分项工程费</w:t>
            </w:r>
          </w:p>
        </w:tc>
        <w:tc>
          <w:tcPr>
            <w:tcW w:w="1701" w:type="dxa"/>
            <w:tcBorders>
              <w:top w:val="single" w:color="000000" w:sz="4" w:space="0"/>
              <w:left w:val="nil"/>
              <w:bottom w:val="single" w:color="000000" w:sz="4" w:space="0"/>
              <w:right w:val="single" w:color="000000" w:sz="4" w:space="0"/>
            </w:tcBorders>
            <w:noWrap w:val="0"/>
            <w:vAlign w:val="center"/>
          </w:tcPr>
          <w:p w14:paraId="373308DA">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71C470E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D663EE8">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60D60C4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w:t>
            </w:r>
          </w:p>
        </w:tc>
        <w:tc>
          <w:tcPr>
            <w:tcW w:w="3448" w:type="dxa"/>
            <w:tcBorders>
              <w:top w:val="single" w:color="000000" w:sz="4" w:space="0"/>
              <w:left w:val="nil"/>
              <w:bottom w:val="single" w:color="000000" w:sz="4" w:space="0"/>
              <w:right w:val="single" w:color="000000" w:sz="4" w:space="0"/>
            </w:tcBorders>
            <w:noWrap w:val="0"/>
            <w:vAlign w:val="center"/>
          </w:tcPr>
          <w:p w14:paraId="564E2FC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措施项目费</w:t>
            </w:r>
          </w:p>
        </w:tc>
        <w:tc>
          <w:tcPr>
            <w:tcW w:w="1701" w:type="dxa"/>
            <w:tcBorders>
              <w:top w:val="single" w:color="000000" w:sz="4" w:space="0"/>
              <w:left w:val="nil"/>
              <w:bottom w:val="single" w:color="000000" w:sz="4" w:space="0"/>
              <w:right w:val="single" w:color="000000" w:sz="4" w:space="0"/>
            </w:tcBorders>
            <w:noWrap w:val="0"/>
            <w:vAlign w:val="center"/>
          </w:tcPr>
          <w:p w14:paraId="0169478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1CAA438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0B169E9">
        <w:tblPrEx>
          <w:tblCellMar>
            <w:top w:w="0" w:type="dxa"/>
            <w:left w:w="108" w:type="dxa"/>
            <w:bottom w:w="0" w:type="dxa"/>
            <w:right w:w="108" w:type="dxa"/>
          </w:tblCellMar>
        </w:tblPrEx>
        <w:trPr>
          <w:trHeight w:val="440" w:hRule="atLeast"/>
        </w:trPr>
        <w:tc>
          <w:tcPr>
            <w:tcW w:w="820" w:type="dxa"/>
            <w:tcBorders>
              <w:top w:val="nil"/>
              <w:left w:val="single" w:color="000000" w:sz="8" w:space="0"/>
              <w:bottom w:val="single" w:color="000000" w:sz="4" w:space="0"/>
              <w:right w:val="single" w:color="000000" w:sz="4" w:space="0"/>
            </w:tcBorders>
            <w:noWrap w:val="0"/>
            <w:vAlign w:val="center"/>
          </w:tcPr>
          <w:p w14:paraId="056BE07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3448" w:type="dxa"/>
            <w:tcBorders>
              <w:top w:val="single" w:color="000000" w:sz="4" w:space="0"/>
              <w:left w:val="nil"/>
              <w:bottom w:val="single" w:color="000000" w:sz="4" w:space="0"/>
              <w:right w:val="single" w:color="000000" w:sz="4" w:space="0"/>
            </w:tcBorders>
            <w:noWrap w:val="0"/>
            <w:vAlign w:val="center"/>
          </w:tcPr>
          <w:p w14:paraId="6F3C1BA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701" w:type="dxa"/>
            <w:tcBorders>
              <w:top w:val="single" w:color="000000" w:sz="4" w:space="0"/>
              <w:left w:val="nil"/>
              <w:bottom w:val="single" w:color="000000" w:sz="4" w:space="0"/>
              <w:right w:val="single" w:color="000000" w:sz="4" w:space="0"/>
            </w:tcBorders>
            <w:noWrap w:val="0"/>
            <w:vAlign w:val="center"/>
          </w:tcPr>
          <w:p w14:paraId="18F20F0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0A18B97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13AE8F2">
        <w:tblPrEx>
          <w:tblCellMar>
            <w:top w:w="0" w:type="dxa"/>
            <w:left w:w="108" w:type="dxa"/>
            <w:bottom w:w="0" w:type="dxa"/>
            <w:right w:w="108" w:type="dxa"/>
          </w:tblCellMar>
        </w:tblPrEx>
        <w:trPr>
          <w:trHeight w:val="470" w:hRule="atLeast"/>
        </w:trPr>
        <w:tc>
          <w:tcPr>
            <w:tcW w:w="820" w:type="dxa"/>
            <w:tcBorders>
              <w:top w:val="nil"/>
              <w:left w:val="single" w:color="000000" w:sz="8" w:space="0"/>
              <w:bottom w:val="single" w:color="000000" w:sz="4" w:space="0"/>
              <w:right w:val="single" w:color="000000" w:sz="4" w:space="0"/>
            </w:tcBorders>
            <w:noWrap w:val="0"/>
            <w:vAlign w:val="center"/>
          </w:tcPr>
          <w:p w14:paraId="1E38756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3448" w:type="dxa"/>
            <w:tcBorders>
              <w:top w:val="single" w:color="000000" w:sz="4" w:space="0"/>
              <w:left w:val="nil"/>
              <w:bottom w:val="single" w:color="000000" w:sz="4" w:space="0"/>
              <w:right w:val="single" w:color="000000" w:sz="4" w:space="0"/>
            </w:tcBorders>
            <w:noWrap w:val="0"/>
            <w:vAlign w:val="center"/>
          </w:tcPr>
          <w:p w14:paraId="5EC0834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701" w:type="dxa"/>
            <w:tcBorders>
              <w:top w:val="single" w:color="000000" w:sz="4" w:space="0"/>
              <w:left w:val="nil"/>
              <w:bottom w:val="single" w:color="000000" w:sz="4" w:space="0"/>
              <w:right w:val="single" w:color="000000" w:sz="4" w:space="0"/>
            </w:tcBorders>
            <w:noWrap w:val="0"/>
            <w:vAlign w:val="center"/>
          </w:tcPr>
          <w:p w14:paraId="7957B59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78D1604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901AD09">
        <w:tblPrEx>
          <w:tblCellMar>
            <w:top w:w="0" w:type="dxa"/>
            <w:left w:w="108" w:type="dxa"/>
            <w:bottom w:w="0" w:type="dxa"/>
            <w:right w:w="108" w:type="dxa"/>
          </w:tblCellMar>
        </w:tblPrEx>
        <w:trPr>
          <w:trHeight w:val="350" w:hRule="atLeast"/>
        </w:trPr>
        <w:tc>
          <w:tcPr>
            <w:tcW w:w="820" w:type="dxa"/>
            <w:tcBorders>
              <w:top w:val="nil"/>
              <w:left w:val="single" w:color="000000" w:sz="8" w:space="0"/>
              <w:bottom w:val="single" w:color="000000" w:sz="4" w:space="0"/>
              <w:right w:val="single" w:color="000000" w:sz="4" w:space="0"/>
            </w:tcBorders>
            <w:noWrap w:val="0"/>
            <w:vAlign w:val="center"/>
          </w:tcPr>
          <w:p w14:paraId="08DD57E3">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3448" w:type="dxa"/>
            <w:tcBorders>
              <w:top w:val="single" w:color="000000" w:sz="4" w:space="0"/>
              <w:left w:val="nil"/>
              <w:bottom w:val="single" w:color="000000" w:sz="4" w:space="0"/>
              <w:right w:val="single" w:color="000000" w:sz="4" w:space="0"/>
            </w:tcBorders>
            <w:noWrap w:val="0"/>
            <w:vAlign w:val="center"/>
          </w:tcPr>
          <w:p w14:paraId="66E0DE8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701" w:type="dxa"/>
            <w:tcBorders>
              <w:top w:val="single" w:color="000000" w:sz="4" w:space="0"/>
              <w:left w:val="nil"/>
              <w:bottom w:val="single" w:color="000000" w:sz="4" w:space="0"/>
              <w:right w:val="single" w:color="000000" w:sz="4" w:space="0"/>
            </w:tcBorders>
            <w:noWrap w:val="0"/>
            <w:vAlign w:val="center"/>
          </w:tcPr>
          <w:p w14:paraId="3F5C404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56A311C5">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EA3F86C">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7EF9684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w:t>
            </w:r>
          </w:p>
        </w:tc>
        <w:tc>
          <w:tcPr>
            <w:tcW w:w="3448" w:type="dxa"/>
            <w:tcBorders>
              <w:top w:val="single" w:color="000000" w:sz="4" w:space="0"/>
              <w:left w:val="nil"/>
              <w:bottom w:val="single" w:color="000000" w:sz="4" w:space="0"/>
              <w:right w:val="single" w:color="000000" w:sz="4" w:space="0"/>
            </w:tcBorders>
            <w:noWrap w:val="0"/>
            <w:vAlign w:val="center"/>
          </w:tcPr>
          <w:p w14:paraId="4C9783D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不可竞争费</w:t>
            </w:r>
          </w:p>
        </w:tc>
        <w:tc>
          <w:tcPr>
            <w:tcW w:w="1701" w:type="dxa"/>
            <w:tcBorders>
              <w:top w:val="single" w:color="000000" w:sz="4" w:space="0"/>
              <w:left w:val="nil"/>
              <w:bottom w:val="single" w:color="000000" w:sz="4" w:space="0"/>
              <w:right w:val="single" w:color="000000" w:sz="4" w:space="0"/>
            </w:tcBorders>
            <w:noWrap w:val="0"/>
            <w:vAlign w:val="center"/>
          </w:tcPr>
          <w:p w14:paraId="0F3F99B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451966CA">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D028D7D">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3A38344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3.1</w:t>
            </w:r>
          </w:p>
        </w:tc>
        <w:tc>
          <w:tcPr>
            <w:tcW w:w="3448" w:type="dxa"/>
            <w:tcBorders>
              <w:top w:val="single" w:color="000000" w:sz="4" w:space="0"/>
              <w:left w:val="nil"/>
              <w:bottom w:val="single" w:color="000000" w:sz="4" w:space="0"/>
              <w:right w:val="single" w:color="000000" w:sz="4" w:space="0"/>
            </w:tcBorders>
            <w:noWrap w:val="0"/>
            <w:vAlign w:val="center"/>
          </w:tcPr>
          <w:p w14:paraId="4CCB1E2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安全文明施工费</w:t>
            </w:r>
          </w:p>
        </w:tc>
        <w:tc>
          <w:tcPr>
            <w:tcW w:w="1701" w:type="dxa"/>
            <w:tcBorders>
              <w:top w:val="single" w:color="000000" w:sz="4" w:space="0"/>
              <w:left w:val="nil"/>
              <w:bottom w:val="single" w:color="000000" w:sz="4" w:space="0"/>
              <w:right w:val="single" w:color="000000" w:sz="4" w:space="0"/>
            </w:tcBorders>
            <w:noWrap w:val="0"/>
            <w:vAlign w:val="center"/>
          </w:tcPr>
          <w:p w14:paraId="72A6A03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33073BBA">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19450CE">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0E3D31F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3.2</w:t>
            </w:r>
          </w:p>
        </w:tc>
        <w:tc>
          <w:tcPr>
            <w:tcW w:w="3448" w:type="dxa"/>
            <w:tcBorders>
              <w:top w:val="single" w:color="000000" w:sz="4" w:space="0"/>
              <w:left w:val="nil"/>
              <w:bottom w:val="single" w:color="000000" w:sz="4" w:space="0"/>
              <w:right w:val="single" w:color="000000" w:sz="4" w:space="0"/>
            </w:tcBorders>
            <w:noWrap w:val="0"/>
            <w:vAlign w:val="center"/>
          </w:tcPr>
          <w:p w14:paraId="58A4ADA9">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环境保护税</w:t>
            </w:r>
          </w:p>
        </w:tc>
        <w:tc>
          <w:tcPr>
            <w:tcW w:w="1701" w:type="dxa"/>
            <w:tcBorders>
              <w:top w:val="single" w:color="000000" w:sz="4" w:space="0"/>
              <w:left w:val="nil"/>
              <w:bottom w:val="single" w:color="000000" w:sz="4" w:space="0"/>
              <w:right w:val="single" w:color="000000" w:sz="4" w:space="0"/>
            </w:tcBorders>
            <w:noWrap w:val="0"/>
            <w:vAlign w:val="center"/>
          </w:tcPr>
          <w:p w14:paraId="0BFBD83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5BA3997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65A335C">
        <w:tblPrEx>
          <w:tblCellMar>
            <w:top w:w="0" w:type="dxa"/>
            <w:left w:w="108" w:type="dxa"/>
            <w:bottom w:w="0" w:type="dxa"/>
            <w:right w:w="108" w:type="dxa"/>
          </w:tblCellMar>
        </w:tblPrEx>
        <w:trPr>
          <w:trHeight w:val="395" w:hRule="atLeast"/>
        </w:trPr>
        <w:tc>
          <w:tcPr>
            <w:tcW w:w="820" w:type="dxa"/>
            <w:tcBorders>
              <w:top w:val="nil"/>
              <w:left w:val="single" w:color="000000" w:sz="8" w:space="0"/>
              <w:bottom w:val="single" w:color="000000" w:sz="4" w:space="0"/>
              <w:right w:val="single" w:color="000000" w:sz="4" w:space="0"/>
            </w:tcBorders>
            <w:noWrap w:val="0"/>
            <w:vAlign w:val="center"/>
          </w:tcPr>
          <w:p w14:paraId="7677798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3448" w:type="dxa"/>
            <w:tcBorders>
              <w:top w:val="single" w:color="000000" w:sz="4" w:space="0"/>
              <w:left w:val="nil"/>
              <w:bottom w:val="single" w:color="000000" w:sz="4" w:space="0"/>
              <w:right w:val="single" w:color="000000" w:sz="4" w:space="0"/>
            </w:tcBorders>
            <w:noWrap w:val="0"/>
            <w:vAlign w:val="center"/>
          </w:tcPr>
          <w:p w14:paraId="40F993B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1701" w:type="dxa"/>
            <w:tcBorders>
              <w:top w:val="single" w:color="000000" w:sz="4" w:space="0"/>
              <w:left w:val="nil"/>
              <w:bottom w:val="single" w:color="000000" w:sz="4" w:space="0"/>
              <w:right w:val="single" w:color="000000" w:sz="4" w:space="0"/>
            </w:tcBorders>
            <w:noWrap w:val="0"/>
            <w:vAlign w:val="center"/>
          </w:tcPr>
          <w:p w14:paraId="0C709E1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465851A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33CE375">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68413ED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w:t>
            </w:r>
          </w:p>
        </w:tc>
        <w:tc>
          <w:tcPr>
            <w:tcW w:w="3448" w:type="dxa"/>
            <w:tcBorders>
              <w:top w:val="single" w:color="000000" w:sz="4" w:space="0"/>
              <w:left w:val="nil"/>
              <w:bottom w:val="single" w:color="000000" w:sz="4" w:space="0"/>
              <w:right w:val="single" w:color="000000" w:sz="4" w:space="0"/>
            </w:tcBorders>
            <w:noWrap w:val="0"/>
            <w:vAlign w:val="center"/>
          </w:tcPr>
          <w:p w14:paraId="6E5959A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其他项目</w:t>
            </w:r>
          </w:p>
        </w:tc>
        <w:tc>
          <w:tcPr>
            <w:tcW w:w="1701" w:type="dxa"/>
            <w:tcBorders>
              <w:top w:val="single" w:color="000000" w:sz="4" w:space="0"/>
              <w:left w:val="nil"/>
              <w:bottom w:val="single" w:color="000000" w:sz="4" w:space="0"/>
              <w:right w:val="single" w:color="000000" w:sz="4" w:space="0"/>
            </w:tcBorders>
            <w:noWrap w:val="0"/>
            <w:vAlign w:val="center"/>
          </w:tcPr>
          <w:p w14:paraId="2F3B5E5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2E0EFEE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DEC56C9">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1543F8F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4.1</w:t>
            </w:r>
          </w:p>
        </w:tc>
        <w:tc>
          <w:tcPr>
            <w:tcW w:w="3448" w:type="dxa"/>
            <w:tcBorders>
              <w:top w:val="single" w:color="000000" w:sz="4" w:space="0"/>
              <w:left w:val="nil"/>
              <w:bottom w:val="single" w:color="000000" w:sz="4" w:space="0"/>
              <w:right w:val="single" w:color="000000" w:sz="4" w:space="0"/>
            </w:tcBorders>
            <w:noWrap w:val="0"/>
            <w:vAlign w:val="center"/>
          </w:tcPr>
          <w:p w14:paraId="2073DAC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暂列金额</w:t>
            </w:r>
          </w:p>
        </w:tc>
        <w:tc>
          <w:tcPr>
            <w:tcW w:w="1701" w:type="dxa"/>
            <w:tcBorders>
              <w:top w:val="single" w:color="000000" w:sz="4" w:space="0"/>
              <w:left w:val="nil"/>
              <w:bottom w:val="single" w:color="000000" w:sz="4" w:space="0"/>
              <w:right w:val="single" w:color="000000" w:sz="4" w:space="0"/>
            </w:tcBorders>
            <w:noWrap w:val="0"/>
            <w:vAlign w:val="center"/>
          </w:tcPr>
          <w:p w14:paraId="128EF9A5">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4C09BCA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0735860">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41F3AC2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4.2</w:t>
            </w:r>
          </w:p>
        </w:tc>
        <w:tc>
          <w:tcPr>
            <w:tcW w:w="3448" w:type="dxa"/>
            <w:tcBorders>
              <w:top w:val="single" w:color="000000" w:sz="4" w:space="0"/>
              <w:left w:val="nil"/>
              <w:bottom w:val="single" w:color="000000" w:sz="4" w:space="0"/>
              <w:right w:val="single" w:color="000000" w:sz="4" w:space="0"/>
            </w:tcBorders>
            <w:noWrap w:val="0"/>
            <w:vAlign w:val="center"/>
          </w:tcPr>
          <w:p w14:paraId="6FBA367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专业工程暂估价</w:t>
            </w:r>
          </w:p>
        </w:tc>
        <w:tc>
          <w:tcPr>
            <w:tcW w:w="1701" w:type="dxa"/>
            <w:tcBorders>
              <w:top w:val="single" w:color="000000" w:sz="4" w:space="0"/>
              <w:left w:val="nil"/>
              <w:bottom w:val="single" w:color="000000" w:sz="4" w:space="0"/>
              <w:right w:val="single" w:color="000000" w:sz="4" w:space="0"/>
            </w:tcBorders>
            <w:noWrap w:val="0"/>
            <w:vAlign w:val="center"/>
          </w:tcPr>
          <w:p w14:paraId="5026D0C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6CF7D7A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9465BDC">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409C5C0D">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4.3</w:t>
            </w:r>
          </w:p>
        </w:tc>
        <w:tc>
          <w:tcPr>
            <w:tcW w:w="3448" w:type="dxa"/>
            <w:tcBorders>
              <w:top w:val="single" w:color="000000" w:sz="4" w:space="0"/>
              <w:left w:val="nil"/>
              <w:bottom w:val="single" w:color="000000" w:sz="4" w:space="0"/>
              <w:right w:val="single" w:color="000000" w:sz="4" w:space="0"/>
            </w:tcBorders>
            <w:noWrap w:val="0"/>
            <w:vAlign w:val="center"/>
          </w:tcPr>
          <w:p w14:paraId="27B1A0A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计日工</w:t>
            </w:r>
          </w:p>
        </w:tc>
        <w:tc>
          <w:tcPr>
            <w:tcW w:w="1701" w:type="dxa"/>
            <w:tcBorders>
              <w:top w:val="single" w:color="000000" w:sz="4" w:space="0"/>
              <w:left w:val="nil"/>
              <w:bottom w:val="single" w:color="000000" w:sz="4" w:space="0"/>
              <w:right w:val="single" w:color="000000" w:sz="4" w:space="0"/>
            </w:tcBorders>
            <w:noWrap w:val="0"/>
            <w:vAlign w:val="center"/>
          </w:tcPr>
          <w:p w14:paraId="7D1A8589">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3D20B9A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06FC459">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6F060C4A">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4.4</w:t>
            </w:r>
          </w:p>
        </w:tc>
        <w:tc>
          <w:tcPr>
            <w:tcW w:w="3448" w:type="dxa"/>
            <w:tcBorders>
              <w:top w:val="single" w:color="000000" w:sz="4" w:space="0"/>
              <w:left w:val="nil"/>
              <w:bottom w:val="single" w:color="000000" w:sz="4" w:space="0"/>
              <w:right w:val="single" w:color="000000" w:sz="4" w:space="0"/>
            </w:tcBorders>
            <w:noWrap w:val="0"/>
            <w:vAlign w:val="center"/>
          </w:tcPr>
          <w:p w14:paraId="3970642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总承包服务费</w:t>
            </w:r>
          </w:p>
        </w:tc>
        <w:tc>
          <w:tcPr>
            <w:tcW w:w="1701" w:type="dxa"/>
            <w:tcBorders>
              <w:top w:val="single" w:color="000000" w:sz="4" w:space="0"/>
              <w:left w:val="nil"/>
              <w:bottom w:val="single" w:color="000000" w:sz="4" w:space="0"/>
              <w:right w:val="single" w:color="000000" w:sz="4" w:space="0"/>
            </w:tcBorders>
            <w:noWrap w:val="0"/>
            <w:vAlign w:val="center"/>
          </w:tcPr>
          <w:p w14:paraId="1C067521">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74E9A74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35D1CE2">
        <w:tblPrEx>
          <w:tblCellMar>
            <w:top w:w="0" w:type="dxa"/>
            <w:left w:w="108" w:type="dxa"/>
            <w:bottom w:w="0" w:type="dxa"/>
            <w:right w:w="108" w:type="dxa"/>
          </w:tblCellMar>
        </w:tblPrEx>
        <w:trPr>
          <w:trHeight w:val="680" w:hRule="atLeast"/>
        </w:trPr>
        <w:tc>
          <w:tcPr>
            <w:tcW w:w="820" w:type="dxa"/>
            <w:tcBorders>
              <w:top w:val="nil"/>
              <w:left w:val="single" w:color="000000" w:sz="8" w:space="0"/>
              <w:bottom w:val="single" w:color="000000" w:sz="4" w:space="0"/>
              <w:right w:val="single" w:color="000000" w:sz="4" w:space="0"/>
            </w:tcBorders>
            <w:noWrap w:val="0"/>
            <w:vAlign w:val="center"/>
          </w:tcPr>
          <w:p w14:paraId="7F426CF0">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w:t>
            </w:r>
          </w:p>
        </w:tc>
        <w:tc>
          <w:tcPr>
            <w:tcW w:w="3448" w:type="dxa"/>
            <w:tcBorders>
              <w:top w:val="single" w:color="000000" w:sz="4" w:space="0"/>
              <w:left w:val="nil"/>
              <w:bottom w:val="single" w:color="000000" w:sz="4" w:space="0"/>
              <w:right w:val="single" w:color="000000" w:sz="4" w:space="0"/>
            </w:tcBorders>
            <w:noWrap w:val="0"/>
            <w:vAlign w:val="center"/>
          </w:tcPr>
          <w:p w14:paraId="06941815">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税金</w:t>
            </w:r>
          </w:p>
        </w:tc>
        <w:tc>
          <w:tcPr>
            <w:tcW w:w="1701" w:type="dxa"/>
            <w:tcBorders>
              <w:top w:val="single" w:color="000000" w:sz="4" w:space="0"/>
              <w:left w:val="nil"/>
              <w:bottom w:val="single" w:color="000000" w:sz="4" w:space="0"/>
              <w:right w:val="single" w:color="000000" w:sz="4" w:space="0"/>
            </w:tcBorders>
            <w:noWrap w:val="0"/>
            <w:vAlign w:val="center"/>
          </w:tcPr>
          <w:p w14:paraId="5B31D35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4" w:space="0"/>
              <w:right w:val="single" w:color="000000" w:sz="8" w:space="0"/>
            </w:tcBorders>
            <w:noWrap w:val="0"/>
            <w:vAlign w:val="center"/>
          </w:tcPr>
          <w:p w14:paraId="297434E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425EA5F">
        <w:tblPrEx>
          <w:tblCellMar>
            <w:top w:w="0" w:type="dxa"/>
            <w:left w:w="108" w:type="dxa"/>
            <w:bottom w:w="0" w:type="dxa"/>
            <w:right w:w="108" w:type="dxa"/>
          </w:tblCellMar>
        </w:tblPrEx>
        <w:trPr>
          <w:trHeight w:val="680" w:hRule="atLeast"/>
        </w:trPr>
        <w:tc>
          <w:tcPr>
            <w:tcW w:w="4268" w:type="dxa"/>
            <w:gridSpan w:val="2"/>
            <w:tcBorders>
              <w:top w:val="single" w:color="000000" w:sz="4" w:space="0"/>
              <w:left w:val="single" w:color="000000" w:sz="8" w:space="0"/>
              <w:bottom w:val="single" w:color="000000" w:sz="8" w:space="0"/>
              <w:right w:val="single" w:color="000000" w:sz="4" w:space="0"/>
            </w:tcBorders>
            <w:noWrap w:val="0"/>
            <w:vAlign w:val="center"/>
          </w:tcPr>
          <w:p w14:paraId="0E6A5DE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工程造价=1+2+3+4+5</w:t>
            </w:r>
          </w:p>
        </w:tc>
        <w:tc>
          <w:tcPr>
            <w:tcW w:w="1701" w:type="dxa"/>
            <w:tcBorders>
              <w:top w:val="single" w:color="000000" w:sz="4" w:space="0"/>
              <w:left w:val="nil"/>
              <w:bottom w:val="single" w:color="000000" w:sz="8" w:space="0"/>
              <w:right w:val="single" w:color="000000" w:sz="4" w:space="0"/>
            </w:tcBorders>
            <w:noWrap w:val="0"/>
            <w:vAlign w:val="center"/>
          </w:tcPr>
          <w:p w14:paraId="3B2B1105">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977" w:type="dxa"/>
            <w:tcBorders>
              <w:top w:val="single" w:color="000000" w:sz="4" w:space="0"/>
              <w:left w:val="nil"/>
              <w:bottom w:val="single" w:color="000000" w:sz="8" w:space="0"/>
              <w:right w:val="single" w:color="000000" w:sz="8" w:space="0"/>
            </w:tcBorders>
            <w:noWrap w:val="0"/>
            <w:vAlign w:val="center"/>
          </w:tcPr>
          <w:p w14:paraId="320C95E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565354BA">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bookmarkStart w:id="1696" w:name="_Toc460660242"/>
      <w:bookmarkStart w:id="1697" w:name="_Toc460227127"/>
    </w:p>
    <w:p w14:paraId="009F2A15">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698" w:name="_Toc15807"/>
      <w:bookmarkStart w:id="1699" w:name="_Toc20986"/>
      <w:bookmarkStart w:id="1700" w:name="_Toc23864"/>
      <w:bookmarkStart w:id="1701" w:name="_Toc6390"/>
      <w:bookmarkStart w:id="1702" w:name="_Toc12527"/>
      <w:bookmarkStart w:id="1703" w:name="_Toc4636"/>
      <w:bookmarkStart w:id="1704" w:name="_Toc6747"/>
      <w:bookmarkStart w:id="1705" w:name="_Toc879"/>
      <w:r>
        <w:rPr>
          <w:rStyle w:val="73"/>
          <w:rFonts w:hint="eastAsia" w:ascii="Times New Roman" w:hAnsi="Times New Roman"/>
          <w:smallCaps w:val="0"/>
          <w:color w:val="000000" w:themeColor="text1"/>
          <w:highlight w:val="none"/>
          <w14:textFill>
            <w14:solidFill>
              <w14:schemeClr w14:val="tx1"/>
            </w14:solidFill>
          </w14:textFill>
        </w:rPr>
        <w:t>（五）</w:t>
      </w:r>
      <w:bookmarkEnd w:id="1696"/>
      <w:bookmarkEnd w:id="1697"/>
      <w:r>
        <w:rPr>
          <w:rStyle w:val="73"/>
          <w:rFonts w:hint="eastAsia" w:ascii="Times New Roman" w:hAnsi="Times New Roman"/>
          <w:smallCaps w:val="0"/>
          <w:color w:val="000000" w:themeColor="text1"/>
          <w:highlight w:val="none"/>
          <w14:textFill>
            <w14:solidFill>
              <w14:schemeClr w14:val="tx1"/>
            </w14:solidFill>
          </w14:textFill>
        </w:rPr>
        <w:t>分部分项工程量清单计价表</w:t>
      </w:r>
      <w:bookmarkEnd w:id="1698"/>
      <w:bookmarkEnd w:id="1699"/>
      <w:bookmarkEnd w:id="1700"/>
      <w:bookmarkEnd w:id="1701"/>
      <w:bookmarkEnd w:id="1702"/>
      <w:bookmarkEnd w:id="1703"/>
      <w:bookmarkEnd w:id="1704"/>
      <w:bookmarkEnd w:id="1705"/>
    </w:p>
    <w:p w14:paraId="602605D9">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4986" w:type="pct"/>
        <w:tblInd w:w="0" w:type="dxa"/>
        <w:tblLayout w:type="autofit"/>
        <w:tblCellMar>
          <w:top w:w="0" w:type="dxa"/>
          <w:left w:w="108" w:type="dxa"/>
          <w:bottom w:w="0" w:type="dxa"/>
          <w:right w:w="108" w:type="dxa"/>
        </w:tblCellMar>
      </w:tblPr>
      <w:tblGrid>
        <w:gridCol w:w="427"/>
        <w:gridCol w:w="1059"/>
        <w:gridCol w:w="1059"/>
        <w:gridCol w:w="924"/>
        <w:gridCol w:w="750"/>
        <w:gridCol w:w="792"/>
        <w:gridCol w:w="726"/>
        <w:gridCol w:w="873"/>
        <w:gridCol w:w="913"/>
        <w:gridCol w:w="847"/>
        <w:gridCol w:w="779"/>
      </w:tblGrid>
      <w:tr w14:paraId="42F889EC">
        <w:tblPrEx>
          <w:tblCellMar>
            <w:top w:w="0" w:type="dxa"/>
            <w:left w:w="108" w:type="dxa"/>
            <w:bottom w:w="0" w:type="dxa"/>
            <w:right w:w="108" w:type="dxa"/>
          </w:tblCellMar>
        </w:tblPrEx>
        <w:trPr>
          <w:trHeight w:val="263" w:hRule="atLeast"/>
        </w:trPr>
        <w:tc>
          <w:tcPr>
            <w:tcW w:w="233" w:type="pct"/>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4CE38C5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579"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3D35657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项目编码</w:t>
            </w:r>
          </w:p>
        </w:tc>
        <w:tc>
          <w:tcPr>
            <w:tcW w:w="579"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5AD670A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505"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3555A28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项目特征描述</w:t>
            </w:r>
          </w:p>
        </w:tc>
        <w:tc>
          <w:tcPr>
            <w:tcW w:w="410"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3F441EA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计量单位</w:t>
            </w:r>
          </w:p>
        </w:tc>
        <w:tc>
          <w:tcPr>
            <w:tcW w:w="433"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1D7F31F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工程量</w:t>
            </w:r>
          </w:p>
        </w:tc>
        <w:tc>
          <w:tcPr>
            <w:tcW w:w="2261" w:type="pct"/>
            <w:gridSpan w:val="5"/>
            <w:tcBorders>
              <w:top w:val="single" w:color="000000" w:sz="8" w:space="0"/>
              <w:left w:val="nil"/>
              <w:bottom w:val="single" w:color="000000" w:sz="4" w:space="0"/>
              <w:right w:val="single" w:color="000000" w:sz="8" w:space="0"/>
            </w:tcBorders>
            <w:shd w:val="clear" w:color="FFFFFF" w:fill="FFFFFF"/>
            <w:noWrap w:val="0"/>
            <w:vAlign w:val="center"/>
          </w:tcPr>
          <w:p w14:paraId="110A0D6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金额（元）</w:t>
            </w:r>
          </w:p>
        </w:tc>
      </w:tr>
      <w:tr w14:paraId="3AB28A9C">
        <w:tblPrEx>
          <w:tblCellMar>
            <w:top w:w="0" w:type="dxa"/>
            <w:left w:w="108" w:type="dxa"/>
            <w:bottom w:w="0" w:type="dxa"/>
            <w:right w:w="108" w:type="dxa"/>
          </w:tblCellMar>
        </w:tblPrEx>
        <w:trPr>
          <w:trHeight w:val="263" w:hRule="atLeast"/>
        </w:trPr>
        <w:tc>
          <w:tcPr>
            <w:tcW w:w="233" w:type="pct"/>
            <w:vMerge w:val="continue"/>
            <w:tcBorders>
              <w:top w:val="single" w:color="000000" w:sz="8" w:space="0"/>
              <w:left w:val="single" w:color="000000" w:sz="8" w:space="0"/>
              <w:bottom w:val="single" w:color="000000" w:sz="4" w:space="0"/>
              <w:right w:val="single" w:color="000000" w:sz="4" w:space="0"/>
            </w:tcBorders>
            <w:shd w:val="clear" w:color="auto" w:fill="auto"/>
            <w:noWrap w:val="0"/>
            <w:vAlign w:val="center"/>
          </w:tcPr>
          <w:p w14:paraId="3A77F94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9"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0AC0D25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9"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54586F2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05"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108AF61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10"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539B060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33"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1A96D8A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397"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94AF61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综合单价</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321D20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合价</w:t>
            </w:r>
          </w:p>
        </w:tc>
        <w:tc>
          <w:tcPr>
            <w:tcW w:w="1388" w:type="pct"/>
            <w:gridSpan w:val="3"/>
            <w:tcBorders>
              <w:top w:val="single" w:color="000000" w:sz="4" w:space="0"/>
              <w:left w:val="nil"/>
              <w:bottom w:val="single" w:color="000000" w:sz="4" w:space="0"/>
              <w:right w:val="single" w:color="000000" w:sz="8" w:space="0"/>
            </w:tcBorders>
            <w:shd w:val="clear" w:color="FFFFFF" w:fill="FFFFFF"/>
            <w:noWrap w:val="0"/>
            <w:vAlign w:val="center"/>
          </w:tcPr>
          <w:p w14:paraId="1615602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其中</w:t>
            </w:r>
          </w:p>
        </w:tc>
      </w:tr>
      <w:tr w14:paraId="305EB080">
        <w:tblPrEx>
          <w:tblCellMar>
            <w:top w:w="0" w:type="dxa"/>
            <w:left w:w="108" w:type="dxa"/>
            <w:bottom w:w="0" w:type="dxa"/>
            <w:right w:w="108" w:type="dxa"/>
          </w:tblCellMar>
        </w:tblPrEx>
        <w:trPr>
          <w:trHeight w:val="499" w:hRule="atLeast"/>
        </w:trPr>
        <w:tc>
          <w:tcPr>
            <w:tcW w:w="233" w:type="pct"/>
            <w:vMerge w:val="continue"/>
            <w:tcBorders>
              <w:top w:val="single" w:color="000000" w:sz="8" w:space="0"/>
              <w:left w:val="single" w:color="000000" w:sz="8" w:space="0"/>
              <w:bottom w:val="single" w:color="000000" w:sz="4" w:space="0"/>
              <w:right w:val="single" w:color="000000" w:sz="4" w:space="0"/>
            </w:tcBorders>
            <w:shd w:val="clear" w:color="auto" w:fill="auto"/>
            <w:noWrap w:val="0"/>
            <w:vAlign w:val="center"/>
          </w:tcPr>
          <w:p w14:paraId="103386D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9"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25B152F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79"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371F1F2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05"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730F4F4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10"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343CDC1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33" w:type="pct"/>
            <w:vMerge w:val="continue"/>
            <w:tcBorders>
              <w:top w:val="single" w:color="000000" w:sz="8" w:space="0"/>
              <w:left w:val="single" w:color="000000" w:sz="4" w:space="0"/>
              <w:bottom w:val="single" w:color="000000" w:sz="4" w:space="0"/>
              <w:right w:val="single" w:color="000000" w:sz="4" w:space="0"/>
            </w:tcBorders>
            <w:shd w:val="clear" w:color="auto" w:fill="auto"/>
            <w:noWrap w:val="0"/>
            <w:vAlign w:val="center"/>
          </w:tcPr>
          <w:p w14:paraId="7411EF3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7E88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2E9F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99" w:type="pct"/>
            <w:tcBorders>
              <w:top w:val="nil"/>
              <w:left w:val="nil"/>
              <w:bottom w:val="single" w:color="000000" w:sz="4" w:space="0"/>
              <w:right w:val="single" w:color="000000" w:sz="4" w:space="0"/>
            </w:tcBorders>
            <w:shd w:val="clear" w:color="FFFFFF" w:fill="FFFFFF"/>
            <w:noWrap w:val="0"/>
            <w:vAlign w:val="center"/>
          </w:tcPr>
          <w:p w14:paraId="0C8A283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定额人工费</w:t>
            </w:r>
          </w:p>
        </w:tc>
        <w:tc>
          <w:tcPr>
            <w:tcW w:w="463" w:type="pct"/>
            <w:tcBorders>
              <w:top w:val="nil"/>
              <w:left w:val="nil"/>
              <w:bottom w:val="single" w:color="000000" w:sz="4" w:space="0"/>
              <w:right w:val="single" w:color="000000" w:sz="4" w:space="0"/>
            </w:tcBorders>
            <w:shd w:val="clear" w:color="FFFFFF" w:fill="FFFFFF"/>
            <w:noWrap w:val="0"/>
            <w:vAlign w:val="center"/>
          </w:tcPr>
          <w:p w14:paraId="30D6E59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定额机械费</w:t>
            </w:r>
          </w:p>
        </w:tc>
        <w:tc>
          <w:tcPr>
            <w:tcW w:w="425" w:type="pct"/>
            <w:tcBorders>
              <w:top w:val="nil"/>
              <w:left w:val="nil"/>
              <w:bottom w:val="single" w:color="000000" w:sz="4" w:space="0"/>
              <w:right w:val="single" w:color="000000" w:sz="8" w:space="0"/>
            </w:tcBorders>
            <w:shd w:val="clear" w:color="FFFFFF" w:fill="FFFFFF"/>
            <w:noWrap w:val="0"/>
            <w:vAlign w:val="center"/>
          </w:tcPr>
          <w:p w14:paraId="6C7580E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暂估价</w:t>
            </w:r>
          </w:p>
        </w:tc>
      </w:tr>
      <w:tr w14:paraId="6D9BC5F9">
        <w:tblPrEx>
          <w:tblCellMar>
            <w:top w:w="0" w:type="dxa"/>
            <w:left w:w="108" w:type="dxa"/>
            <w:bottom w:w="0" w:type="dxa"/>
            <w:right w:w="108" w:type="dxa"/>
          </w:tblCellMar>
        </w:tblPrEx>
        <w:trPr>
          <w:trHeight w:val="567" w:hRule="atLeast"/>
        </w:trPr>
        <w:tc>
          <w:tcPr>
            <w:tcW w:w="233" w:type="pct"/>
            <w:tcBorders>
              <w:top w:val="nil"/>
              <w:left w:val="single" w:color="000000" w:sz="8" w:space="0"/>
              <w:bottom w:val="single" w:color="000000" w:sz="4" w:space="0"/>
              <w:right w:val="single" w:color="000000" w:sz="4" w:space="0"/>
            </w:tcBorders>
            <w:noWrap w:val="0"/>
            <w:vAlign w:val="center"/>
          </w:tcPr>
          <w:p w14:paraId="67CBEDC4">
            <w:pPr>
              <w:keepNext w:val="0"/>
              <w:keepLines w:val="0"/>
              <w:pageBreakBefore w:val="0"/>
              <w:widowControl/>
              <w:suppressLineNumbers w:val="0"/>
              <w:kinsoku/>
              <w:wordWrap w:val="0"/>
              <w:overflowPunct/>
              <w:bidi w:val="0"/>
              <w:snapToGrid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nil"/>
              <w:left w:val="nil"/>
              <w:bottom w:val="single" w:color="000000" w:sz="4" w:space="0"/>
              <w:right w:val="single" w:color="000000" w:sz="4" w:space="0"/>
            </w:tcBorders>
            <w:noWrap w:val="0"/>
            <w:vAlign w:val="center"/>
          </w:tcPr>
          <w:p w14:paraId="58F58BD3">
            <w:pPr>
              <w:keepNext w:val="0"/>
              <w:keepLines w:val="0"/>
              <w:pageBreakBefore w:val="0"/>
              <w:widowControl/>
              <w:suppressLineNumbers w:val="0"/>
              <w:kinsoku/>
              <w:wordWrap w:val="0"/>
              <w:overflowPunct/>
              <w:bidi w:val="0"/>
              <w:snapToGrid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nil"/>
              <w:left w:val="nil"/>
              <w:bottom w:val="single" w:color="000000" w:sz="4" w:space="0"/>
              <w:right w:val="single" w:color="000000" w:sz="4" w:space="0"/>
            </w:tcBorders>
            <w:noWrap w:val="0"/>
            <w:vAlign w:val="center"/>
          </w:tcPr>
          <w:p w14:paraId="0A8A0636">
            <w:pPr>
              <w:keepNext w:val="0"/>
              <w:keepLines w:val="0"/>
              <w:pageBreakBefore w:val="0"/>
              <w:widowControl/>
              <w:suppressLineNumbers w:val="0"/>
              <w:kinsoku/>
              <w:wordWrap w:val="0"/>
              <w:overflowPunct/>
              <w:bidi w:val="0"/>
              <w:snapToGrid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05" w:type="pct"/>
            <w:tcBorders>
              <w:top w:val="single" w:color="000000" w:sz="4" w:space="0"/>
              <w:left w:val="nil"/>
              <w:bottom w:val="single" w:color="000000" w:sz="4" w:space="0"/>
              <w:right w:val="single" w:color="000000" w:sz="4" w:space="0"/>
            </w:tcBorders>
            <w:noWrap w:val="0"/>
            <w:vAlign w:val="center"/>
          </w:tcPr>
          <w:p w14:paraId="723F97DF">
            <w:pPr>
              <w:keepNext w:val="0"/>
              <w:keepLines w:val="0"/>
              <w:pageBreakBefore w:val="0"/>
              <w:widowControl/>
              <w:suppressLineNumbers w:val="0"/>
              <w:kinsoku/>
              <w:wordWrap w:val="0"/>
              <w:overflowPunct/>
              <w:bidi w:val="0"/>
              <w:snapToGrid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10" w:type="pct"/>
            <w:tcBorders>
              <w:top w:val="nil"/>
              <w:left w:val="nil"/>
              <w:bottom w:val="single" w:color="000000" w:sz="4" w:space="0"/>
              <w:right w:val="single" w:color="000000" w:sz="4" w:space="0"/>
            </w:tcBorders>
            <w:noWrap w:val="0"/>
            <w:vAlign w:val="center"/>
          </w:tcPr>
          <w:p w14:paraId="716BADF1">
            <w:pPr>
              <w:keepNext w:val="0"/>
              <w:keepLines w:val="0"/>
              <w:pageBreakBefore w:val="0"/>
              <w:widowControl/>
              <w:suppressLineNumbers w:val="0"/>
              <w:kinsoku/>
              <w:wordWrap w:val="0"/>
              <w:overflowPunct/>
              <w:bidi w:val="0"/>
              <w:snapToGrid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3" w:type="pct"/>
            <w:tcBorders>
              <w:top w:val="nil"/>
              <w:left w:val="nil"/>
              <w:bottom w:val="single" w:color="000000" w:sz="4" w:space="0"/>
              <w:right w:val="single" w:color="000000" w:sz="4" w:space="0"/>
            </w:tcBorders>
            <w:noWrap w:val="0"/>
            <w:vAlign w:val="center"/>
          </w:tcPr>
          <w:p w14:paraId="76CA9CB9">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97" w:type="pct"/>
            <w:tcBorders>
              <w:top w:val="single" w:color="000000" w:sz="4" w:space="0"/>
              <w:left w:val="nil"/>
              <w:bottom w:val="single" w:color="000000" w:sz="4" w:space="0"/>
              <w:right w:val="single" w:color="000000" w:sz="4" w:space="0"/>
            </w:tcBorders>
            <w:noWrap w:val="0"/>
            <w:vAlign w:val="center"/>
          </w:tcPr>
          <w:p w14:paraId="178E9ABE">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77" w:type="pct"/>
            <w:tcBorders>
              <w:top w:val="single" w:color="000000" w:sz="4" w:space="0"/>
              <w:left w:val="nil"/>
              <w:bottom w:val="single" w:color="000000" w:sz="4" w:space="0"/>
              <w:right w:val="single" w:color="000000" w:sz="4" w:space="0"/>
            </w:tcBorders>
            <w:noWrap w:val="0"/>
            <w:vAlign w:val="center"/>
          </w:tcPr>
          <w:p w14:paraId="40F236E2">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99" w:type="pct"/>
            <w:tcBorders>
              <w:top w:val="nil"/>
              <w:left w:val="nil"/>
              <w:bottom w:val="single" w:color="000000" w:sz="4" w:space="0"/>
              <w:right w:val="single" w:color="000000" w:sz="4" w:space="0"/>
            </w:tcBorders>
            <w:noWrap w:val="0"/>
            <w:vAlign w:val="center"/>
          </w:tcPr>
          <w:p w14:paraId="6559D4F9">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63" w:type="pct"/>
            <w:tcBorders>
              <w:top w:val="nil"/>
              <w:left w:val="nil"/>
              <w:bottom w:val="single" w:color="000000" w:sz="4" w:space="0"/>
              <w:right w:val="single" w:color="000000" w:sz="4" w:space="0"/>
            </w:tcBorders>
            <w:noWrap w:val="0"/>
            <w:vAlign w:val="center"/>
          </w:tcPr>
          <w:p w14:paraId="632CAE59">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25" w:type="pct"/>
            <w:tcBorders>
              <w:top w:val="nil"/>
              <w:left w:val="nil"/>
              <w:bottom w:val="single" w:color="000000" w:sz="4" w:space="0"/>
              <w:right w:val="single" w:color="000000" w:sz="8" w:space="0"/>
            </w:tcBorders>
            <w:noWrap w:val="0"/>
            <w:vAlign w:val="center"/>
          </w:tcPr>
          <w:p w14:paraId="20470595">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9535701">
        <w:tblPrEx>
          <w:tblCellMar>
            <w:top w:w="0" w:type="dxa"/>
            <w:left w:w="108" w:type="dxa"/>
            <w:bottom w:w="0" w:type="dxa"/>
            <w:right w:w="108" w:type="dxa"/>
          </w:tblCellMar>
        </w:tblPrEx>
        <w:trPr>
          <w:trHeight w:val="567" w:hRule="atLeast"/>
        </w:trPr>
        <w:tc>
          <w:tcPr>
            <w:tcW w:w="233" w:type="pct"/>
            <w:tcBorders>
              <w:top w:val="nil"/>
              <w:left w:val="single" w:color="000000" w:sz="8" w:space="0"/>
              <w:bottom w:val="single" w:color="000000" w:sz="4" w:space="0"/>
              <w:right w:val="single" w:color="000000" w:sz="4" w:space="0"/>
            </w:tcBorders>
            <w:noWrap w:val="0"/>
            <w:vAlign w:val="center"/>
          </w:tcPr>
          <w:p w14:paraId="085FD653">
            <w:pPr>
              <w:keepNext w:val="0"/>
              <w:keepLines w:val="0"/>
              <w:pageBreakBefore w:val="0"/>
              <w:widowControl/>
              <w:suppressLineNumbers w:val="0"/>
              <w:kinsoku/>
              <w:wordWrap w:val="0"/>
              <w:overflowPunct/>
              <w:bidi w:val="0"/>
              <w:snapToGrid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nil"/>
              <w:left w:val="nil"/>
              <w:bottom w:val="single" w:color="000000" w:sz="4" w:space="0"/>
              <w:right w:val="single" w:color="000000" w:sz="4" w:space="0"/>
            </w:tcBorders>
            <w:noWrap w:val="0"/>
            <w:vAlign w:val="center"/>
          </w:tcPr>
          <w:p w14:paraId="204A8A55">
            <w:pPr>
              <w:keepNext w:val="0"/>
              <w:keepLines w:val="0"/>
              <w:pageBreakBefore w:val="0"/>
              <w:widowControl/>
              <w:suppressLineNumbers w:val="0"/>
              <w:kinsoku/>
              <w:wordWrap w:val="0"/>
              <w:overflowPunct/>
              <w:bidi w:val="0"/>
              <w:snapToGrid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nil"/>
              <w:left w:val="nil"/>
              <w:bottom w:val="single" w:color="000000" w:sz="4" w:space="0"/>
              <w:right w:val="single" w:color="000000" w:sz="4" w:space="0"/>
            </w:tcBorders>
            <w:noWrap w:val="0"/>
            <w:vAlign w:val="center"/>
          </w:tcPr>
          <w:p w14:paraId="7518D10A">
            <w:pPr>
              <w:keepNext w:val="0"/>
              <w:keepLines w:val="0"/>
              <w:pageBreakBefore w:val="0"/>
              <w:widowControl/>
              <w:suppressLineNumbers w:val="0"/>
              <w:kinsoku/>
              <w:wordWrap w:val="0"/>
              <w:overflowPunct/>
              <w:bidi w:val="0"/>
              <w:snapToGrid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05" w:type="pct"/>
            <w:tcBorders>
              <w:top w:val="single" w:color="000000" w:sz="4" w:space="0"/>
              <w:left w:val="nil"/>
              <w:bottom w:val="single" w:color="000000" w:sz="4" w:space="0"/>
              <w:right w:val="single" w:color="000000" w:sz="4" w:space="0"/>
            </w:tcBorders>
            <w:noWrap w:val="0"/>
            <w:vAlign w:val="center"/>
          </w:tcPr>
          <w:p w14:paraId="0A4FC003">
            <w:pPr>
              <w:keepNext w:val="0"/>
              <w:keepLines w:val="0"/>
              <w:pageBreakBefore w:val="0"/>
              <w:widowControl/>
              <w:suppressLineNumbers w:val="0"/>
              <w:kinsoku/>
              <w:wordWrap w:val="0"/>
              <w:overflowPunct/>
              <w:bidi w:val="0"/>
              <w:snapToGrid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10" w:type="pct"/>
            <w:tcBorders>
              <w:top w:val="nil"/>
              <w:left w:val="nil"/>
              <w:bottom w:val="single" w:color="000000" w:sz="4" w:space="0"/>
              <w:right w:val="single" w:color="000000" w:sz="4" w:space="0"/>
            </w:tcBorders>
            <w:noWrap w:val="0"/>
            <w:vAlign w:val="center"/>
          </w:tcPr>
          <w:p w14:paraId="43B84538">
            <w:pPr>
              <w:keepNext w:val="0"/>
              <w:keepLines w:val="0"/>
              <w:pageBreakBefore w:val="0"/>
              <w:widowControl/>
              <w:suppressLineNumbers w:val="0"/>
              <w:kinsoku/>
              <w:wordWrap w:val="0"/>
              <w:overflowPunct/>
              <w:bidi w:val="0"/>
              <w:snapToGrid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3" w:type="pct"/>
            <w:tcBorders>
              <w:top w:val="nil"/>
              <w:left w:val="nil"/>
              <w:bottom w:val="single" w:color="000000" w:sz="4" w:space="0"/>
              <w:right w:val="single" w:color="000000" w:sz="4" w:space="0"/>
            </w:tcBorders>
            <w:noWrap w:val="0"/>
            <w:vAlign w:val="center"/>
          </w:tcPr>
          <w:p w14:paraId="346E15AF">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97" w:type="pct"/>
            <w:tcBorders>
              <w:top w:val="single" w:color="000000" w:sz="4" w:space="0"/>
              <w:left w:val="nil"/>
              <w:bottom w:val="single" w:color="000000" w:sz="4" w:space="0"/>
              <w:right w:val="single" w:color="000000" w:sz="4" w:space="0"/>
            </w:tcBorders>
            <w:noWrap w:val="0"/>
            <w:vAlign w:val="center"/>
          </w:tcPr>
          <w:p w14:paraId="5EE0EE2B">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77" w:type="pct"/>
            <w:tcBorders>
              <w:top w:val="single" w:color="000000" w:sz="4" w:space="0"/>
              <w:left w:val="nil"/>
              <w:bottom w:val="single" w:color="000000" w:sz="4" w:space="0"/>
              <w:right w:val="single" w:color="000000" w:sz="4" w:space="0"/>
            </w:tcBorders>
            <w:noWrap w:val="0"/>
            <w:vAlign w:val="center"/>
          </w:tcPr>
          <w:p w14:paraId="7E85BB40">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99" w:type="pct"/>
            <w:tcBorders>
              <w:top w:val="nil"/>
              <w:left w:val="nil"/>
              <w:bottom w:val="single" w:color="000000" w:sz="4" w:space="0"/>
              <w:right w:val="single" w:color="000000" w:sz="4" w:space="0"/>
            </w:tcBorders>
            <w:noWrap w:val="0"/>
            <w:vAlign w:val="center"/>
          </w:tcPr>
          <w:p w14:paraId="172A471A">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63" w:type="pct"/>
            <w:tcBorders>
              <w:top w:val="nil"/>
              <w:left w:val="nil"/>
              <w:bottom w:val="single" w:color="000000" w:sz="4" w:space="0"/>
              <w:right w:val="single" w:color="000000" w:sz="4" w:space="0"/>
            </w:tcBorders>
            <w:noWrap w:val="0"/>
            <w:vAlign w:val="center"/>
          </w:tcPr>
          <w:p w14:paraId="0A1B7491">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25" w:type="pct"/>
            <w:tcBorders>
              <w:top w:val="nil"/>
              <w:left w:val="nil"/>
              <w:bottom w:val="single" w:color="000000" w:sz="4" w:space="0"/>
              <w:right w:val="single" w:color="000000" w:sz="8" w:space="0"/>
            </w:tcBorders>
            <w:noWrap w:val="0"/>
            <w:vAlign w:val="center"/>
          </w:tcPr>
          <w:p w14:paraId="7C948BBA">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7931304">
        <w:tblPrEx>
          <w:tblCellMar>
            <w:top w:w="0" w:type="dxa"/>
            <w:left w:w="108" w:type="dxa"/>
            <w:bottom w:w="0" w:type="dxa"/>
            <w:right w:w="108" w:type="dxa"/>
          </w:tblCellMar>
        </w:tblPrEx>
        <w:trPr>
          <w:trHeight w:val="567" w:hRule="atLeast"/>
        </w:trPr>
        <w:tc>
          <w:tcPr>
            <w:tcW w:w="233" w:type="pct"/>
            <w:tcBorders>
              <w:top w:val="nil"/>
              <w:left w:val="single" w:color="000000" w:sz="8" w:space="0"/>
              <w:bottom w:val="single" w:color="000000" w:sz="4" w:space="0"/>
              <w:right w:val="single" w:color="000000" w:sz="4" w:space="0"/>
            </w:tcBorders>
            <w:noWrap w:val="0"/>
            <w:vAlign w:val="center"/>
          </w:tcPr>
          <w:p w14:paraId="05B4C241">
            <w:pPr>
              <w:keepNext w:val="0"/>
              <w:keepLines w:val="0"/>
              <w:pageBreakBefore w:val="0"/>
              <w:widowControl/>
              <w:suppressLineNumbers w:val="0"/>
              <w:kinsoku/>
              <w:wordWrap w:val="0"/>
              <w:overflowPunct/>
              <w:bidi w:val="0"/>
              <w:snapToGrid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nil"/>
              <w:left w:val="nil"/>
              <w:bottom w:val="single" w:color="000000" w:sz="4" w:space="0"/>
              <w:right w:val="single" w:color="000000" w:sz="4" w:space="0"/>
            </w:tcBorders>
            <w:noWrap w:val="0"/>
            <w:vAlign w:val="center"/>
          </w:tcPr>
          <w:p w14:paraId="40774224">
            <w:pPr>
              <w:keepNext w:val="0"/>
              <w:keepLines w:val="0"/>
              <w:pageBreakBefore w:val="0"/>
              <w:widowControl/>
              <w:suppressLineNumbers w:val="0"/>
              <w:kinsoku/>
              <w:wordWrap w:val="0"/>
              <w:overflowPunct/>
              <w:bidi w:val="0"/>
              <w:snapToGrid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nil"/>
              <w:left w:val="nil"/>
              <w:bottom w:val="single" w:color="000000" w:sz="4" w:space="0"/>
              <w:right w:val="single" w:color="000000" w:sz="4" w:space="0"/>
            </w:tcBorders>
            <w:noWrap w:val="0"/>
            <w:vAlign w:val="center"/>
          </w:tcPr>
          <w:p w14:paraId="14F16366">
            <w:pPr>
              <w:keepNext w:val="0"/>
              <w:keepLines w:val="0"/>
              <w:pageBreakBefore w:val="0"/>
              <w:widowControl/>
              <w:suppressLineNumbers w:val="0"/>
              <w:kinsoku/>
              <w:wordWrap w:val="0"/>
              <w:overflowPunct/>
              <w:bidi w:val="0"/>
              <w:snapToGrid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05" w:type="pct"/>
            <w:tcBorders>
              <w:top w:val="single" w:color="000000" w:sz="4" w:space="0"/>
              <w:left w:val="nil"/>
              <w:bottom w:val="single" w:color="000000" w:sz="4" w:space="0"/>
              <w:right w:val="single" w:color="000000" w:sz="4" w:space="0"/>
            </w:tcBorders>
            <w:noWrap w:val="0"/>
            <w:vAlign w:val="center"/>
          </w:tcPr>
          <w:p w14:paraId="6CCA5EA3">
            <w:pPr>
              <w:keepNext w:val="0"/>
              <w:keepLines w:val="0"/>
              <w:pageBreakBefore w:val="0"/>
              <w:widowControl/>
              <w:suppressLineNumbers w:val="0"/>
              <w:kinsoku/>
              <w:wordWrap w:val="0"/>
              <w:overflowPunct/>
              <w:bidi w:val="0"/>
              <w:snapToGrid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10" w:type="pct"/>
            <w:tcBorders>
              <w:top w:val="nil"/>
              <w:left w:val="nil"/>
              <w:bottom w:val="single" w:color="000000" w:sz="4" w:space="0"/>
              <w:right w:val="single" w:color="000000" w:sz="4" w:space="0"/>
            </w:tcBorders>
            <w:noWrap w:val="0"/>
            <w:vAlign w:val="center"/>
          </w:tcPr>
          <w:p w14:paraId="0742D45A">
            <w:pPr>
              <w:keepNext w:val="0"/>
              <w:keepLines w:val="0"/>
              <w:pageBreakBefore w:val="0"/>
              <w:widowControl/>
              <w:suppressLineNumbers w:val="0"/>
              <w:kinsoku/>
              <w:wordWrap w:val="0"/>
              <w:overflowPunct/>
              <w:bidi w:val="0"/>
              <w:snapToGrid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3" w:type="pct"/>
            <w:tcBorders>
              <w:top w:val="nil"/>
              <w:left w:val="nil"/>
              <w:bottom w:val="single" w:color="000000" w:sz="4" w:space="0"/>
              <w:right w:val="single" w:color="000000" w:sz="4" w:space="0"/>
            </w:tcBorders>
            <w:noWrap w:val="0"/>
            <w:vAlign w:val="center"/>
          </w:tcPr>
          <w:p w14:paraId="2CEE07B3">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97" w:type="pct"/>
            <w:tcBorders>
              <w:top w:val="single" w:color="000000" w:sz="4" w:space="0"/>
              <w:left w:val="nil"/>
              <w:bottom w:val="single" w:color="000000" w:sz="4" w:space="0"/>
              <w:right w:val="single" w:color="000000" w:sz="4" w:space="0"/>
            </w:tcBorders>
            <w:noWrap w:val="0"/>
            <w:vAlign w:val="center"/>
          </w:tcPr>
          <w:p w14:paraId="4D5D64C6">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77" w:type="pct"/>
            <w:tcBorders>
              <w:top w:val="single" w:color="000000" w:sz="4" w:space="0"/>
              <w:left w:val="nil"/>
              <w:bottom w:val="single" w:color="000000" w:sz="4" w:space="0"/>
              <w:right w:val="single" w:color="000000" w:sz="4" w:space="0"/>
            </w:tcBorders>
            <w:noWrap w:val="0"/>
            <w:vAlign w:val="center"/>
          </w:tcPr>
          <w:p w14:paraId="7DB7F3B2">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99" w:type="pct"/>
            <w:tcBorders>
              <w:top w:val="nil"/>
              <w:left w:val="nil"/>
              <w:bottom w:val="single" w:color="000000" w:sz="4" w:space="0"/>
              <w:right w:val="single" w:color="000000" w:sz="4" w:space="0"/>
            </w:tcBorders>
            <w:noWrap w:val="0"/>
            <w:vAlign w:val="center"/>
          </w:tcPr>
          <w:p w14:paraId="5DF6EF73">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63" w:type="pct"/>
            <w:tcBorders>
              <w:top w:val="nil"/>
              <w:left w:val="nil"/>
              <w:bottom w:val="single" w:color="000000" w:sz="4" w:space="0"/>
              <w:right w:val="single" w:color="000000" w:sz="4" w:space="0"/>
            </w:tcBorders>
            <w:noWrap w:val="0"/>
            <w:vAlign w:val="center"/>
          </w:tcPr>
          <w:p w14:paraId="0168FA7A">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25" w:type="pct"/>
            <w:tcBorders>
              <w:top w:val="nil"/>
              <w:left w:val="nil"/>
              <w:bottom w:val="single" w:color="000000" w:sz="4" w:space="0"/>
              <w:right w:val="single" w:color="000000" w:sz="8" w:space="0"/>
            </w:tcBorders>
            <w:noWrap w:val="0"/>
            <w:vAlign w:val="center"/>
          </w:tcPr>
          <w:p w14:paraId="2602F0DE">
            <w:pPr>
              <w:keepNext w:val="0"/>
              <w:keepLines w:val="0"/>
              <w:pageBreakBefore w:val="0"/>
              <w:widowControl/>
              <w:suppressLineNumbers w:val="0"/>
              <w:kinsoku/>
              <w:wordWrap w:val="0"/>
              <w:overflowPunct/>
              <w:bidi w:val="0"/>
              <w:snapToGrid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2BE2506A">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bookmarkStart w:id="1706" w:name="_Toc460227128"/>
      <w:bookmarkStart w:id="1707" w:name="_Toc460660243"/>
    </w:p>
    <w:p w14:paraId="34EAE27B">
      <w:pPr>
        <w:pageBreakBefore w:val="0"/>
        <w:kinsoku/>
        <w:wordWrap w:val="0"/>
        <w:overflowPunct/>
        <w:bidi w:val="0"/>
        <w:rPr>
          <w:rStyle w:val="73"/>
          <w:rFonts w:hint="eastAsia" w:ascii="Times New Roman" w:hAnsi="Times New Roman"/>
          <w:smallCaps w:val="0"/>
          <w:color w:val="000000" w:themeColor="text1"/>
          <w:highlight w:val="none"/>
          <w14:textFill>
            <w14:solidFill>
              <w14:schemeClr w14:val="tx1"/>
            </w14:solidFill>
          </w14:textFill>
        </w:rPr>
      </w:pPr>
      <w:bookmarkStart w:id="1708" w:name="_Toc25639"/>
      <w:bookmarkStart w:id="1709" w:name="_Toc12041"/>
      <w:bookmarkStart w:id="1710" w:name="_Toc5045"/>
      <w:bookmarkStart w:id="1711" w:name="_Toc14456"/>
      <w:bookmarkStart w:id="1712" w:name="_Toc6657"/>
      <w:bookmarkStart w:id="1713" w:name="_Toc23367"/>
      <w:bookmarkStart w:id="1714" w:name="_Toc19199"/>
      <w:bookmarkStart w:id="1715" w:name="_Toc19720"/>
      <w:r>
        <w:rPr>
          <w:rStyle w:val="73"/>
          <w:rFonts w:hint="eastAsia" w:ascii="Times New Roman" w:hAnsi="Times New Roman"/>
          <w:smallCaps w:val="0"/>
          <w:color w:val="000000" w:themeColor="text1"/>
          <w:highlight w:val="none"/>
          <w14:textFill>
            <w14:solidFill>
              <w14:schemeClr w14:val="tx1"/>
            </w14:solidFill>
          </w14:textFill>
        </w:rPr>
        <w:br w:type="page"/>
      </w:r>
    </w:p>
    <w:p w14:paraId="699CF5FF">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Style w:val="73"/>
          <w:rFonts w:hint="eastAsia" w:ascii="Times New Roman" w:hAnsi="Times New Roman"/>
          <w:smallCaps w:val="0"/>
          <w:color w:val="000000" w:themeColor="text1"/>
          <w:highlight w:val="none"/>
          <w14:textFill>
            <w14:solidFill>
              <w14:schemeClr w14:val="tx1"/>
            </w14:solidFill>
          </w14:textFill>
        </w:rPr>
        <w:t>（六）</w:t>
      </w:r>
      <w:bookmarkEnd w:id="1706"/>
      <w:bookmarkEnd w:id="1707"/>
      <w:r>
        <w:rPr>
          <w:rStyle w:val="73"/>
          <w:rFonts w:hint="eastAsia" w:ascii="Times New Roman" w:hAnsi="Times New Roman"/>
          <w:smallCaps w:val="0"/>
          <w:color w:val="000000" w:themeColor="text1"/>
          <w:highlight w:val="none"/>
          <w14:textFill>
            <w14:solidFill>
              <w14:schemeClr w14:val="tx1"/>
            </w14:solidFill>
          </w14:textFill>
        </w:rPr>
        <w:t>分部分项工程量清单综合单价分析表</w:t>
      </w:r>
      <w:bookmarkEnd w:id="1708"/>
      <w:bookmarkEnd w:id="1709"/>
      <w:bookmarkEnd w:id="1710"/>
      <w:bookmarkEnd w:id="1711"/>
      <w:bookmarkEnd w:id="1712"/>
      <w:bookmarkEnd w:id="1713"/>
      <w:bookmarkEnd w:id="1714"/>
      <w:bookmarkEnd w:id="1715"/>
    </w:p>
    <w:p w14:paraId="5740E1B5">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408"/>
        <w:gridCol w:w="302"/>
        <w:gridCol w:w="1080"/>
        <w:gridCol w:w="409"/>
        <w:gridCol w:w="603"/>
        <w:gridCol w:w="796"/>
        <w:gridCol w:w="582"/>
        <w:gridCol w:w="214"/>
        <w:gridCol w:w="603"/>
        <w:gridCol w:w="193"/>
        <w:gridCol w:w="796"/>
        <w:gridCol w:w="796"/>
        <w:gridCol w:w="211"/>
        <w:gridCol w:w="590"/>
        <w:gridCol w:w="796"/>
        <w:gridCol w:w="796"/>
      </w:tblGrid>
      <w:tr w14:paraId="61F0616D">
        <w:tblPrEx>
          <w:tblCellMar>
            <w:top w:w="0" w:type="dxa"/>
            <w:left w:w="108" w:type="dxa"/>
            <w:bottom w:w="0" w:type="dxa"/>
            <w:right w:w="108" w:type="dxa"/>
          </w:tblCellMar>
        </w:tblPrEx>
        <w:trPr>
          <w:trHeight w:val="515" w:hRule="atLeast"/>
        </w:trPr>
        <w:tc>
          <w:tcPr>
            <w:tcW w:w="386" w:type="pct"/>
            <w:gridSpan w:val="2"/>
            <w:tcBorders>
              <w:top w:val="single" w:color="000000" w:sz="8" w:space="0"/>
              <w:left w:val="single" w:color="000000" w:sz="8" w:space="0"/>
              <w:bottom w:val="single" w:color="000000" w:sz="4" w:space="0"/>
              <w:right w:val="single" w:color="000000" w:sz="4" w:space="0"/>
            </w:tcBorders>
            <w:noWrap w:val="0"/>
            <w:vAlign w:val="center"/>
          </w:tcPr>
          <w:p w14:paraId="555CC30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项目编码</w:t>
            </w:r>
          </w:p>
        </w:tc>
        <w:tc>
          <w:tcPr>
            <w:tcW w:w="590" w:type="pct"/>
            <w:tcBorders>
              <w:top w:val="single" w:color="000000" w:sz="8" w:space="0"/>
              <w:left w:val="nil"/>
              <w:bottom w:val="single" w:color="000000" w:sz="4" w:space="0"/>
              <w:right w:val="single" w:color="000000" w:sz="4" w:space="0"/>
            </w:tcBorders>
            <w:noWrap w:val="0"/>
            <w:vAlign w:val="center"/>
          </w:tcPr>
          <w:p w14:paraId="6D2A8AF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8" w:type="pct"/>
            <w:gridSpan w:val="2"/>
            <w:tcBorders>
              <w:top w:val="single" w:color="000000" w:sz="8" w:space="0"/>
              <w:left w:val="nil"/>
              <w:bottom w:val="single" w:color="000000" w:sz="4" w:space="0"/>
              <w:right w:val="single" w:color="000000" w:sz="4" w:space="0"/>
            </w:tcBorders>
            <w:noWrap w:val="0"/>
            <w:vAlign w:val="center"/>
          </w:tcPr>
          <w:p w14:paraId="31D03F2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1743" w:type="pct"/>
            <w:gridSpan w:val="6"/>
            <w:tcBorders>
              <w:top w:val="single" w:color="000000" w:sz="8" w:space="0"/>
              <w:left w:val="nil"/>
              <w:bottom w:val="single" w:color="000000" w:sz="4" w:space="0"/>
              <w:right w:val="single" w:color="000000" w:sz="4" w:space="0"/>
            </w:tcBorders>
            <w:noWrap w:val="0"/>
            <w:vAlign w:val="center"/>
          </w:tcPr>
          <w:p w14:paraId="451FC9B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548" w:type="pct"/>
            <w:gridSpan w:val="2"/>
            <w:tcBorders>
              <w:top w:val="single" w:color="000000" w:sz="8" w:space="0"/>
              <w:left w:val="nil"/>
              <w:bottom w:val="single" w:color="000000" w:sz="4" w:space="0"/>
              <w:right w:val="single" w:color="000000" w:sz="4" w:space="0"/>
            </w:tcBorders>
            <w:noWrap w:val="0"/>
            <w:vAlign w:val="center"/>
          </w:tcPr>
          <w:p w14:paraId="3DDBAB6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计量单位</w:t>
            </w:r>
          </w:p>
        </w:tc>
        <w:tc>
          <w:tcPr>
            <w:tcW w:w="323" w:type="pct"/>
            <w:tcBorders>
              <w:top w:val="single" w:color="000000" w:sz="8" w:space="0"/>
              <w:left w:val="nil"/>
              <w:bottom w:val="single" w:color="000000" w:sz="4" w:space="0"/>
              <w:right w:val="single" w:color="000000" w:sz="4" w:space="0"/>
            </w:tcBorders>
            <w:noWrap w:val="0"/>
            <w:vAlign w:val="center"/>
          </w:tcPr>
          <w:p w14:paraId="3D82BDC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31" w:type="pct"/>
            <w:tcBorders>
              <w:top w:val="single" w:color="000000" w:sz="8" w:space="0"/>
              <w:left w:val="nil"/>
              <w:bottom w:val="single" w:color="000000" w:sz="4" w:space="0"/>
              <w:right w:val="single" w:color="000000" w:sz="4" w:space="0"/>
            </w:tcBorders>
            <w:noWrap w:val="0"/>
            <w:vAlign w:val="center"/>
          </w:tcPr>
          <w:p w14:paraId="005E7A6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工程量</w:t>
            </w:r>
          </w:p>
        </w:tc>
        <w:tc>
          <w:tcPr>
            <w:tcW w:w="431" w:type="pct"/>
            <w:tcBorders>
              <w:top w:val="single" w:color="000000" w:sz="8" w:space="0"/>
              <w:left w:val="nil"/>
              <w:bottom w:val="single" w:color="000000" w:sz="4" w:space="0"/>
              <w:right w:val="single" w:color="000000" w:sz="8" w:space="0"/>
            </w:tcBorders>
            <w:noWrap w:val="0"/>
            <w:vAlign w:val="center"/>
          </w:tcPr>
          <w:p w14:paraId="33FD460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6F31B71">
        <w:tblPrEx>
          <w:tblCellMar>
            <w:top w:w="0" w:type="dxa"/>
            <w:left w:w="108" w:type="dxa"/>
            <w:bottom w:w="0" w:type="dxa"/>
            <w:right w:w="108" w:type="dxa"/>
          </w:tblCellMar>
        </w:tblPrEx>
        <w:trPr>
          <w:trHeight w:val="567" w:hRule="atLeast"/>
        </w:trPr>
        <w:tc>
          <w:tcPr>
            <w:tcW w:w="5000" w:type="pct"/>
            <w:gridSpan w:val="16"/>
            <w:tcBorders>
              <w:top w:val="single" w:color="000000" w:sz="4" w:space="0"/>
              <w:left w:val="single" w:color="000000" w:sz="8" w:space="0"/>
              <w:bottom w:val="single" w:color="000000" w:sz="4" w:space="0"/>
              <w:right w:val="single" w:color="000000" w:sz="8" w:space="0"/>
            </w:tcBorders>
            <w:noWrap/>
            <w:vAlign w:val="center"/>
          </w:tcPr>
          <w:p w14:paraId="6A0E835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清单综合单价组成明细</w:t>
            </w:r>
          </w:p>
        </w:tc>
      </w:tr>
      <w:tr w14:paraId="0B2CB608">
        <w:tblPrEx>
          <w:tblCellMar>
            <w:top w:w="0" w:type="dxa"/>
            <w:left w:w="108" w:type="dxa"/>
            <w:bottom w:w="0" w:type="dxa"/>
            <w:right w:w="108" w:type="dxa"/>
          </w:tblCellMar>
        </w:tblPrEx>
        <w:trPr>
          <w:trHeight w:val="343" w:hRule="atLeast"/>
        </w:trPr>
        <w:tc>
          <w:tcPr>
            <w:tcW w:w="222" w:type="pct"/>
            <w:vMerge w:val="restart"/>
            <w:tcBorders>
              <w:top w:val="nil"/>
              <w:left w:val="single" w:color="000000" w:sz="8" w:space="0"/>
              <w:bottom w:val="single" w:color="000000" w:sz="4" w:space="0"/>
              <w:right w:val="single" w:color="000000" w:sz="4" w:space="0"/>
            </w:tcBorders>
            <w:noWrap w:val="0"/>
            <w:vAlign w:val="center"/>
          </w:tcPr>
          <w:p w14:paraId="239E641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定额编码</w:t>
            </w:r>
          </w:p>
        </w:tc>
        <w:tc>
          <w:tcPr>
            <w:tcW w:w="754" w:type="pct"/>
            <w:gridSpan w:val="2"/>
            <w:vMerge w:val="restart"/>
            <w:tcBorders>
              <w:top w:val="single" w:color="000000" w:sz="4" w:space="0"/>
              <w:left w:val="single" w:color="000000" w:sz="4" w:space="0"/>
              <w:bottom w:val="single" w:color="000000" w:sz="4" w:space="0"/>
              <w:right w:val="single" w:color="000000" w:sz="4" w:space="0"/>
            </w:tcBorders>
            <w:noWrap/>
            <w:vAlign w:val="center"/>
          </w:tcPr>
          <w:p w14:paraId="7FD8EAD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定额项目名称</w:t>
            </w:r>
          </w:p>
        </w:tc>
        <w:tc>
          <w:tcPr>
            <w:tcW w:w="222" w:type="pct"/>
            <w:vMerge w:val="restart"/>
            <w:tcBorders>
              <w:top w:val="nil"/>
              <w:left w:val="single" w:color="000000" w:sz="4" w:space="0"/>
              <w:bottom w:val="single" w:color="000000" w:sz="4" w:space="0"/>
              <w:right w:val="single" w:color="000000" w:sz="4" w:space="0"/>
            </w:tcBorders>
            <w:noWrap w:val="0"/>
            <w:vAlign w:val="center"/>
          </w:tcPr>
          <w:p w14:paraId="3FA544A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定额单位</w:t>
            </w:r>
          </w:p>
        </w:tc>
        <w:tc>
          <w:tcPr>
            <w:tcW w:w="326" w:type="pct"/>
            <w:vMerge w:val="restart"/>
            <w:tcBorders>
              <w:top w:val="nil"/>
              <w:left w:val="single" w:color="000000" w:sz="4" w:space="0"/>
              <w:bottom w:val="single" w:color="000000" w:sz="4" w:space="0"/>
              <w:right w:val="single" w:color="000000" w:sz="4" w:space="0"/>
            </w:tcBorders>
            <w:noWrap/>
            <w:vAlign w:val="center"/>
          </w:tcPr>
          <w:p w14:paraId="1127C06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1743" w:type="pct"/>
            <w:gridSpan w:val="6"/>
            <w:tcBorders>
              <w:top w:val="single" w:color="000000" w:sz="4" w:space="0"/>
              <w:left w:val="nil"/>
              <w:bottom w:val="single" w:color="000000" w:sz="4" w:space="0"/>
              <w:right w:val="single" w:color="000000" w:sz="4" w:space="0"/>
            </w:tcBorders>
            <w:noWrap/>
            <w:vAlign w:val="center"/>
          </w:tcPr>
          <w:p w14:paraId="0F716B8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单价</w:t>
            </w:r>
          </w:p>
        </w:tc>
        <w:tc>
          <w:tcPr>
            <w:tcW w:w="1732" w:type="pct"/>
            <w:gridSpan w:val="5"/>
            <w:tcBorders>
              <w:top w:val="single" w:color="000000" w:sz="4" w:space="0"/>
              <w:left w:val="nil"/>
              <w:bottom w:val="single" w:color="000000" w:sz="4" w:space="0"/>
              <w:right w:val="single" w:color="000000" w:sz="8" w:space="0"/>
            </w:tcBorders>
            <w:noWrap/>
            <w:vAlign w:val="center"/>
          </w:tcPr>
          <w:p w14:paraId="61724BD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合价</w:t>
            </w:r>
          </w:p>
        </w:tc>
      </w:tr>
      <w:tr w14:paraId="3F992756">
        <w:tblPrEx>
          <w:tblCellMar>
            <w:top w:w="0" w:type="dxa"/>
            <w:left w:w="108" w:type="dxa"/>
            <w:bottom w:w="0" w:type="dxa"/>
            <w:right w:w="108" w:type="dxa"/>
          </w:tblCellMar>
        </w:tblPrEx>
        <w:trPr>
          <w:trHeight w:val="567" w:hRule="atLeast"/>
        </w:trPr>
        <w:tc>
          <w:tcPr>
            <w:tcW w:w="222" w:type="pct"/>
            <w:vMerge w:val="continue"/>
            <w:tcBorders>
              <w:top w:val="nil"/>
              <w:left w:val="single" w:color="000000" w:sz="8" w:space="0"/>
              <w:bottom w:val="single" w:color="000000" w:sz="4" w:space="0"/>
              <w:right w:val="single" w:color="000000" w:sz="4" w:space="0"/>
            </w:tcBorders>
            <w:noWrap w:val="0"/>
            <w:vAlign w:val="center"/>
          </w:tcPr>
          <w:p w14:paraId="3F2D5F0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54"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82EE29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22" w:type="pct"/>
            <w:vMerge w:val="continue"/>
            <w:tcBorders>
              <w:top w:val="nil"/>
              <w:left w:val="single" w:color="000000" w:sz="4" w:space="0"/>
              <w:bottom w:val="single" w:color="000000" w:sz="4" w:space="0"/>
              <w:right w:val="single" w:color="000000" w:sz="4" w:space="0"/>
            </w:tcBorders>
            <w:noWrap w:val="0"/>
            <w:vAlign w:val="center"/>
          </w:tcPr>
          <w:p w14:paraId="2D7131D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326" w:type="pct"/>
            <w:vMerge w:val="continue"/>
            <w:tcBorders>
              <w:top w:val="nil"/>
              <w:left w:val="single" w:color="000000" w:sz="4" w:space="0"/>
              <w:bottom w:val="single" w:color="000000" w:sz="4" w:space="0"/>
              <w:right w:val="single" w:color="000000" w:sz="4" w:space="0"/>
            </w:tcBorders>
            <w:noWrap w:val="0"/>
            <w:vAlign w:val="center"/>
          </w:tcPr>
          <w:p w14:paraId="28945B3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31" w:type="pct"/>
            <w:tcBorders>
              <w:top w:val="nil"/>
              <w:left w:val="nil"/>
              <w:bottom w:val="single" w:color="000000" w:sz="4" w:space="0"/>
              <w:right w:val="single" w:color="000000" w:sz="4" w:space="0"/>
            </w:tcBorders>
            <w:noWrap/>
            <w:vAlign w:val="center"/>
          </w:tcPr>
          <w:p w14:paraId="4819828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人工费</w:t>
            </w:r>
          </w:p>
        </w:tc>
        <w:tc>
          <w:tcPr>
            <w:tcW w:w="444" w:type="pct"/>
            <w:gridSpan w:val="2"/>
            <w:tcBorders>
              <w:top w:val="single" w:color="000000" w:sz="4" w:space="0"/>
              <w:left w:val="nil"/>
              <w:bottom w:val="single" w:color="000000" w:sz="4" w:space="0"/>
              <w:right w:val="single" w:color="000000" w:sz="4" w:space="0"/>
            </w:tcBorders>
            <w:noWrap/>
            <w:vAlign w:val="center"/>
          </w:tcPr>
          <w:p w14:paraId="3EFA8F5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材料费</w:t>
            </w:r>
          </w:p>
        </w:tc>
        <w:tc>
          <w:tcPr>
            <w:tcW w:w="490" w:type="pct"/>
            <w:gridSpan w:val="2"/>
            <w:tcBorders>
              <w:top w:val="single" w:color="000000" w:sz="4" w:space="0"/>
              <w:left w:val="nil"/>
              <w:bottom w:val="single" w:color="000000" w:sz="4" w:space="0"/>
              <w:right w:val="single" w:color="000000" w:sz="4" w:space="0"/>
            </w:tcBorders>
            <w:noWrap/>
            <w:vAlign w:val="center"/>
          </w:tcPr>
          <w:p w14:paraId="328BD66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机械费</w:t>
            </w:r>
          </w:p>
        </w:tc>
        <w:tc>
          <w:tcPr>
            <w:tcW w:w="379" w:type="pct"/>
            <w:tcBorders>
              <w:top w:val="nil"/>
              <w:left w:val="nil"/>
              <w:bottom w:val="single" w:color="000000" w:sz="4" w:space="0"/>
              <w:right w:val="single" w:color="000000" w:sz="4" w:space="0"/>
            </w:tcBorders>
            <w:noWrap/>
            <w:vAlign w:val="center"/>
          </w:tcPr>
          <w:p w14:paraId="5631464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综合费</w:t>
            </w:r>
          </w:p>
        </w:tc>
        <w:tc>
          <w:tcPr>
            <w:tcW w:w="431" w:type="pct"/>
            <w:tcBorders>
              <w:top w:val="single" w:color="000000" w:sz="4" w:space="0"/>
              <w:left w:val="nil"/>
              <w:bottom w:val="single" w:color="000000" w:sz="4" w:space="0"/>
              <w:right w:val="single" w:color="000000" w:sz="4" w:space="0"/>
            </w:tcBorders>
            <w:noWrap/>
            <w:vAlign w:val="center"/>
          </w:tcPr>
          <w:p w14:paraId="167A2CA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人工费</w:t>
            </w:r>
          </w:p>
        </w:tc>
        <w:tc>
          <w:tcPr>
            <w:tcW w:w="441" w:type="pct"/>
            <w:gridSpan w:val="2"/>
            <w:tcBorders>
              <w:top w:val="single" w:color="000000" w:sz="4" w:space="0"/>
              <w:left w:val="nil"/>
              <w:bottom w:val="single" w:color="000000" w:sz="4" w:space="0"/>
              <w:right w:val="single" w:color="000000" w:sz="4" w:space="0"/>
            </w:tcBorders>
            <w:noWrap/>
            <w:vAlign w:val="center"/>
          </w:tcPr>
          <w:p w14:paraId="25E1B94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材料费</w:t>
            </w:r>
          </w:p>
        </w:tc>
        <w:tc>
          <w:tcPr>
            <w:tcW w:w="431" w:type="pct"/>
            <w:tcBorders>
              <w:top w:val="nil"/>
              <w:left w:val="nil"/>
              <w:bottom w:val="single" w:color="000000" w:sz="4" w:space="0"/>
              <w:right w:val="single" w:color="000000" w:sz="4" w:space="0"/>
            </w:tcBorders>
            <w:noWrap/>
            <w:vAlign w:val="center"/>
          </w:tcPr>
          <w:p w14:paraId="491B024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机械费</w:t>
            </w:r>
          </w:p>
        </w:tc>
        <w:tc>
          <w:tcPr>
            <w:tcW w:w="431" w:type="pct"/>
            <w:tcBorders>
              <w:top w:val="nil"/>
              <w:left w:val="nil"/>
              <w:bottom w:val="single" w:color="000000" w:sz="4" w:space="0"/>
              <w:right w:val="single" w:color="000000" w:sz="8" w:space="0"/>
            </w:tcBorders>
            <w:noWrap/>
            <w:vAlign w:val="center"/>
          </w:tcPr>
          <w:p w14:paraId="2495F8C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综合费</w:t>
            </w:r>
          </w:p>
        </w:tc>
      </w:tr>
      <w:tr w14:paraId="7A5C7ABF">
        <w:tblPrEx>
          <w:tblCellMar>
            <w:top w:w="0" w:type="dxa"/>
            <w:left w:w="108" w:type="dxa"/>
            <w:bottom w:w="0" w:type="dxa"/>
            <w:right w:w="108" w:type="dxa"/>
          </w:tblCellMar>
        </w:tblPrEx>
        <w:trPr>
          <w:trHeight w:val="567" w:hRule="atLeast"/>
        </w:trPr>
        <w:tc>
          <w:tcPr>
            <w:tcW w:w="222" w:type="pct"/>
            <w:tcBorders>
              <w:top w:val="nil"/>
              <w:left w:val="single" w:color="000000" w:sz="8" w:space="0"/>
              <w:bottom w:val="single" w:color="000000" w:sz="4" w:space="0"/>
              <w:right w:val="single" w:color="000000" w:sz="4" w:space="0"/>
            </w:tcBorders>
            <w:noWrap w:val="0"/>
            <w:vAlign w:val="center"/>
          </w:tcPr>
          <w:p w14:paraId="553AD3E9">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54" w:type="pct"/>
            <w:gridSpan w:val="2"/>
            <w:tcBorders>
              <w:top w:val="single" w:color="000000" w:sz="4" w:space="0"/>
              <w:left w:val="nil"/>
              <w:bottom w:val="single" w:color="000000" w:sz="4" w:space="0"/>
              <w:right w:val="single" w:color="000000" w:sz="4" w:space="0"/>
            </w:tcBorders>
            <w:noWrap w:val="0"/>
            <w:vAlign w:val="center"/>
          </w:tcPr>
          <w:p w14:paraId="42D9774C">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22" w:type="pct"/>
            <w:tcBorders>
              <w:top w:val="nil"/>
              <w:left w:val="nil"/>
              <w:bottom w:val="single" w:color="000000" w:sz="4" w:space="0"/>
              <w:right w:val="single" w:color="000000" w:sz="4" w:space="0"/>
            </w:tcBorders>
            <w:noWrap w:val="0"/>
            <w:vAlign w:val="center"/>
          </w:tcPr>
          <w:p w14:paraId="027030B4">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26" w:type="pct"/>
            <w:tcBorders>
              <w:top w:val="nil"/>
              <w:left w:val="nil"/>
              <w:bottom w:val="single" w:color="000000" w:sz="4" w:space="0"/>
              <w:right w:val="single" w:color="000000" w:sz="4" w:space="0"/>
            </w:tcBorders>
            <w:noWrap w:val="0"/>
            <w:vAlign w:val="center"/>
          </w:tcPr>
          <w:p w14:paraId="37B6648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nil"/>
              <w:left w:val="nil"/>
              <w:bottom w:val="single" w:color="000000" w:sz="4" w:space="0"/>
              <w:right w:val="single" w:color="000000" w:sz="4" w:space="0"/>
            </w:tcBorders>
            <w:noWrap w:val="0"/>
            <w:vAlign w:val="center"/>
          </w:tcPr>
          <w:p w14:paraId="2596B25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44" w:type="pct"/>
            <w:gridSpan w:val="2"/>
            <w:tcBorders>
              <w:top w:val="single" w:color="000000" w:sz="4" w:space="0"/>
              <w:left w:val="nil"/>
              <w:bottom w:val="single" w:color="000000" w:sz="4" w:space="0"/>
              <w:right w:val="single" w:color="000000" w:sz="4" w:space="0"/>
            </w:tcBorders>
            <w:noWrap w:val="0"/>
            <w:vAlign w:val="center"/>
          </w:tcPr>
          <w:p w14:paraId="3266BC1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90" w:type="pct"/>
            <w:gridSpan w:val="2"/>
            <w:tcBorders>
              <w:top w:val="single" w:color="000000" w:sz="4" w:space="0"/>
              <w:left w:val="nil"/>
              <w:bottom w:val="single" w:color="000000" w:sz="4" w:space="0"/>
              <w:right w:val="single" w:color="000000" w:sz="4" w:space="0"/>
            </w:tcBorders>
            <w:noWrap w:val="0"/>
            <w:vAlign w:val="center"/>
          </w:tcPr>
          <w:p w14:paraId="2D30582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79" w:type="pct"/>
            <w:tcBorders>
              <w:top w:val="nil"/>
              <w:left w:val="nil"/>
              <w:bottom w:val="single" w:color="000000" w:sz="4" w:space="0"/>
              <w:right w:val="single" w:color="000000" w:sz="4" w:space="0"/>
            </w:tcBorders>
            <w:noWrap w:val="0"/>
            <w:vAlign w:val="center"/>
          </w:tcPr>
          <w:p w14:paraId="380B8D1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000000" w:sz="4" w:space="0"/>
              <w:left w:val="nil"/>
              <w:bottom w:val="single" w:color="000000" w:sz="4" w:space="0"/>
              <w:right w:val="single" w:color="000000" w:sz="4" w:space="0"/>
            </w:tcBorders>
            <w:noWrap w:val="0"/>
            <w:vAlign w:val="center"/>
          </w:tcPr>
          <w:p w14:paraId="24B3BCB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41" w:type="pct"/>
            <w:gridSpan w:val="2"/>
            <w:tcBorders>
              <w:top w:val="single" w:color="000000" w:sz="4" w:space="0"/>
              <w:left w:val="nil"/>
              <w:bottom w:val="single" w:color="000000" w:sz="4" w:space="0"/>
              <w:right w:val="single" w:color="000000" w:sz="4" w:space="0"/>
            </w:tcBorders>
            <w:noWrap w:val="0"/>
            <w:vAlign w:val="center"/>
          </w:tcPr>
          <w:p w14:paraId="61283E7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nil"/>
              <w:left w:val="nil"/>
              <w:bottom w:val="single" w:color="000000" w:sz="4" w:space="0"/>
              <w:right w:val="single" w:color="000000" w:sz="4" w:space="0"/>
            </w:tcBorders>
            <w:noWrap w:val="0"/>
            <w:vAlign w:val="center"/>
          </w:tcPr>
          <w:p w14:paraId="42A6229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nil"/>
              <w:left w:val="nil"/>
              <w:bottom w:val="single" w:color="000000" w:sz="4" w:space="0"/>
              <w:right w:val="single" w:color="000000" w:sz="8" w:space="0"/>
            </w:tcBorders>
            <w:noWrap w:val="0"/>
            <w:vAlign w:val="center"/>
          </w:tcPr>
          <w:p w14:paraId="6C9CB201">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77B9433B">
        <w:tblPrEx>
          <w:tblCellMar>
            <w:top w:w="0" w:type="dxa"/>
            <w:left w:w="108" w:type="dxa"/>
            <w:bottom w:w="0" w:type="dxa"/>
            <w:right w:w="108" w:type="dxa"/>
          </w:tblCellMar>
        </w:tblPrEx>
        <w:trPr>
          <w:trHeight w:val="567" w:hRule="atLeast"/>
        </w:trPr>
        <w:tc>
          <w:tcPr>
            <w:tcW w:w="976" w:type="pct"/>
            <w:gridSpan w:val="3"/>
            <w:tcBorders>
              <w:top w:val="single" w:color="000000" w:sz="4" w:space="0"/>
              <w:left w:val="single" w:color="000000" w:sz="8" w:space="0"/>
              <w:bottom w:val="single" w:color="000000" w:sz="4" w:space="0"/>
              <w:right w:val="single" w:color="000000" w:sz="4" w:space="0"/>
            </w:tcBorders>
            <w:noWrap/>
            <w:vAlign w:val="center"/>
          </w:tcPr>
          <w:p w14:paraId="362ADE76">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人工单价</w:t>
            </w:r>
          </w:p>
        </w:tc>
        <w:tc>
          <w:tcPr>
            <w:tcW w:w="2292" w:type="pct"/>
            <w:gridSpan w:val="8"/>
            <w:tcBorders>
              <w:top w:val="single" w:color="000000" w:sz="4" w:space="0"/>
              <w:left w:val="nil"/>
              <w:bottom w:val="single" w:color="000000" w:sz="4" w:space="0"/>
              <w:right w:val="single" w:color="000000" w:sz="4" w:space="0"/>
            </w:tcBorders>
            <w:noWrap/>
            <w:vAlign w:val="center"/>
          </w:tcPr>
          <w:p w14:paraId="0693C75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小计</w:t>
            </w:r>
          </w:p>
        </w:tc>
        <w:tc>
          <w:tcPr>
            <w:tcW w:w="431" w:type="pct"/>
            <w:tcBorders>
              <w:top w:val="single" w:color="000000" w:sz="4" w:space="0"/>
              <w:left w:val="nil"/>
              <w:bottom w:val="single" w:color="000000" w:sz="4" w:space="0"/>
              <w:right w:val="single" w:color="000000" w:sz="4" w:space="0"/>
            </w:tcBorders>
            <w:noWrap w:val="0"/>
            <w:vAlign w:val="center"/>
          </w:tcPr>
          <w:p w14:paraId="22FC41B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41" w:type="pct"/>
            <w:gridSpan w:val="2"/>
            <w:tcBorders>
              <w:top w:val="single" w:color="000000" w:sz="4" w:space="0"/>
              <w:left w:val="nil"/>
              <w:bottom w:val="single" w:color="000000" w:sz="4" w:space="0"/>
              <w:right w:val="single" w:color="000000" w:sz="4" w:space="0"/>
            </w:tcBorders>
            <w:noWrap w:val="0"/>
            <w:vAlign w:val="center"/>
          </w:tcPr>
          <w:p w14:paraId="61D5543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nil"/>
              <w:left w:val="nil"/>
              <w:bottom w:val="single" w:color="000000" w:sz="4" w:space="0"/>
              <w:right w:val="single" w:color="000000" w:sz="4" w:space="0"/>
            </w:tcBorders>
            <w:noWrap w:val="0"/>
            <w:vAlign w:val="center"/>
          </w:tcPr>
          <w:p w14:paraId="6E76498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nil"/>
              <w:left w:val="nil"/>
              <w:bottom w:val="single" w:color="000000" w:sz="4" w:space="0"/>
              <w:right w:val="single" w:color="000000" w:sz="8" w:space="0"/>
            </w:tcBorders>
            <w:noWrap w:val="0"/>
            <w:vAlign w:val="center"/>
          </w:tcPr>
          <w:p w14:paraId="0697B72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4DAB572">
        <w:tblPrEx>
          <w:tblCellMar>
            <w:top w:w="0" w:type="dxa"/>
            <w:left w:w="108" w:type="dxa"/>
            <w:bottom w:w="0" w:type="dxa"/>
            <w:right w:w="108" w:type="dxa"/>
          </w:tblCellMar>
        </w:tblPrEx>
        <w:trPr>
          <w:trHeight w:val="567" w:hRule="atLeast"/>
        </w:trPr>
        <w:tc>
          <w:tcPr>
            <w:tcW w:w="976" w:type="pct"/>
            <w:gridSpan w:val="3"/>
            <w:tcBorders>
              <w:top w:val="single" w:color="000000" w:sz="4" w:space="0"/>
              <w:left w:val="single" w:color="000000" w:sz="8" w:space="0"/>
              <w:bottom w:val="single" w:color="000000" w:sz="4" w:space="0"/>
              <w:right w:val="single" w:color="000000" w:sz="4" w:space="0"/>
            </w:tcBorders>
            <w:noWrap/>
            <w:vAlign w:val="center"/>
          </w:tcPr>
          <w:p w14:paraId="614096F8">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）元/工日</w:t>
            </w:r>
          </w:p>
        </w:tc>
        <w:tc>
          <w:tcPr>
            <w:tcW w:w="2292" w:type="pct"/>
            <w:gridSpan w:val="8"/>
            <w:tcBorders>
              <w:top w:val="single" w:color="000000" w:sz="4" w:space="0"/>
              <w:left w:val="nil"/>
              <w:bottom w:val="single" w:color="000000" w:sz="4" w:space="0"/>
              <w:right w:val="single" w:color="000000" w:sz="4" w:space="0"/>
            </w:tcBorders>
            <w:noWrap/>
            <w:vAlign w:val="center"/>
          </w:tcPr>
          <w:p w14:paraId="79B1113E">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未计价材料费</w:t>
            </w:r>
          </w:p>
        </w:tc>
        <w:tc>
          <w:tcPr>
            <w:tcW w:w="1732" w:type="pct"/>
            <w:gridSpan w:val="5"/>
            <w:tcBorders>
              <w:top w:val="single" w:color="000000" w:sz="4" w:space="0"/>
              <w:left w:val="nil"/>
              <w:bottom w:val="single" w:color="000000" w:sz="4" w:space="0"/>
              <w:right w:val="single" w:color="000000" w:sz="8" w:space="0"/>
            </w:tcBorders>
            <w:noWrap w:val="0"/>
            <w:vAlign w:val="center"/>
          </w:tcPr>
          <w:p w14:paraId="43384A74">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B924B5E">
        <w:tblPrEx>
          <w:tblCellMar>
            <w:top w:w="0" w:type="dxa"/>
            <w:left w:w="108" w:type="dxa"/>
            <w:bottom w:w="0" w:type="dxa"/>
            <w:right w:w="108" w:type="dxa"/>
          </w:tblCellMar>
        </w:tblPrEx>
        <w:trPr>
          <w:trHeight w:val="567" w:hRule="atLeast"/>
        </w:trPr>
        <w:tc>
          <w:tcPr>
            <w:tcW w:w="3268" w:type="pct"/>
            <w:gridSpan w:val="11"/>
            <w:tcBorders>
              <w:top w:val="single" w:color="000000" w:sz="4" w:space="0"/>
              <w:left w:val="single" w:color="000000" w:sz="8" w:space="0"/>
              <w:bottom w:val="single" w:color="auto" w:sz="4" w:space="0"/>
              <w:right w:val="single" w:color="000000" w:sz="4" w:space="0"/>
            </w:tcBorders>
            <w:noWrap w:val="0"/>
            <w:vAlign w:val="center"/>
          </w:tcPr>
          <w:p w14:paraId="08FD0E8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清单项目综合单价</w:t>
            </w:r>
          </w:p>
        </w:tc>
        <w:tc>
          <w:tcPr>
            <w:tcW w:w="1732" w:type="pct"/>
            <w:gridSpan w:val="5"/>
            <w:tcBorders>
              <w:top w:val="single" w:color="000000" w:sz="4" w:space="0"/>
              <w:left w:val="nil"/>
              <w:bottom w:val="single" w:color="auto" w:sz="4" w:space="0"/>
              <w:right w:val="single" w:color="000000" w:sz="8" w:space="0"/>
            </w:tcBorders>
            <w:noWrap w:val="0"/>
            <w:vAlign w:val="center"/>
          </w:tcPr>
          <w:p w14:paraId="5EB023B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12FF5DC">
        <w:tblPrEx>
          <w:tblCellMar>
            <w:top w:w="0" w:type="dxa"/>
            <w:left w:w="108" w:type="dxa"/>
            <w:bottom w:w="0" w:type="dxa"/>
            <w:right w:w="108" w:type="dxa"/>
          </w:tblCellMar>
        </w:tblPrEx>
        <w:trPr>
          <w:trHeight w:val="567" w:hRule="atLeast"/>
        </w:trPr>
        <w:tc>
          <w:tcPr>
            <w:tcW w:w="222" w:type="pct"/>
            <w:vMerge w:val="restart"/>
            <w:tcBorders>
              <w:top w:val="single" w:color="auto" w:sz="4" w:space="0"/>
              <w:left w:val="single" w:color="auto" w:sz="4" w:space="0"/>
              <w:bottom w:val="single" w:color="auto" w:sz="4" w:space="0"/>
              <w:right w:val="single" w:color="auto" w:sz="4" w:space="0"/>
            </w:tcBorders>
            <w:noWrap w:val="0"/>
            <w:vAlign w:val="center"/>
          </w:tcPr>
          <w:p w14:paraId="7DF5468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材料费明细</w:t>
            </w:r>
          </w:p>
        </w:tc>
        <w:tc>
          <w:tcPr>
            <w:tcW w:w="2058" w:type="pct"/>
            <w:gridSpan w:val="6"/>
            <w:tcBorders>
              <w:top w:val="single" w:color="auto" w:sz="4" w:space="0"/>
              <w:left w:val="single" w:color="auto" w:sz="4" w:space="0"/>
              <w:bottom w:val="single" w:color="auto" w:sz="4" w:space="0"/>
              <w:right w:val="single" w:color="auto" w:sz="4" w:space="0"/>
            </w:tcBorders>
            <w:noWrap/>
            <w:vAlign w:val="center"/>
          </w:tcPr>
          <w:p w14:paraId="1F4CE9E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主要材料名称、规格、型号</w:t>
            </w:r>
          </w:p>
        </w:tc>
        <w:tc>
          <w:tcPr>
            <w:tcW w:w="490" w:type="pct"/>
            <w:gridSpan w:val="2"/>
            <w:tcBorders>
              <w:top w:val="single" w:color="auto" w:sz="4" w:space="0"/>
              <w:left w:val="single" w:color="auto" w:sz="4" w:space="0"/>
              <w:bottom w:val="single" w:color="auto" w:sz="4" w:space="0"/>
              <w:right w:val="single" w:color="auto" w:sz="4" w:space="0"/>
            </w:tcBorders>
            <w:noWrap/>
            <w:vAlign w:val="center"/>
          </w:tcPr>
          <w:p w14:paraId="759C4C9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w:t>
            </w:r>
          </w:p>
        </w:tc>
        <w:tc>
          <w:tcPr>
            <w:tcW w:w="497" w:type="pct"/>
            <w:gridSpan w:val="2"/>
            <w:tcBorders>
              <w:top w:val="single" w:color="auto" w:sz="4" w:space="0"/>
              <w:left w:val="single" w:color="auto" w:sz="4" w:space="0"/>
              <w:bottom w:val="single" w:color="auto" w:sz="4" w:space="0"/>
              <w:right w:val="single" w:color="auto" w:sz="4" w:space="0"/>
            </w:tcBorders>
            <w:noWrap/>
            <w:vAlign w:val="center"/>
          </w:tcPr>
          <w:p w14:paraId="6A67ECB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08D27A3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单价（元）</w:t>
            </w:r>
          </w:p>
        </w:tc>
        <w:tc>
          <w:tcPr>
            <w:tcW w:w="441" w:type="pct"/>
            <w:gridSpan w:val="2"/>
            <w:tcBorders>
              <w:top w:val="single" w:color="auto" w:sz="4" w:space="0"/>
              <w:left w:val="single" w:color="auto" w:sz="4" w:space="0"/>
              <w:bottom w:val="single" w:color="auto" w:sz="4" w:space="0"/>
              <w:right w:val="single" w:color="auto" w:sz="4" w:space="0"/>
            </w:tcBorders>
            <w:noWrap w:val="0"/>
            <w:vAlign w:val="center"/>
          </w:tcPr>
          <w:p w14:paraId="015E4FA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合价（元）</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5C7ACBC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暂估单价（元）</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7B354B7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暂估合价（元）</w:t>
            </w:r>
          </w:p>
        </w:tc>
      </w:tr>
      <w:tr w14:paraId="154EF14D">
        <w:tblPrEx>
          <w:tblCellMar>
            <w:top w:w="0" w:type="dxa"/>
            <w:left w:w="108" w:type="dxa"/>
            <w:bottom w:w="0" w:type="dxa"/>
            <w:right w:w="108" w:type="dxa"/>
          </w:tblCellMar>
        </w:tblPrEx>
        <w:trPr>
          <w:trHeight w:val="567" w:hRule="atLeast"/>
        </w:trPr>
        <w:tc>
          <w:tcPr>
            <w:tcW w:w="222" w:type="pct"/>
            <w:vMerge w:val="continue"/>
            <w:tcBorders>
              <w:top w:val="single" w:color="auto" w:sz="4" w:space="0"/>
              <w:left w:val="single" w:color="auto" w:sz="4" w:space="0"/>
              <w:bottom w:val="single" w:color="auto" w:sz="4" w:space="0"/>
              <w:right w:val="single" w:color="auto" w:sz="4" w:space="0"/>
            </w:tcBorders>
            <w:noWrap w:val="0"/>
            <w:vAlign w:val="center"/>
          </w:tcPr>
          <w:p w14:paraId="58115ED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2058" w:type="pct"/>
            <w:gridSpan w:val="6"/>
            <w:tcBorders>
              <w:top w:val="single" w:color="auto" w:sz="4" w:space="0"/>
              <w:left w:val="single" w:color="auto" w:sz="4" w:space="0"/>
              <w:bottom w:val="single" w:color="auto" w:sz="4" w:space="0"/>
              <w:right w:val="single" w:color="auto" w:sz="4" w:space="0"/>
            </w:tcBorders>
            <w:noWrap w:val="0"/>
            <w:vAlign w:val="center"/>
          </w:tcPr>
          <w:p w14:paraId="5B932ED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490" w:type="pct"/>
            <w:gridSpan w:val="2"/>
            <w:tcBorders>
              <w:top w:val="single" w:color="auto" w:sz="4" w:space="0"/>
              <w:left w:val="single" w:color="auto" w:sz="4" w:space="0"/>
              <w:bottom w:val="single" w:color="auto" w:sz="4" w:space="0"/>
              <w:right w:val="single" w:color="auto" w:sz="4" w:space="0"/>
            </w:tcBorders>
            <w:noWrap w:val="0"/>
            <w:vAlign w:val="center"/>
          </w:tcPr>
          <w:p w14:paraId="76532A39">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97" w:type="pct"/>
            <w:gridSpan w:val="2"/>
            <w:tcBorders>
              <w:top w:val="single" w:color="auto" w:sz="4" w:space="0"/>
              <w:left w:val="single" w:color="auto" w:sz="4" w:space="0"/>
              <w:bottom w:val="single" w:color="auto" w:sz="4" w:space="0"/>
              <w:right w:val="single" w:color="auto" w:sz="4" w:space="0"/>
            </w:tcBorders>
            <w:noWrap w:val="0"/>
            <w:vAlign w:val="center"/>
          </w:tcPr>
          <w:p w14:paraId="55DE83B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064EA5A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41" w:type="pct"/>
            <w:gridSpan w:val="2"/>
            <w:tcBorders>
              <w:top w:val="single" w:color="auto" w:sz="4" w:space="0"/>
              <w:left w:val="single" w:color="auto" w:sz="4" w:space="0"/>
              <w:bottom w:val="single" w:color="auto" w:sz="4" w:space="0"/>
              <w:right w:val="single" w:color="auto" w:sz="4" w:space="0"/>
            </w:tcBorders>
            <w:noWrap w:val="0"/>
            <w:vAlign w:val="center"/>
          </w:tcPr>
          <w:p w14:paraId="69CA857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1DD7CD95">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01A742C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7F94C39">
        <w:tblPrEx>
          <w:tblCellMar>
            <w:top w:w="0" w:type="dxa"/>
            <w:left w:w="108" w:type="dxa"/>
            <w:bottom w:w="0" w:type="dxa"/>
            <w:right w:w="108" w:type="dxa"/>
          </w:tblCellMar>
        </w:tblPrEx>
        <w:trPr>
          <w:trHeight w:val="567" w:hRule="atLeast"/>
        </w:trPr>
        <w:tc>
          <w:tcPr>
            <w:tcW w:w="222" w:type="pct"/>
            <w:vMerge w:val="continue"/>
            <w:tcBorders>
              <w:top w:val="single" w:color="auto" w:sz="4" w:space="0"/>
              <w:left w:val="single" w:color="auto" w:sz="4" w:space="0"/>
              <w:bottom w:val="single" w:color="auto" w:sz="4" w:space="0"/>
              <w:right w:val="single" w:color="auto" w:sz="4" w:space="0"/>
            </w:tcBorders>
            <w:noWrap w:val="0"/>
            <w:vAlign w:val="center"/>
          </w:tcPr>
          <w:p w14:paraId="4DAEFE0A">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058" w:type="pct"/>
            <w:gridSpan w:val="6"/>
            <w:tcBorders>
              <w:top w:val="single" w:color="auto" w:sz="4" w:space="0"/>
              <w:left w:val="single" w:color="auto" w:sz="4" w:space="0"/>
              <w:bottom w:val="single" w:color="auto" w:sz="4" w:space="0"/>
              <w:right w:val="single" w:color="auto" w:sz="4" w:space="0"/>
            </w:tcBorders>
            <w:noWrap w:val="0"/>
            <w:vAlign w:val="center"/>
          </w:tcPr>
          <w:p w14:paraId="42079538">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90" w:type="pct"/>
            <w:gridSpan w:val="2"/>
            <w:tcBorders>
              <w:top w:val="single" w:color="auto" w:sz="4" w:space="0"/>
              <w:left w:val="single" w:color="auto" w:sz="4" w:space="0"/>
              <w:bottom w:val="single" w:color="auto" w:sz="4" w:space="0"/>
              <w:right w:val="single" w:color="auto" w:sz="4" w:space="0"/>
            </w:tcBorders>
            <w:noWrap w:val="0"/>
            <w:vAlign w:val="center"/>
          </w:tcPr>
          <w:p w14:paraId="6ADAAFA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97" w:type="pct"/>
            <w:gridSpan w:val="2"/>
            <w:tcBorders>
              <w:top w:val="single" w:color="auto" w:sz="4" w:space="0"/>
              <w:left w:val="single" w:color="auto" w:sz="4" w:space="0"/>
              <w:bottom w:val="single" w:color="auto" w:sz="4" w:space="0"/>
              <w:right w:val="single" w:color="auto" w:sz="4" w:space="0"/>
            </w:tcBorders>
            <w:noWrap w:val="0"/>
            <w:vAlign w:val="center"/>
          </w:tcPr>
          <w:p w14:paraId="204B1D45">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163ADB9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41" w:type="pct"/>
            <w:gridSpan w:val="2"/>
            <w:tcBorders>
              <w:top w:val="single" w:color="auto" w:sz="4" w:space="0"/>
              <w:left w:val="single" w:color="auto" w:sz="4" w:space="0"/>
              <w:bottom w:val="single" w:color="auto" w:sz="4" w:space="0"/>
              <w:right w:val="single" w:color="auto" w:sz="4" w:space="0"/>
            </w:tcBorders>
            <w:noWrap w:val="0"/>
            <w:vAlign w:val="center"/>
          </w:tcPr>
          <w:p w14:paraId="2D33E871">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3EFB699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276A8B1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8736348">
        <w:tblPrEx>
          <w:tblCellMar>
            <w:top w:w="0" w:type="dxa"/>
            <w:left w:w="108" w:type="dxa"/>
            <w:bottom w:w="0" w:type="dxa"/>
            <w:right w:w="108" w:type="dxa"/>
          </w:tblCellMar>
        </w:tblPrEx>
        <w:trPr>
          <w:trHeight w:val="567" w:hRule="atLeast"/>
        </w:trPr>
        <w:tc>
          <w:tcPr>
            <w:tcW w:w="222" w:type="pct"/>
            <w:vMerge w:val="continue"/>
            <w:tcBorders>
              <w:top w:val="single" w:color="auto" w:sz="4" w:space="0"/>
              <w:left w:val="single" w:color="auto" w:sz="4" w:space="0"/>
              <w:bottom w:val="single" w:color="auto" w:sz="4" w:space="0"/>
              <w:right w:val="single" w:color="auto" w:sz="4" w:space="0"/>
            </w:tcBorders>
            <w:noWrap w:val="0"/>
            <w:vAlign w:val="center"/>
          </w:tcPr>
          <w:p w14:paraId="4066A21E">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045" w:type="pct"/>
            <w:gridSpan w:val="10"/>
            <w:tcBorders>
              <w:top w:val="single" w:color="auto" w:sz="4" w:space="0"/>
              <w:left w:val="single" w:color="auto" w:sz="4" w:space="0"/>
              <w:bottom w:val="single" w:color="auto" w:sz="4" w:space="0"/>
              <w:right w:val="single" w:color="auto" w:sz="4" w:space="0"/>
            </w:tcBorders>
            <w:noWrap w:val="0"/>
            <w:vAlign w:val="center"/>
          </w:tcPr>
          <w:p w14:paraId="7CE5066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其他材料费</w:t>
            </w:r>
          </w:p>
        </w:tc>
        <w:tc>
          <w:tcPr>
            <w:tcW w:w="431" w:type="pct"/>
            <w:tcBorders>
              <w:top w:val="single" w:color="auto" w:sz="4" w:space="0"/>
              <w:left w:val="single" w:color="auto" w:sz="4" w:space="0"/>
              <w:bottom w:val="single" w:color="auto" w:sz="4" w:space="0"/>
              <w:right w:val="single" w:color="auto" w:sz="4" w:space="0"/>
            </w:tcBorders>
            <w:noWrap/>
            <w:vAlign w:val="center"/>
          </w:tcPr>
          <w:p w14:paraId="5D8D0B9C">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41" w:type="pct"/>
            <w:gridSpan w:val="2"/>
            <w:tcBorders>
              <w:top w:val="single" w:color="auto" w:sz="4" w:space="0"/>
              <w:left w:val="single" w:color="auto" w:sz="4" w:space="0"/>
              <w:bottom w:val="single" w:color="auto" w:sz="4" w:space="0"/>
              <w:right w:val="single" w:color="auto" w:sz="4" w:space="0"/>
            </w:tcBorders>
            <w:noWrap w:val="0"/>
            <w:vAlign w:val="center"/>
          </w:tcPr>
          <w:p w14:paraId="5BDFD51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noWrap/>
            <w:vAlign w:val="center"/>
          </w:tcPr>
          <w:p w14:paraId="6B6A93C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2C914A2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84C0543">
        <w:tblPrEx>
          <w:tblCellMar>
            <w:top w:w="0" w:type="dxa"/>
            <w:left w:w="108" w:type="dxa"/>
            <w:bottom w:w="0" w:type="dxa"/>
            <w:right w:w="108" w:type="dxa"/>
          </w:tblCellMar>
        </w:tblPrEx>
        <w:trPr>
          <w:trHeight w:val="567" w:hRule="atLeast"/>
        </w:trPr>
        <w:tc>
          <w:tcPr>
            <w:tcW w:w="222" w:type="pct"/>
            <w:vMerge w:val="continue"/>
            <w:tcBorders>
              <w:top w:val="single" w:color="auto" w:sz="4" w:space="0"/>
              <w:left w:val="single" w:color="auto" w:sz="4" w:space="0"/>
              <w:bottom w:val="single" w:color="000000" w:sz="8" w:space="0"/>
              <w:right w:val="single" w:color="000000" w:sz="4" w:space="0"/>
            </w:tcBorders>
            <w:noWrap w:val="0"/>
            <w:vAlign w:val="center"/>
          </w:tcPr>
          <w:p w14:paraId="4AC25DA2">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3045" w:type="pct"/>
            <w:gridSpan w:val="10"/>
            <w:tcBorders>
              <w:top w:val="single" w:color="auto" w:sz="4" w:space="0"/>
              <w:left w:val="nil"/>
              <w:bottom w:val="single" w:color="000000" w:sz="8" w:space="0"/>
              <w:right w:val="single" w:color="000000" w:sz="4" w:space="0"/>
            </w:tcBorders>
            <w:noWrap w:val="0"/>
            <w:vAlign w:val="center"/>
          </w:tcPr>
          <w:p w14:paraId="121D3732">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材料费小计</w:t>
            </w:r>
          </w:p>
        </w:tc>
        <w:tc>
          <w:tcPr>
            <w:tcW w:w="431" w:type="pct"/>
            <w:tcBorders>
              <w:top w:val="single" w:color="auto" w:sz="4" w:space="0"/>
              <w:left w:val="nil"/>
              <w:bottom w:val="single" w:color="000000" w:sz="8" w:space="0"/>
              <w:right w:val="single" w:color="000000" w:sz="4" w:space="0"/>
            </w:tcBorders>
            <w:noWrap/>
            <w:vAlign w:val="center"/>
          </w:tcPr>
          <w:p w14:paraId="42E8DFB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41" w:type="pct"/>
            <w:gridSpan w:val="2"/>
            <w:tcBorders>
              <w:top w:val="single" w:color="auto" w:sz="4" w:space="0"/>
              <w:left w:val="nil"/>
              <w:bottom w:val="single" w:color="000000" w:sz="8" w:space="0"/>
              <w:right w:val="single" w:color="000000" w:sz="4" w:space="0"/>
            </w:tcBorders>
            <w:noWrap w:val="0"/>
            <w:vAlign w:val="center"/>
          </w:tcPr>
          <w:p w14:paraId="5504AEA1">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nil"/>
              <w:bottom w:val="single" w:color="000000" w:sz="8" w:space="0"/>
              <w:right w:val="single" w:color="000000" w:sz="4" w:space="0"/>
            </w:tcBorders>
            <w:noWrap/>
            <w:vAlign w:val="center"/>
          </w:tcPr>
          <w:p w14:paraId="585926C7">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31" w:type="pct"/>
            <w:tcBorders>
              <w:top w:val="single" w:color="auto" w:sz="4" w:space="0"/>
              <w:left w:val="nil"/>
              <w:bottom w:val="single" w:color="000000" w:sz="8" w:space="0"/>
              <w:right w:val="single" w:color="000000" w:sz="8" w:space="0"/>
            </w:tcBorders>
            <w:noWrap w:val="0"/>
            <w:vAlign w:val="center"/>
          </w:tcPr>
          <w:p w14:paraId="722CBA8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326429EC">
      <w:pPr>
        <w:pageBreakBefore w:val="0"/>
        <w:kinsoku/>
        <w:wordWrap w:val="0"/>
        <w:overflowPunct/>
        <w:bidi w:val="0"/>
        <w:spacing w:before="48" w:beforeLines="20" w:after="48" w:afterLines="20" w:line="540" w:lineRule="exact"/>
        <w:ind w:left="-24" w:leftChars="-10" w:firstLine="1"/>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smallCaps w:val="0"/>
          <w:color w:val="000000" w:themeColor="text1"/>
          <w:szCs w:val="21"/>
          <w:highlight w:val="none"/>
          <w14:textFill>
            <w14:solidFill>
              <w14:schemeClr w14:val="tx1"/>
            </w14:solidFill>
          </w14:textFill>
        </w:rPr>
        <w:br w:type="page"/>
      </w:r>
      <w:bookmarkStart w:id="1716" w:name="_Toc460660244"/>
      <w:bookmarkStart w:id="1717" w:name="_Toc460227129"/>
      <w:bookmarkStart w:id="1718" w:name="_Toc12427"/>
      <w:bookmarkStart w:id="1719" w:name="_Toc30073"/>
      <w:bookmarkStart w:id="1720" w:name="_Toc16237"/>
      <w:bookmarkStart w:id="1721" w:name="_Toc24793"/>
      <w:bookmarkStart w:id="1722" w:name="_Toc8413"/>
      <w:bookmarkStart w:id="1723" w:name="_Toc3424"/>
      <w:bookmarkStart w:id="1724" w:name="_Toc18149"/>
      <w:bookmarkStart w:id="1725" w:name="_Toc30409"/>
      <w:r>
        <w:rPr>
          <w:rStyle w:val="73"/>
          <w:rFonts w:hint="eastAsia" w:ascii="Times New Roman" w:hAnsi="Times New Roman"/>
          <w:smallCaps w:val="0"/>
          <w:color w:val="000000" w:themeColor="text1"/>
          <w:highlight w:val="none"/>
          <w14:textFill>
            <w14:solidFill>
              <w14:schemeClr w14:val="tx1"/>
            </w14:solidFill>
          </w14:textFill>
        </w:rPr>
        <w:t>（七）</w:t>
      </w:r>
      <w:bookmarkEnd w:id="1716"/>
      <w:bookmarkEnd w:id="1717"/>
      <w:r>
        <w:rPr>
          <w:rStyle w:val="73"/>
          <w:rFonts w:hint="eastAsia" w:ascii="Times New Roman" w:hAnsi="Times New Roman"/>
          <w:smallCaps w:val="0"/>
          <w:color w:val="000000" w:themeColor="text1"/>
          <w:highlight w:val="none"/>
          <w14:textFill>
            <w14:solidFill>
              <w14:schemeClr w14:val="tx1"/>
            </w14:solidFill>
          </w14:textFill>
        </w:rPr>
        <w:t>措施项目清单与计价表</w:t>
      </w:r>
      <w:bookmarkEnd w:id="1718"/>
      <w:bookmarkEnd w:id="1719"/>
      <w:bookmarkEnd w:id="1720"/>
      <w:bookmarkEnd w:id="1721"/>
      <w:bookmarkEnd w:id="1722"/>
      <w:bookmarkEnd w:id="1723"/>
      <w:bookmarkEnd w:id="1724"/>
      <w:bookmarkEnd w:id="1725"/>
    </w:p>
    <w:p w14:paraId="4FD2016D">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763"/>
        <w:gridCol w:w="1767"/>
        <w:gridCol w:w="2308"/>
        <w:gridCol w:w="1545"/>
        <w:gridCol w:w="1248"/>
        <w:gridCol w:w="1544"/>
      </w:tblGrid>
      <w:tr w14:paraId="476E6A45">
        <w:tblPrEx>
          <w:tblCellMar>
            <w:top w:w="0" w:type="dxa"/>
            <w:left w:w="108" w:type="dxa"/>
            <w:bottom w:w="0" w:type="dxa"/>
            <w:right w:w="108" w:type="dxa"/>
          </w:tblCellMar>
        </w:tblPrEx>
        <w:trPr>
          <w:trHeight w:val="690" w:hRule="atLeast"/>
        </w:trPr>
        <w:tc>
          <w:tcPr>
            <w:tcW w:w="416"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04BCDC6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963" w:type="pct"/>
            <w:tcBorders>
              <w:top w:val="single" w:color="000000" w:sz="8" w:space="0"/>
              <w:left w:val="nil"/>
              <w:bottom w:val="single" w:color="000000" w:sz="4" w:space="0"/>
              <w:right w:val="single" w:color="000000" w:sz="4" w:space="0"/>
            </w:tcBorders>
            <w:shd w:val="clear" w:color="FFFFFF" w:fill="FFFFFF"/>
            <w:noWrap w:val="0"/>
            <w:vAlign w:val="center"/>
          </w:tcPr>
          <w:p w14:paraId="089B96E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项目编码</w:t>
            </w:r>
          </w:p>
        </w:tc>
        <w:tc>
          <w:tcPr>
            <w:tcW w:w="1258" w:type="pct"/>
            <w:tcBorders>
              <w:top w:val="single" w:color="000000" w:sz="8" w:space="0"/>
              <w:left w:val="nil"/>
              <w:bottom w:val="single" w:color="000000" w:sz="4" w:space="0"/>
              <w:right w:val="single" w:color="000000" w:sz="4" w:space="0"/>
            </w:tcBorders>
            <w:shd w:val="clear" w:color="FFFFFF" w:fill="FFFFFF"/>
            <w:noWrap w:val="0"/>
            <w:vAlign w:val="center"/>
          </w:tcPr>
          <w:p w14:paraId="3144849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842" w:type="pct"/>
            <w:tcBorders>
              <w:top w:val="single" w:color="000000" w:sz="8" w:space="0"/>
              <w:left w:val="nil"/>
              <w:bottom w:val="single" w:color="000000" w:sz="4" w:space="0"/>
              <w:right w:val="single" w:color="000000" w:sz="4" w:space="0"/>
            </w:tcBorders>
            <w:shd w:val="clear" w:color="FFFFFF" w:fill="FFFFFF"/>
            <w:noWrap w:val="0"/>
            <w:vAlign w:val="center"/>
          </w:tcPr>
          <w:p w14:paraId="47DE5E5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计算基础</w:t>
            </w:r>
          </w:p>
        </w:tc>
        <w:tc>
          <w:tcPr>
            <w:tcW w:w="680" w:type="pct"/>
            <w:tcBorders>
              <w:top w:val="single" w:color="000000" w:sz="8" w:space="0"/>
              <w:left w:val="nil"/>
              <w:bottom w:val="single" w:color="000000" w:sz="4" w:space="0"/>
              <w:right w:val="single" w:color="000000" w:sz="4" w:space="0"/>
            </w:tcBorders>
            <w:shd w:val="clear" w:color="FFFFFF" w:fill="FFFFFF"/>
            <w:noWrap w:val="0"/>
            <w:vAlign w:val="center"/>
          </w:tcPr>
          <w:p w14:paraId="545FF7C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费率（%）</w:t>
            </w:r>
          </w:p>
        </w:tc>
        <w:tc>
          <w:tcPr>
            <w:tcW w:w="841" w:type="pct"/>
            <w:tcBorders>
              <w:top w:val="single" w:color="000000" w:sz="8" w:space="0"/>
              <w:left w:val="nil"/>
              <w:bottom w:val="single" w:color="000000" w:sz="4" w:space="0"/>
              <w:right w:val="single" w:color="000000" w:sz="8" w:space="0"/>
            </w:tcBorders>
            <w:shd w:val="clear" w:color="FFFFFF" w:fill="FFFFFF"/>
            <w:noWrap w:val="0"/>
            <w:vAlign w:val="center"/>
          </w:tcPr>
          <w:p w14:paraId="1EF4D88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金额（元）</w:t>
            </w:r>
          </w:p>
        </w:tc>
      </w:tr>
      <w:tr w14:paraId="0A1014BB">
        <w:tblPrEx>
          <w:tblCellMar>
            <w:top w:w="0" w:type="dxa"/>
            <w:left w:w="108" w:type="dxa"/>
            <w:bottom w:w="0" w:type="dxa"/>
            <w:right w:w="108" w:type="dxa"/>
          </w:tblCellMar>
        </w:tblPrEx>
        <w:trPr>
          <w:trHeight w:val="680" w:hRule="atLeast"/>
        </w:trPr>
        <w:tc>
          <w:tcPr>
            <w:tcW w:w="416" w:type="pct"/>
            <w:tcBorders>
              <w:top w:val="nil"/>
              <w:left w:val="single" w:color="000000" w:sz="8" w:space="0"/>
              <w:bottom w:val="single" w:color="000000" w:sz="4" w:space="0"/>
              <w:right w:val="single" w:color="000000" w:sz="4" w:space="0"/>
            </w:tcBorders>
            <w:noWrap w:val="0"/>
            <w:vAlign w:val="center"/>
          </w:tcPr>
          <w:p w14:paraId="77E95E1F">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63" w:type="pct"/>
            <w:tcBorders>
              <w:top w:val="nil"/>
              <w:left w:val="nil"/>
              <w:bottom w:val="single" w:color="000000" w:sz="4" w:space="0"/>
              <w:right w:val="single" w:color="000000" w:sz="4" w:space="0"/>
            </w:tcBorders>
            <w:noWrap w:val="0"/>
            <w:vAlign w:val="center"/>
          </w:tcPr>
          <w:p w14:paraId="69DBDC33">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58" w:type="pct"/>
            <w:tcBorders>
              <w:top w:val="single" w:color="000000" w:sz="4" w:space="0"/>
              <w:left w:val="nil"/>
              <w:bottom w:val="single" w:color="000000" w:sz="4" w:space="0"/>
              <w:right w:val="single" w:color="000000" w:sz="4" w:space="0"/>
            </w:tcBorders>
            <w:noWrap w:val="0"/>
            <w:vAlign w:val="center"/>
          </w:tcPr>
          <w:p w14:paraId="4E8C06CE">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42" w:type="pct"/>
            <w:tcBorders>
              <w:top w:val="single" w:color="000000" w:sz="4" w:space="0"/>
              <w:left w:val="nil"/>
              <w:bottom w:val="single" w:color="000000" w:sz="4" w:space="0"/>
              <w:right w:val="single" w:color="000000" w:sz="4" w:space="0"/>
            </w:tcBorders>
            <w:noWrap w:val="0"/>
            <w:vAlign w:val="center"/>
          </w:tcPr>
          <w:p w14:paraId="745C1582">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0" w:type="pct"/>
            <w:tcBorders>
              <w:top w:val="single" w:color="000000" w:sz="4" w:space="0"/>
              <w:left w:val="nil"/>
              <w:bottom w:val="single" w:color="000000" w:sz="4" w:space="0"/>
              <w:right w:val="single" w:color="000000" w:sz="4" w:space="0"/>
            </w:tcBorders>
            <w:noWrap w:val="0"/>
            <w:vAlign w:val="center"/>
          </w:tcPr>
          <w:p w14:paraId="57B23635">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41" w:type="pct"/>
            <w:tcBorders>
              <w:top w:val="nil"/>
              <w:left w:val="nil"/>
              <w:bottom w:val="single" w:color="000000" w:sz="4" w:space="0"/>
              <w:right w:val="single" w:color="000000" w:sz="8" w:space="0"/>
            </w:tcBorders>
            <w:noWrap w:val="0"/>
            <w:vAlign w:val="center"/>
          </w:tcPr>
          <w:p w14:paraId="0827FF49">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F69FA71">
        <w:tblPrEx>
          <w:tblCellMar>
            <w:top w:w="0" w:type="dxa"/>
            <w:left w:w="108" w:type="dxa"/>
            <w:bottom w:w="0" w:type="dxa"/>
            <w:right w:w="108" w:type="dxa"/>
          </w:tblCellMar>
        </w:tblPrEx>
        <w:trPr>
          <w:trHeight w:val="680" w:hRule="atLeast"/>
        </w:trPr>
        <w:tc>
          <w:tcPr>
            <w:tcW w:w="416" w:type="pct"/>
            <w:tcBorders>
              <w:top w:val="nil"/>
              <w:left w:val="single" w:color="000000" w:sz="8" w:space="0"/>
              <w:bottom w:val="single" w:color="000000" w:sz="4" w:space="0"/>
              <w:right w:val="single" w:color="000000" w:sz="4" w:space="0"/>
            </w:tcBorders>
            <w:noWrap w:val="0"/>
            <w:vAlign w:val="center"/>
          </w:tcPr>
          <w:p w14:paraId="6A499E2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63" w:type="pct"/>
            <w:tcBorders>
              <w:top w:val="nil"/>
              <w:left w:val="nil"/>
              <w:bottom w:val="single" w:color="000000" w:sz="4" w:space="0"/>
              <w:right w:val="single" w:color="000000" w:sz="4" w:space="0"/>
            </w:tcBorders>
            <w:noWrap w:val="0"/>
            <w:vAlign w:val="center"/>
          </w:tcPr>
          <w:p w14:paraId="0971B1BE">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58" w:type="pct"/>
            <w:tcBorders>
              <w:top w:val="single" w:color="000000" w:sz="4" w:space="0"/>
              <w:left w:val="nil"/>
              <w:bottom w:val="single" w:color="000000" w:sz="4" w:space="0"/>
              <w:right w:val="single" w:color="000000" w:sz="4" w:space="0"/>
            </w:tcBorders>
            <w:noWrap w:val="0"/>
            <w:vAlign w:val="center"/>
          </w:tcPr>
          <w:p w14:paraId="09F7A59F">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42" w:type="pct"/>
            <w:tcBorders>
              <w:top w:val="single" w:color="000000" w:sz="4" w:space="0"/>
              <w:left w:val="nil"/>
              <w:bottom w:val="single" w:color="000000" w:sz="4" w:space="0"/>
              <w:right w:val="single" w:color="000000" w:sz="4" w:space="0"/>
            </w:tcBorders>
            <w:noWrap w:val="0"/>
            <w:vAlign w:val="center"/>
          </w:tcPr>
          <w:p w14:paraId="4A638E85">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0" w:type="pct"/>
            <w:tcBorders>
              <w:top w:val="single" w:color="000000" w:sz="4" w:space="0"/>
              <w:left w:val="nil"/>
              <w:bottom w:val="single" w:color="000000" w:sz="4" w:space="0"/>
              <w:right w:val="single" w:color="000000" w:sz="4" w:space="0"/>
            </w:tcBorders>
            <w:noWrap w:val="0"/>
            <w:vAlign w:val="center"/>
          </w:tcPr>
          <w:p w14:paraId="67D1587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41" w:type="pct"/>
            <w:tcBorders>
              <w:top w:val="nil"/>
              <w:left w:val="nil"/>
              <w:bottom w:val="single" w:color="000000" w:sz="4" w:space="0"/>
              <w:right w:val="single" w:color="000000" w:sz="8" w:space="0"/>
            </w:tcBorders>
            <w:noWrap w:val="0"/>
            <w:vAlign w:val="center"/>
          </w:tcPr>
          <w:p w14:paraId="73772FD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A76FDBE">
        <w:tblPrEx>
          <w:tblCellMar>
            <w:top w:w="0" w:type="dxa"/>
            <w:left w:w="108" w:type="dxa"/>
            <w:bottom w:w="0" w:type="dxa"/>
            <w:right w:w="108" w:type="dxa"/>
          </w:tblCellMar>
        </w:tblPrEx>
        <w:trPr>
          <w:trHeight w:val="680" w:hRule="atLeast"/>
        </w:trPr>
        <w:tc>
          <w:tcPr>
            <w:tcW w:w="416" w:type="pct"/>
            <w:tcBorders>
              <w:top w:val="nil"/>
              <w:left w:val="single" w:color="000000" w:sz="8" w:space="0"/>
              <w:bottom w:val="single" w:color="000000" w:sz="4" w:space="0"/>
              <w:right w:val="single" w:color="000000" w:sz="4" w:space="0"/>
            </w:tcBorders>
            <w:noWrap w:val="0"/>
            <w:vAlign w:val="center"/>
          </w:tcPr>
          <w:p w14:paraId="4E62C49F">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63" w:type="pct"/>
            <w:tcBorders>
              <w:top w:val="nil"/>
              <w:left w:val="nil"/>
              <w:bottom w:val="single" w:color="000000" w:sz="4" w:space="0"/>
              <w:right w:val="single" w:color="000000" w:sz="4" w:space="0"/>
            </w:tcBorders>
            <w:noWrap w:val="0"/>
            <w:vAlign w:val="center"/>
          </w:tcPr>
          <w:p w14:paraId="52B6EA5D">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58" w:type="pct"/>
            <w:tcBorders>
              <w:top w:val="single" w:color="000000" w:sz="4" w:space="0"/>
              <w:left w:val="nil"/>
              <w:bottom w:val="single" w:color="000000" w:sz="4" w:space="0"/>
              <w:right w:val="single" w:color="000000" w:sz="4" w:space="0"/>
            </w:tcBorders>
            <w:noWrap w:val="0"/>
            <w:vAlign w:val="center"/>
          </w:tcPr>
          <w:p w14:paraId="18C23038">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42" w:type="pct"/>
            <w:tcBorders>
              <w:top w:val="single" w:color="000000" w:sz="4" w:space="0"/>
              <w:left w:val="nil"/>
              <w:bottom w:val="single" w:color="000000" w:sz="4" w:space="0"/>
              <w:right w:val="single" w:color="000000" w:sz="4" w:space="0"/>
            </w:tcBorders>
            <w:noWrap w:val="0"/>
            <w:vAlign w:val="center"/>
          </w:tcPr>
          <w:p w14:paraId="0749EA6B">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0" w:type="pct"/>
            <w:tcBorders>
              <w:top w:val="single" w:color="000000" w:sz="4" w:space="0"/>
              <w:left w:val="nil"/>
              <w:bottom w:val="single" w:color="000000" w:sz="4" w:space="0"/>
              <w:right w:val="single" w:color="000000" w:sz="4" w:space="0"/>
            </w:tcBorders>
            <w:noWrap w:val="0"/>
            <w:vAlign w:val="center"/>
          </w:tcPr>
          <w:p w14:paraId="3559165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41" w:type="pct"/>
            <w:tcBorders>
              <w:top w:val="nil"/>
              <w:left w:val="nil"/>
              <w:bottom w:val="single" w:color="000000" w:sz="4" w:space="0"/>
              <w:right w:val="single" w:color="000000" w:sz="8" w:space="0"/>
            </w:tcBorders>
            <w:noWrap w:val="0"/>
            <w:vAlign w:val="center"/>
          </w:tcPr>
          <w:p w14:paraId="6F4EF909">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329C148">
        <w:tblPrEx>
          <w:tblCellMar>
            <w:top w:w="0" w:type="dxa"/>
            <w:left w:w="108" w:type="dxa"/>
            <w:bottom w:w="0" w:type="dxa"/>
            <w:right w:w="108" w:type="dxa"/>
          </w:tblCellMar>
        </w:tblPrEx>
        <w:trPr>
          <w:trHeight w:val="680" w:hRule="atLeast"/>
        </w:trPr>
        <w:tc>
          <w:tcPr>
            <w:tcW w:w="4159" w:type="pct"/>
            <w:gridSpan w:val="5"/>
            <w:tcBorders>
              <w:top w:val="single" w:color="000000" w:sz="4" w:space="0"/>
              <w:left w:val="single" w:color="000000" w:sz="8" w:space="0"/>
              <w:bottom w:val="single" w:color="000000" w:sz="8" w:space="0"/>
              <w:right w:val="single" w:color="000000" w:sz="4" w:space="0"/>
            </w:tcBorders>
            <w:noWrap w:val="0"/>
            <w:vAlign w:val="center"/>
          </w:tcPr>
          <w:p w14:paraId="278CA15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   计</w:t>
            </w:r>
          </w:p>
        </w:tc>
        <w:tc>
          <w:tcPr>
            <w:tcW w:w="841" w:type="pct"/>
            <w:tcBorders>
              <w:top w:val="nil"/>
              <w:left w:val="nil"/>
              <w:bottom w:val="single" w:color="000000" w:sz="8" w:space="0"/>
              <w:right w:val="single" w:color="000000" w:sz="8" w:space="0"/>
            </w:tcBorders>
            <w:noWrap w:val="0"/>
            <w:vAlign w:val="center"/>
          </w:tcPr>
          <w:p w14:paraId="08311AE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11D00BBD">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bookmarkStart w:id="1726" w:name="_Toc460660245"/>
      <w:bookmarkStart w:id="1727" w:name="_Toc460227130"/>
    </w:p>
    <w:p w14:paraId="37CE5218">
      <w:pPr>
        <w:pageBreakBefore w:val="0"/>
        <w:kinsoku/>
        <w:wordWrap w:val="0"/>
        <w:overflowPunct/>
        <w:bidi w:val="0"/>
        <w:rPr>
          <w:rStyle w:val="73"/>
          <w:rFonts w:hint="eastAsia" w:ascii="Times New Roman" w:hAnsi="Times New Roman"/>
          <w:smallCaps w:val="0"/>
          <w:color w:val="000000" w:themeColor="text1"/>
          <w:highlight w:val="none"/>
          <w14:textFill>
            <w14:solidFill>
              <w14:schemeClr w14:val="tx1"/>
            </w14:solidFill>
          </w14:textFill>
        </w:rPr>
      </w:pPr>
      <w:bookmarkStart w:id="1728" w:name="_Toc13266"/>
      <w:bookmarkStart w:id="1729" w:name="_Toc1394"/>
      <w:bookmarkStart w:id="1730" w:name="_Toc13435"/>
      <w:bookmarkStart w:id="1731" w:name="_Toc25270"/>
      <w:bookmarkStart w:id="1732" w:name="_Toc32009"/>
      <w:bookmarkStart w:id="1733" w:name="_Toc4869"/>
      <w:bookmarkStart w:id="1734" w:name="_Toc24207"/>
      <w:bookmarkStart w:id="1735" w:name="_Toc9149"/>
      <w:r>
        <w:rPr>
          <w:rStyle w:val="73"/>
          <w:rFonts w:hint="eastAsia" w:ascii="Times New Roman" w:hAnsi="Times New Roman"/>
          <w:smallCaps w:val="0"/>
          <w:color w:val="000000" w:themeColor="text1"/>
          <w:highlight w:val="none"/>
          <w14:textFill>
            <w14:solidFill>
              <w14:schemeClr w14:val="tx1"/>
            </w14:solidFill>
          </w14:textFill>
        </w:rPr>
        <w:br w:type="page"/>
      </w:r>
    </w:p>
    <w:p w14:paraId="1A591632">
      <w:pPr>
        <w:pageBreakBefore w:val="0"/>
        <w:kinsoku/>
        <w:wordWrap w:val="0"/>
        <w:overflowPunct/>
        <w:bidi w:val="0"/>
        <w:spacing w:before="48" w:beforeLines="20" w:after="48" w:afterLines="20" w:line="540" w:lineRule="exact"/>
        <w:ind w:left="-24" w:leftChars="-10" w:firstLine="1"/>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Style w:val="73"/>
          <w:rFonts w:hint="eastAsia" w:ascii="Times New Roman" w:hAnsi="Times New Roman"/>
          <w:smallCaps w:val="0"/>
          <w:color w:val="000000" w:themeColor="text1"/>
          <w:highlight w:val="none"/>
          <w14:textFill>
            <w14:solidFill>
              <w14:schemeClr w14:val="tx1"/>
            </w14:solidFill>
          </w14:textFill>
        </w:rPr>
        <w:t>（八）</w:t>
      </w:r>
      <w:bookmarkEnd w:id="1726"/>
      <w:bookmarkEnd w:id="1727"/>
      <w:r>
        <w:rPr>
          <w:rStyle w:val="73"/>
          <w:rFonts w:hint="eastAsia" w:ascii="Times New Roman" w:hAnsi="Times New Roman"/>
          <w:smallCaps w:val="0"/>
          <w:color w:val="000000" w:themeColor="text1"/>
          <w:highlight w:val="none"/>
          <w14:textFill>
            <w14:solidFill>
              <w14:schemeClr w14:val="tx1"/>
            </w14:solidFill>
          </w14:textFill>
        </w:rPr>
        <w:t>不可竞争项目清单与计价表</w:t>
      </w:r>
      <w:bookmarkEnd w:id="1728"/>
      <w:bookmarkEnd w:id="1729"/>
      <w:bookmarkEnd w:id="1730"/>
      <w:bookmarkEnd w:id="1731"/>
      <w:bookmarkEnd w:id="1732"/>
      <w:bookmarkEnd w:id="1733"/>
      <w:bookmarkEnd w:id="1734"/>
      <w:bookmarkEnd w:id="1735"/>
    </w:p>
    <w:p w14:paraId="7D2355BD">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800"/>
        <w:gridCol w:w="1582"/>
        <w:gridCol w:w="2363"/>
        <w:gridCol w:w="1582"/>
        <w:gridCol w:w="1248"/>
        <w:gridCol w:w="1600"/>
      </w:tblGrid>
      <w:tr w14:paraId="555BB7B7">
        <w:tblPrEx>
          <w:tblCellMar>
            <w:top w:w="0" w:type="dxa"/>
            <w:left w:w="108" w:type="dxa"/>
            <w:bottom w:w="0" w:type="dxa"/>
            <w:right w:w="108" w:type="dxa"/>
          </w:tblCellMar>
        </w:tblPrEx>
        <w:trPr>
          <w:trHeight w:val="690" w:hRule="atLeast"/>
        </w:trPr>
        <w:tc>
          <w:tcPr>
            <w:tcW w:w="436"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09ABA27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862" w:type="pct"/>
            <w:tcBorders>
              <w:top w:val="single" w:color="000000" w:sz="8" w:space="0"/>
              <w:left w:val="nil"/>
              <w:bottom w:val="single" w:color="000000" w:sz="4" w:space="0"/>
              <w:right w:val="single" w:color="000000" w:sz="4" w:space="0"/>
            </w:tcBorders>
            <w:shd w:val="clear" w:color="FFFFFF" w:fill="FFFFFF"/>
            <w:noWrap w:val="0"/>
            <w:vAlign w:val="center"/>
          </w:tcPr>
          <w:p w14:paraId="0C6490C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项目编码</w:t>
            </w:r>
          </w:p>
        </w:tc>
        <w:tc>
          <w:tcPr>
            <w:tcW w:w="1288" w:type="pct"/>
            <w:tcBorders>
              <w:top w:val="single" w:color="000000" w:sz="8" w:space="0"/>
              <w:left w:val="nil"/>
              <w:bottom w:val="single" w:color="000000" w:sz="4" w:space="0"/>
              <w:right w:val="single" w:color="000000" w:sz="4" w:space="0"/>
            </w:tcBorders>
            <w:shd w:val="clear" w:color="FFFFFF" w:fill="FFFFFF"/>
            <w:noWrap w:val="0"/>
            <w:vAlign w:val="center"/>
          </w:tcPr>
          <w:p w14:paraId="738A588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862" w:type="pct"/>
            <w:tcBorders>
              <w:top w:val="single" w:color="000000" w:sz="8" w:space="0"/>
              <w:left w:val="nil"/>
              <w:bottom w:val="single" w:color="000000" w:sz="4" w:space="0"/>
              <w:right w:val="single" w:color="000000" w:sz="4" w:space="0"/>
            </w:tcBorders>
            <w:shd w:val="clear" w:color="FFFFFF" w:fill="FFFFFF"/>
            <w:noWrap w:val="0"/>
            <w:vAlign w:val="center"/>
          </w:tcPr>
          <w:p w14:paraId="675E1A1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计算基础</w:t>
            </w:r>
          </w:p>
        </w:tc>
        <w:tc>
          <w:tcPr>
            <w:tcW w:w="680" w:type="pct"/>
            <w:tcBorders>
              <w:top w:val="single" w:color="000000" w:sz="8" w:space="0"/>
              <w:left w:val="nil"/>
              <w:bottom w:val="single" w:color="000000" w:sz="4" w:space="0"/>
              <w:right w:val="single" w:color="000000" w:sz="4" w:space="0"/>
            </w:tcBorders>
            <w:shd w:val="clear" w:color="FFFFFF" w:fill="FFFFFF"/>
            <w:noWrap w:val="0"/>
            <w:vAlign w:val="center"/>
          </w:tcPr>
          <w:p w14:paraId="44387F0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费率（%）</w:t>
            </w:r>
          </w:p>
        </w:tc>
        <w:tc>
          <w:tcPr>
            <w:tcW w:w="872" w:type="pct"/>
            <w:tcBorders>
              <w:top w:val="single" w:color="000000" w:sz="8" w:space="0"/>
              <w:left w:val="nil"/>
              <w:bottom w:val="single" w:color="000000" w:sz="4" w:space="0"/>
              <w:right w:val="single" w:color="000000" w:sz="8" w:space="0"/>
            </w:tcBorders>
            <w:shd w:val="clear" w:color="FFFFFF" w:fill="FFFFFF"/>
            <w:noWrap w:val="0"/>
            <w:vAlign w:val="center"/>
          </w:tcPr>
          <w:p w14:paraId="16F1B5B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金额（元）</w:t>
            </w:r>
          </w:p>
        </w:tc>
      </w:tr>
      <w:tr w14:paraId="59EDA157">
        <w:tblPrEx>
          <w:tblCellMar>
            <w:top w:w="0" w:type="dxa"/>
            <w:left w:w="108" w:type="dxa"/>
            <w:bottom w:w="0" w:type="dxa"/>
            <w:right w:w="108" w:type="dxa"/>
          </w:tblCellMar>
        </w:tblPrEx>
        <w:trPr>
          <w:trHeight w:val="680" w:hRule="atLeast"/>
        </w:trPr>
        <w:tc>
          <w:tcPr>
            <w:tcW w:w="436" w:type="pct"/>
            <w:tcBorders>
              <w:top w:val="nil"/>
              <w:left w:val="single" w:color="000000" w:sz="8" w:space="0"/>
              <w:bottom w:val="single" w:color="000000" w:sz="4" w:space="0"/>
              <w:right w:val="single" w:color="000000" w:sz="4" w:space="0"/>
            </w:tcBorders>
            <w:noWrap w:val="0"/>
            <w:vAlign w:val="center"/>
          </w:tcPr>
          <w:p w14:paraId="20A2478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62" w:type="pct"/>
            <w:tcBorders>
              <w:top w:val="nil"/>
              <w:left w:val="nil"/>
              <w:bottom w:val="single" w:color="000000" w:sz="4" w:space="0"/>
              <w:right w:val="single" w:color="000000" w:sz="4" w:space="0"/>
            </w:tcBorders>
            <w:noWrap w:val="0"/>
            <w:vAlign w:val="center"/>
          </w:tcPr>
          <w:p w14:paraId="33DD4BAD">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88" w:type="pct"/>
            <w:tcBorders>
              <w:top w:val="single" w:color="000000" w:sz="4" w:space="0"/>
              <w:left w:val="nil"/>
              <w:bottom w:val="single" w:color="000000" w:sz="4" w:space="0"/>
              <w:right w:val="single" w:color="000000" w:sz="4" w:space="0"/>
            </w:tcBorders>
            <w:noWrap w:val="0"/>
            <w:vAlign w:val="center"/>
          </w:tcPr>
          <w:p w14:paraId="13D895B7">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62" w:type="pct"/>
            <w:tcBorders>
              <w:top w:val="single" w:color="000000" w:sz="4" w:space="0"/>
              <w:left w:val="nil"/>
              <w:bottom w:val="single" w:color="000000" w:sz="4" w:space="0"/>
              <w:right w:val="single" w:color="000000" w:sz="4" w:space="0"/>
            </w:tcBorders>
            <w:noWrap w:val="0"/>
            <w:vAlign w:val="center"/>
          </w:tcPr>
          <w:p w14:paraId="3CE1FB71">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0" w:type="pct"/>
            <w:tcBorders>
              <w:top w:val="single" w:color="000000" w:sz="4" w:space="0"/>
              <w:left w:val="nil"/>
              <w:bottom w:val="single" w:color="000000" w:sz="4" w:space="0"/>
              <w:right w:val="single" w:color="000000" w:sz="4" w:space="0"/>
            </w:tcBorders>
            <w:noWrap w:val="0"/>
            <w:vAlign w:val="center"/>
          </w:tcPr>
          <w:p w14:paraId="19D5103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72" w:type="pct"/>
            <w:tcBorders>
              <w:top w:val="nil"/>
              <w:left w:val="nil"/>
              <w:bottom w:val="single" w:color="000000" w:sz="4" w:space="0"/>
              <w:right w:val="single" w:color="000000" w:sz="8" w:space="0"/>
            </w:tcBorders>
            <w:noWrap w:val="0"/>
            <w:vAlign w:val="center"/>
          </w:tcPr>
          <w:p w14:paraId="2EC5BE5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7E93B6A">
        <w:tblPrEx>
          <w:tblCellMar>
            <w:top w:w="0" w:type="dxa"/>
            <w:left w:w="108" w:type="dxa"/>
            <w:bottom w:w="0" w:type="dxa"/>
            <w:right w:w="108" w:type="dxa"/>
          </w:tblCellMar>
        </w:tblPrEx>
        <w:trPr>
          <w:trHeight w:val="680" w:hRule="atLeast"/>
        </w:trPr>
        <w:tc>
          <w:tcPr>
            <w:tcW w:w="436" w:type="pct"/>
            <w:tcBorders>
              <w:top w:val="nil"/>
              <w:left w:val="single" w:color="000000" w:sz="8" w:space="0"/>
              <w:bottom w:val="single" w:color="000000" w:sz="4" w:space="0"/>
              <w:right w:val="single" w:color="000000" w:sz="4" w:space="0"/>
            </w:tcBorders>
            <w:noWrap w:val="0"/>
            <w:vAlign w:val="center"/>
          </w:tcPr>
          <w:p w14:paraId="7795394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62" w:type="pct"/>
            <w:tcBorders>
              <w:top w:val="nil"/>
              <w:left w:val="nil"/>
              <w:bottom w:val="single" w:color="000000" w:sz="4" w:space="0"/>
              <w:right w:val="single" w:color="000000" w:sz="4" w:space="0"/>
            </w:tcBorders>
            <w:noWrap w:val="0"/>
            <w:vAlign w:val="center"/>
          </w:tcPr>
          <w:p w14:paraId="45B14BC7">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88" w:type="pct"/>
            <w:tcBorders>
              <w:top w:val="single" w:color="000000" w:sz="4" w:space="0"/>
              <w:left w:val="nil"/>
              <w:bottom w:val="single" w:color="000000" w:sz="4" w:space="0"/>
              <w:right w:val="single" w:color="000000" w:sz="4" w:space="0"/>
            </w:tcBorders>
            <w:noWrap w:val="0"/>
            <w:vAlign w:val="center"/>
          </w:tcPr>
          <w:p w14:paraId="465C1136">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62" w:type="pct"/>
            <w:tcBorders>
              <w:top w:val="single" w:color="000000" w:sz="4" w:space="0"/>
              <w:left w:val="nil"/>
              <w:bottom w:val="single" w:color="000000" w:sz="4" w:space="0"/>
              <w:right w:val="single" w:color="000000" w:sz="4" w:space="0"/>
            </w:tcBorders>
            <w:noWrap w:val="0"/>
            <w:vAlign w:val="center"/>
          </w:tcPr>
          <w:p w14:paraId="0ACE6976">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0" w:type="pct"/>
            <w:tcBorders>
              <w:top w:val="single" w:color="000000" w:sz="4" w:space="0"/>
              <w:left w:val="nil"/>
              <w:bottom w:val="single" w:color="000000" w:sz="4" w:space="0"/>
              <w:right w:val="single" w:color="000000" w:sz="4" w:space="0"/>
            </w:tcBorders>
            <w:noWrap w:val="0"/>
            <w:vAlign w:val="center"/>
          </w:tcPr>
          <w:p w14:paraId="73D655D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72" w:type="pct"/>
            <w:tcBorders>
              <w:top w:val="nil"/>
              <w:left w:val="nil"/>
              <w:bottom w:val="single" w:color="000000" w:sz="4" w:space="0"/>
              <w:right w:val="single" w:color="000000" w:sz="8" w:space="0"/>
            </w:tcBorders>
            <w:noWrap w:val="0"/>
            <w:vAlign w:val="center"/>
          </w:tcPr>
          <w:p w14:paraId="23CDDD9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AB75258">
        <w:tblPrEx>
          <w:tblCellMar>
            <w:top w:w="0" w:type="dxa"/>
            <w:left w:w="108" w:type="dxa"/>
            <w:bottom w:w="0" w:type="dxa"/>
            <w:right w:w="108" w:type="dxa"/>
          </w:tblCellMar>
        </w:tblPrEx>
        <w:trPr>
          <w:trHeight w:val="680" w:hRule="atLeast"/>
        </w:trPr>
        <w:tc>
          <w:tcPr>
            <w:tcW w:w="436" w:type="pct"/>
            <w:tcBorders>
              <w:top w:val="nil"/>
              <w:left w:val="single" w:color="000000" w:sz="8" w:space="0"/>
              <w:bottom w:val="single" w:color="000000" w:sz="4" w:space="0"/>
              <w:right w:val="single" w:color="000000" w:sz="4" w:space="0"/>
            </w:tcBorders>
            <w:noWrap w:val="0"/>
            <w:vAlign w:val="center"/>
          </w:tcPr>
          <w:p w14:paraId="5B6407E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62" w:type="pct"/>
            <w:tcBorders>
              <w:top w:val="nil"/>
              <w:left w:val="nil"/>
              <w:bottom w:val="single" w:color="000000" w:sz="4" w:space="0"/>
              <w:right w:val="single" w:color="000000" w:sz="4" w:space="0"/>
            </w:tcBorders>
            <w:noWrap w:val="0"/>
            <w:vAlign w:val="center"/>
          </w:tcPr>
          <w:p w14:paraId="04BAA286">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88" w:type="pct"/>
            <w:tcBorders>
              <w:top w:val="single" w:color="000000" w:sz="4" w:space="0"/>
              <w:left w:val="nil"/>
              <w:bottom w:val="single" w:color="000000" w:sz="4" w:space="0"/>
              <w:right w:val="single" w:color="000000" w:sz="4" w:space="0"/>
            </w:tcBorders>
            <w:noWrap w:val="0"/>
            <w:vAlign w:val="center"/>
          </w:tcPr>
          <w:p w14:paraId="29E83BBB">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62" w:type="pct"/>
            <w:tcBorders>
              <w:top w:val="single" w:color="000000" w:sz="4" w:space="0"/>
              <w:left w:val="nil"/>
              <w:bottom w:val="single" w:color="000000" w:sz="4" w:space="0"/>
              <w:right w:val="single" w:color="000000" w:sz="4" w:space="0"/>
            </w:tcBorders>
            <w:noWrap w:val="0"/>
            <w:vAlign w:val="center"/>
          </w:tcPr>
          <w:p w14:paraId="3124DD86">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0" w:type="pct"/>
            <w:tcBorders>
              <w:top w:val="single" w:color="000000" w:sz="4" w:space="0"/>
              <w:left w:val="nil"/>
              <w:bottom w:val="single" w:color="000000" w:sz="4" w:space="0"/>
              <w:right w:val="single" w:color="000000" w:sz="4" w:space="0"/>
            </w:tcBorders>
            <w:noWrap w:val="0"/>
            <w:vAlign w:val="center"/>
          </w:tcPr>
          <w:p w14:paraId="78D81A9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72" w:type="pct"/>
            <w:tcBorders>
              <w:top w:val="nil"/>
              <w:left w:val="nil"/>
              <w:bottom w:val="single" w:color="000000" w:sz="4" w:space="0"/>
              <w:right w:val="single" w:color="000000" w:sz="8" w:space="0"/>
            </w:tcBorders>
            <w:noWrap w:val="0"/>
            <w:vAlign w:val="center"/>
          </w:tcPr>
          <w:p w14:paraId="655FE0D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03AF227">
        <w:tblPrEx>
          <w:tblCellMar>
            <w:top w:w="0" w:type="dxa"/>
            <w:left w:w="108" w:type="dxa"/>
            <w:bottom w:w="0" w:type="dxa"/>
            <w:right w:w="108" w:type="dxa"/>
          </w:tblCellMar>
        </w:tblPrEx>
        <w:trPr>
          <w:trHeight w:val="680" w:hRule="atLeast"/>
        </w:trPr>
        <w:tc>
          <w:tcPr>
            <w:tcW w:w="436" w:type="pct"/>
            <w:tcBorders>
              <w:top w:val="nil"/>
              <w:left w:val="single" w:color="000000" w:sz="8" w:space="0"/>
              <w:bottom w:val="single" w:color="000000" w:sz="4" w:space="0"/>
              <w:right w:val="single" w:color="000000" w:sz="4" w:space="0"/>
            </w:tcBorders>
            <w:noWrap w:val="0"/>
            <w:vAlign w:val="center"/>
          </w:tcPr>
          <w:p w14:paraId="4C24B57F">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62" w:type="pct"/>
            <w:tcBorders>
              <w:top w:val="nil"/>
              <w:left w:val="nil"/>
              <w:bottom w:val="single" w:color="000000" w:sz="4" w:space="0"/>
              <w:right w:val="single" w:color="000000" w:sz="4" w:space="0"/>
            </w:tcBorders>
            <w:noWrap w:val="0"/>
            <w:vAlign w:val="center"/>
          </w:tcPr>
          <w:p w14:paraId="408D92A5">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88" w:type="pct"/>
            <w:tcBorders>
              <w:top w:val="single" w:color="000000" w:sz="4" w:space="0"/>
              <w:left w:val="nil"/>
              <w:bottom w:val="single" w:color="000000" w:sz="4" w:space="0"/>
              <w:right w:val="single" w:color="000000" w:sz="4" w:space="0"/>
            </w:tcBorders>
            <w:noWrap w:val="0"/>
            <w:vAlign w:val="center"/>
          </w:tcPr>
          <w:p w14:paraId="14DF7419">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62" w:type="pct"/>
            <w:tcBorders>
              <w:top w:val="single" w:color="000000" w:sz="4" w:space="0"/>
              <w:left w:val="nil"/>
              <w:bottom w:val="single" w:color="000000" w:sz="4" w:space="0"/>
              <w:right w:val="single" w:color="000000" w:sz="4" w:space="0"/>
            </w:tcBorders>
            <w:noWrap w:val="0"/>
            <w:vAlign w:val="center"/>
          </w:tcPr>
          <w:p w14:paraId="37A4DF01">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0" w:type="pct"/>
            <w:tcBorders>
              <w:top w:val="single" w:color="000000" w:sz="4" w:space="0"/>
              <w:left w:val="nil"/>
              <w:bottom w:val="single" w:color="000000" w:sz="4" w:space="0"/>
              <w:right w:val="single" w:color="000000" w:sz="4" w:space="0"/>
            </w:tcBorders>
            <w:noWrap w:val="0"/>
            <w:vAlign w:val="center"/>
          </w:tcPr>
          <w:p w14:paraId="419915B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72" w:type="pct"/>
            <w:tcBorders>
              <w:top w:val="nil"/>
              <w:left w:val="nil"/>
              <w:bottom w:val="single" w:color="000000" w:sz="4" w:space="0"/>
              <w:right w:val="single" w:color="000000" w:sz="8" w:space="0"/>
            </w:tcBorders>
            <w:noWrap w:val="0"/>
            <w:vAlign w:val="center"/>
          </w:tcPr>
          <w:p w14:paraId="23ACCB2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D86D9D3">
        <w:tblPrEx>
          <w:tblCellMar>
            <w:top w:w="0" w:type="dxa"/>
            <w:left w:w="108" w:type="dxa"/>
            <w:bottom w:w="0" w:type="dxa"/>
            <w:right w:w="108" w:type="dxa"/>
          </w:tblCellMar>
        </w:tblPrEx>
        <w:trPr>
          <w:trHeight w:val="680" w:hRule="atLeast"/>
        </w:trPr>
        <w:tc>
          <w:tcPr>
            <w:tcW w:w="4128" w:type="pct"/>
            <w:gridSpan w:val="5"/>
            <w:tcBorders>
              <w:top w:val="single" w:color="000000" w:sz="4" w:space="0"/>
              <w:left w:val="single" w:color="000000" w:sz="8" w:space="0"/>
              <w:bottom w:val="single" w:color="000000" w:sz="8" w:space="0"/>
              <w:right w:val="single" w:color="000000" w:sz="4" w:space="0"/>
            </w:tcBorders>
            <w:noWrap w:val="0"/>
            <w:vAlign w:val="center"/>
          </w:tcPr>
          <w:p w14:paraId="590DB1A8">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   计</w:t>
            </w:r>
          </w:p>
        </w:tc>
        <w:tc>
          <w:tcPr>
            <w:tcW w:w="872" w:type="pct"/>
            <w:tcBorders>
              <w:top w:val="nil"/>
              <w:left w:val="nil"/>
              <w:bottom w:val="single" w:color="000000" w:sz="8" w:space="0"/>
              <w:right w:val="single" w:color="000000" w:sz="8" w:space="0"/>
            </w:tcBorders>
            <w:noWrap w:val="0"/>
            <w:vAlign w:val="center"/>
          </w:tcPr>
          <w:p w14:paraId="19A1322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56511CB6">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736" w:name="_Toc460660246"/>
      <w:bookmarkStart w:id="1737" w:name="_Toc460227131"/>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738" w:name="_Toc7589"/>
      <w:bookmarkStart w:id="1739" w:name="_Toc20681"/>
      <w:bookmarkStart w:id="1740" w:name="_Toc30899"/>
      <w:bookmarkStart w:id="1741" w:name="_Toc17691"/>
      <w:bookmarkStart w:id="1742" w:name="_Toc12083"/>
      <w:bookmarkStart w:id="1743" w:name="_Toc1868"/>
      <w:bookmarkStart w:id="1744" w:name="_Toc10007"/>
      <w:bookmarkStart w:id="1745" w:name="_Toc11726"/>
      <w:r>
        <w:rPr>
          <w:rStyle w:val="73"/>
          <w:rFonts w:hint="eastAsia" w:ascii="Times New Roman" w:hAnsi="Times New Roman"/>
          <w:smallCaps w:val="0"/>
          <w:color w:val="000000" w:themeColor="text1"/>
          <w:highlight w:val="none"/>
          <w14:textFill>
            <w14:solidFill>
              <w14:schemeClr w14:val="tx1"/>
            </w14:solidFill>
          </w14:textFill>
        </w:rPr>
        <w:t>（九）</w:t>
      </w:r>
      <w:bookmarkEnd w:id="1736"/>
      <w:bookmarkEnd w:id="1737"/>
      <w:r>
        <w:rPr>
          <w:rStyle w:val="73"/>
          <w:rFonts w:hint="eastAsia" w:ascii="Times New Roman" w:hAnsi="Times New Roman"/>
          <w:smallCaps w:val="0"/>
          <w:color w:val="000000" w:themeColor="text1"/>
          <w:highlight w:val="none"/>
          <w14:textFill>
            <w14:solidFill>
              <w14:schemeClr w14:val="tx1"/>
            </w14:solidFill>
          </w14:textFill>
        </w:rPr>
        <w:t>其他项目清单与计价汇总表</w:t>
      </w:r>
      <w:bookmarkEnd w:id="1738"/>
      <w:bookmarkEnd w:id="1739"/>
      <w:bookmarkEnd w:id="1740"/>
      <w:bookmarkEnd w:id="1741"/>
      <w:bookmarkEnd w:id="1742"/>
      <w:bookmarkEnd w:id="1743"/>
      <w:bookmarkEnd w:id="1744"/>
      <w:bookmarkEnd w:id="1745"/>
    </w:p>
    <w:p w14:paraId="5BAFD1CF">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1663"/>
        <w:gridCol w:w="4167"/>
        <w:gridCol w:w="3345"/>
      </w:tblGrid>
      <w:tr w14:paraId="720D5984">
        <w:tblPrEx>
          <w:tblCellMar>
            <w:top w:w="0" w:type="dxa"/>
            <w:left w:w="108" w:type="dxa"/>
            <w:bottom w:w="0" w:type="dxa"/>
            <w:right w:w="108" w:type="dxa"/>
          </w:tblCellMar>
        </w:tblPrEx>
        <w:trPr>
          <w:trHeight w:val="690" w:hRule="atLeast"/>
        </w:trPr>
        <w:tc>
          <w:tcPr>
            <w:tcW w:w="906"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61BCBDE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2271" w:type="pct"/>
            <w:tcBorders>
              <w:top w:val="single" w:color="000000" w:sz="8" w:space="0"/>
              <w:left w:val="nil"/>
              <w:bottom w:val="single" w:color="000000" w:sz="4" w:space="0"/>
              <w:right w:val="single" w:color="000000" w:sz="4" w:space="0"/>
            </w:tcBorders>
            <w:shd w:val="clear" w:color="FFFFFF" w:fill="FFFFFF"/>
            <w:noWrap w:val="0"/>
            <w:vAlign w:val="center"/>
          </w:tcPr>
          <w:p w14:paraId="0A441A3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1823" w:type="pct"/>
            <w:tcBorders>
              <w:top w:val="single" w:color="000000" w:sz="8" w:space="0"/>
              <w:left w:val="nil"/>
              <w:bottom w:val="single" w:color="000000" w:sz="4" w:space="0"/>
              <w:right w:val="single" w:color="000000" w:sz="8" w:space="0"/>
            </w:tcBorders>
            <w:shd w:val="clear" w:color="FFFFFF" w:fill="FFFFFF"/>
            <w:noWrap w:val="0"/>
            <w:vAlign w:val="center"/>
          </w:tcPr>
          <w:p w14:paraId="0156C39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金额(元)</w:t>
            </w:r>
          </w:p>
        </w:tc>
      </w:tr>
      <w:tr w14:paraId="704F5DB9">
        <w:tblPrEx>
          <w:tblCellMar>
            <w:top w:w="0" w:type="dxa"/>
            <w:left w:w="108" w:type="dxa"/>
            <w:bottom w:w="0" w:type="dxa"/>
            <w:right w:w="108" w:type="dxa"/>
          </w:tblCellMar>
        </w:tblPrEx>
        <w:trPr>
          <w:trHeight w:val="680" w:hRule="atLeast"/>
        </w:trPr>
        <w:tc>
          <w:tcPr>
            <w:tcW w:w="906" w:type="pct"/>
            <w:tcBorders>
              <w:top w:val="nil"/>
              <w:left w:val="single" w:color="000000" w:sz="8" w:space="0"/>
              <w:bottom w:val="single" w:color="000000" w:sz="4" w:space="0"/>
              <w:right w:val="single" w:color="000000" w:sz="4" w:space="0"/>
            </w:tcBorders>
            <w:noWrap w:val="0"/>
            <w:vAlign w:val="center"/>
          </w:tcPr>
          <w:p w14:paraId="4BBFB0F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271" w:type="pct"/>
            <w:tcBorders>
              <w:top w:val="single" w:color="000000" w:sz="4" w:space="0"/>
              <w:left w:val="nil"/>
              <w:bottom w:val="single" w:color="000000" w:sz="4" w:space="0"/>
              <w:right w:val="single" w:color="000000" w:sz="4" w:space="0"/>
            </w:tcBorders>
            <w:noWrap w:val="0"/>
            <w:vAlign w:val="center"/>
          </w:tcPr>
          <w:p w14:paraId="3F95FD07">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823" w:type="pct"/>
            <w:tcBorders>
              <w:top w:val="single" w:color="000000" w:sz="4" w:space="0"/>
              <w:left w:val="nil"/>
              <w:bottom w:val="single" w:color="000000" w:sz="4" w:space="0"/>
              <w:right w:val="single" w:color="000000" w:sz="8" w:space="0"/>
            </w:tcBorders>
            <w:noWrap w:val="0"/>
            <w:vAlign w:val="center"/>
          </w:tcPr>
          <w:p w14:paraId="06BD154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　</w:t>
            </w:r>
          </w:p>
        </w:tc>
      </w:tr>
      <w:tr w14:paraId="4F51CC5E">
        <w:tblPrEx>
          <w:tblCellMar>
            <w:top w:w="0" w:type="dxa"/>
            <w:left w:w="108" w:type="dxa"/>
            <w:bottom w:w="0" w:type="dxa"/>
            <w:right w:w="108" w:type="dxa"/>
          </w:tblCellMar>
        </w:tblPrEx>
        <w:trPr>
          <w:trHeight w:val="680" w:hRule="atLeast"/>
        </w:trPr>
        <w:tc>
          <w:tcPr>
            <w:tcW w:w="906" w:type="pct"/>
            <w:tcBorders>
              <w:top w:val="nil"/>
              <w:left w:val="single" w:color="000000" w:sz="8" w:space="0"/>
              <w:bottom w:val="single" w:color="000000" w:sz="4" w:space="0"/>
              <w:right w:val="single" w:color="000000" w:sz="4" w:space="0"/>
            </w:tcBorders>
            <w:noWrap w:val="0"/>
            <w:vAlign w:val="center"/>
          </w:tcPr>
          <w:p w14:paraId="37B37EA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271" w:type="pct"/>
            <w:tcBorders>
              <w:top w:val="single" w:color="000000" w:sz="4" w:space="0"/>
              <w:left w:val="nil"/>
              <w:bottom w:val="single" w:color="000000" w:sz="4" w:space="0"/>
              <w:right w:val="single" w:color="000000" w:sz="4" w:space="0"/>
            </w:tcBorders>
            <w:noWrap w:val="0"/>
            <w:vAlign w:val="center"/>
          </w:tcPr>
          <w:p w14:paraId="0B21E868">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823" w:type="pct"/>
            <w:tcBorders>
              <w:top w:val="single" w:color="000000" w:sz="4" w:space="0"/>
              <w:left w:val="nil"/>
              <w:bottom w:val="single" w:color="000000" w:sz="4" w:space="0"/>
              <w:right w:val="single" w:color="000000" w:sz="8" w:space="0"/>
            </w:tcBorders>
            <w:noWrap w:val="0"/>
            <w:vAlign w:val="center"/>
          </w:tcPr>
          <w:p w14:paraId="5104655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　</w:t>
            </w:r>
          </w:p>
        </w:tc>
      </w:tr>
      <w:tr w14:paraId="25440A45">
        <w:tblPrEx>
          <w:tblCellMar>
            <w:top w:w="0" w:type="dxa"/>
            <w:left w:w="108" w:type="dxa"/>
            <w:bottom w:w="0" w:type="dxa"/>
            <w:right w:w="108" w:type="dxa"/>
          </w:tblCellMar>
        </w:tblPrEx>
        <w:trPr>
          <w:trHeight w:val="680" w:hRule="atLeast"/>
        </w:trPr>
        <w:tc>
          <w:tcPr>
            <w:tcW w:w="906" w:type="pct"/>
            <w:tcBorders>
              <w:top w:val="nil"/>
              <w:left w:val="single" w:color="000000" w:sz="8" w:space="0"/>
              <w:bottom w:val="single" w:color="000000" w:sz="4" w:space="0"/>
              <w:right w:val="single" w:color="000000" w:sz="4" w:space="0"/>
            </w:tcBorders>
            <w:noWrap w:val="0"/>
            <w:vAlign w:val="center"/>
          </w:tcPr>
          <w:p w14:paraId="2BF3FA8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271" w:type="pct"/>
            <w:tcBorders>
              <w:top w:val="single" w:color="000000" w:sz="4" w:space="0"/>
              <w:left w:val="nil"/>
              <w:bottom w:val="single" w:color="000000" w:sz="4" w:space="0"/>
              <w:right w:val="single" w:color="000000" w:sz="4" w:space="0"/>
            </w:tcBorders>
            <w:noWrap w:val="0"/>
            <w:vAlign w:val="center"/>
          </w:tcPr>
          <w:p w14:paraId="38AC923B">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823" w:type="pct"/>
            <w:tcBorders>
              <w:top w:val="single" w:color="000000" w:sz="4" w:space="0"/>
              <w:left w:val="nil"/>
              <w:bottom w:val="single" w:color="000000" w:sz="4" w:space="0"/>
              <w:right w:val="single" w:color="000000" w:sz="8" w:space="0"/>
            </w:tcBorders>
            <w:noWrap w:val="0"/>
            <w:vAlign w:val="center"/>
          </w:tcPr>
          <w:p w14:paraId="0C213F8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　</w:t>
            </w:r>
          </w:p>
        </w:tc>
      </w:tr>
      <w:tr w14:paraId="24C4776D">
        <w:tblPrEx>
          <w:tblCellMar>
            <w:top w:w="0" w:type="dxa"/>
            <w:left w:w="108" w:type="dxa"/>
            <w:bottom w:w="0" w:type="dxa"/>
            <w:right w:w="108" w:type="dxa"/>
          </w:tblCellMar>
        </w:tblPrEx>
        <w:trPr>
          <w:trHeight w:val="680" w:hRule="atLeast"/>
        </w:trPr>
        <w:tc>
          <w:tcPr>
            <w:tcW w:w="3177" w:type="pct"/>
            <w:gridSpan w:val="2"/>
            <w:tcBorders>
              <w:top w:val="single" w:color="000000" w:sz="4" w:space="0"/>
              <w:left w:val="single" w:color="000000" w:sz="8" w:space="0"/>
              <w:bottom w:val="single" w:color="000000" w:sz="8" w:space="0"/>
              <w:right w:val="single" w:color="000000" w:sz="4" w:space="0"/>
            </w:tcBorders>
            <w:noWrap w:val="0"/>
            <w:vAlign w:val="center"/>
          </w:tcPr>
          <w:p w14:paraId="02059474">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  计</w:t>
            </w:r>
          </w:p>
        </w:tc>
        <w:tc>
          <w:tcPr>
            <w:tcW w:w="1823" w:type="pct"/>
            <w:tcBorders>
              <w:top w:val="single" w:color="000000" w:sz="4" w:space="0"/>
              <w:left w:val="nil"/>
              <w:bottom w:val="single" w:color="000000" w:sz="8" w:space="0"/>
              <w:right w:val="single" w:color="000000" w:sz="8" w:space="0"/>
            </w:tcBorders>
            <w:noWrap w:val="0"/>
            <w:vAlign w:val="center"/>
          </w:tcPr>
          <w:p w14:paraId="56C810E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1AE1FCD1">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bookmarkStart w:id="1746" w:name="_Toc460227132"/>
      <w:bookmarkStart w:id="1747" w:name="_Toc460660247"/>
      <w:bookmarkStart w:id="1748" w:name="_Toc535241136"/>
    </w:p>
    <w:p w14:paraId="02E2CD9C">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p>
    <w:p w14:paraId="0B8DE3AF">
      <w:pPr>
        <w:pageBreakBefore w:val="0"/>
        <w:kinsoku/>
        <w:wordWrap w:val="0"/>
        <w:overflowPunct/>
        <w:bidi w:val="0"/>
        <w:rPr>
          <w:rFonts w:hint="eastAsia" w:ascii="Times New Roman" w:hAnsi="Times New Roman" w:cs="宋体"/>
          <w:smallCaps w:val="0"/>
          <w:color w:val="000000" w:themeColor="text1"/>
          <w:sz w:val="28"/>
          <w:szCs w:val="28"/>
          <w:highlight w:val="none"/>
          <w14:textFill>
            <w14:solidFill>
              <w14:schemeClr w14:val="tx1"/>
            </w14:solidFill>
          </w14:textFill>
        </w:rPr>
      </w:pPr>
      <w:bookmarkStart w:id="1749" w:name="_Toc22632"/>
      <w:bookmarkStart w:id="1750" w:name="_Toc7473"/>
      <w:bookmarkStart w:id="1751" w:name="_Toc29902"/>
      <w:bookmarkStart w:id="1752" w:name="_Toc490"/>
      <w:bookmarkStart w:id="1753" w:name="_Toc322"/>
      <w:bookmarkStart w:id="1754" w:name="_Toc22646"/>
      <w:bookmarkStart w:id="1755" w:name="_Toc16673"/>
      <w:bookmarkStart w:id="1756" w:name="_Toc16229"/>
      <w:r>
        <w:rPr>
          <w:rFonts w:hint="eastAsia" w:ascii="Times New Roman" w:hAnsi="Times New Roman" w:cs="宋体"/>
          <w:smallCaps w:val="0"/>
          <w:color w:val="000000" w:themeColor="text1"/>
          <w:sz w:val="28"/>
          <w:szCs w:val="28"/>
          <w:highlight w:val="none"/>
          <w14:textFill>
            <w14:solidFill>
              <w14:schemeClr w14:val="tx1"/>
            </w14:solidFill>
          </w14:textFill>
        </w:rPr>
        <w:br w:type="page"/>
      </w:r>
    </w:p>
    <w:p w14:paraId="14207BA0">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Style w:val="73"/>
          <w:rFonts w:hint="eastAsia" w:ascii="Times New Roman" w:hAnsi="Times New Roman"/>
          <w:smallCaps w:val="0"/>
          <w:color w:val="000000" w:themeColor="text1"/>
          <w:highlight w:val="none"/>
          <w14:textFill>
            <w14:solidFill>
              <w14:schemeClr w14:val="tx1"/>
            </w14:solidFill>
          </w14:textFill>
        </w:rPr>
        <w:t>（十）</w:t>
      </w:r>
      <w:bookmarkEnd w:id="1746"/>
      <w:bookmarkEnd w:id="1747"/>
      <w:r>
        <w:rPr>
          <w:rStyle w:val="73"/>
          <w:rFonts w:hint="eastAsia" w:ascii="Times New Roman" w:hAnsi="Times New Roman"/>
          <w:smallCaps w:val="0"/>
          <w:color w:val="000000" w:themeColor="text1"/>
          <w:highlight w:val="none"/>
          <w14:textFill>
            <w14:solidFill>
              <w14:schemeClr w14:val="tx1"/>
            </w14:solidFill>
          </w14:textFill>
        </w:rPr>
        <w:t>暂列金额明细表</w:t>
      </w:r>
      <w:bookmarkEnd w:id="1748"/>
      <w:bookmarkEnd w:id="1749"/>
      <w:bookmarkEnd w:id="1750"/>
      <w:bookmarkEnd w:id="1751"/>
      <w:bookmarkEnd w:id="1752"/>
      <w:bookmarkEnd w:id="1753"/>
      <w:bookmarkEnd w:id="1754"/>
      <w:bookmarkEnd w:id="1755"/>
      <w:bookmarkEnd w:id="1756"/>
    </w:p>
    <w:p w14:paraId="4AD5E671">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936"/>
        <w:gridCol w:w="3239"/>
        <w:gridCol w:w="1388"/>
        <w:gridCol w:w="1874"/>
        <w:gridCol w:w="1738"/>
      </w:tblGrid>
      <w:tr w14:paraId="2141D10F">
        <w:tblPrEx>
          <w:tblCellMar>
            <w:top w:w="0" w:type="dxa"/>
            <w:left w:w="108" w:type="dxa"/>
            <w:bottom w:w="0" w:type="dxa"/>
            <w:right w:w="108" w:type="dxa"/>
          </w:tblCellMar>
        </w:tblPrEx>
        <w:trPr>
          <w:trHeight w:val="690" w:hRule="atLeast"/>
        </w:trPr>
        <w:tc>
          <w:tcPr>
            <w:tcW w:w="510"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222483C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765" w:type="pct"/>
            <w:tcBorders>
              <w:top w:val="single" w:color="000000" w:sz="8" w:space="0"/>
              <w:left w:val="nil"/>
              <w:bottom w:val="single" w:color="000000" w:sz="4" w:space="0"/>
              <w:right w:val="single" w:color="000000" w:sz="4" w:space="0"/>
            </w:tcBorders>
            <w:shd w:val="clear" w:color="FFFFFF" w:fill="FFFFFF"/>
            <w:noWrap w:val="0"/>
            <w:vAlign w:val="center"/>
          </w:tcPr>
          <w:p w14:paraId="4B562B0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项目名称</w:t>
            </w:r>
          </w:p>
        </w:tc>
        <w:tc>
          <w:tcPr>
            <w:tcW w:w="755" w:type="pct"/>
            <w:tcBorders>
              <w:top w:val="single" w:color="000000" w:sz="8" w:space="0"/>
              <w:left w:val="nil"/>
              <w:bottom w:val="single" w:color="000000" w:sz="4" w:space="0"/>
              <w:right w:val="single" w:color="000000" w:sz="4" w:space="0"/>
            </w:tcBorders>
            <w:shd w:val="clear" w:color="FFFFFF" w:fill="FFFFFF"/>
            <w:noWrap w:val="0"/>
            <w:vAlign w:val="center"/>
          </w:tcPr>
          <w:p w14:paraId="1E2D1A7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计量单位</w:t>
            </w:r>
          </w:p>
        </w:tc>
        <w:tc>
          <w:tcPr>
            <w:tcW w:w="1021" w:type="pct"/>
            <w:tcBorders>
              <w:top w:val="single" w:color="000000" w:sz="8" w:space="0"/>
              <w:left w:val="nil"/>
              <w:bottom w:val="single" w:color="000000" w:sz="4" w:space="0"/>
              <w:right w:val="single" w:color="000000" w:sz="4" w:space="0"/>
            </w:tcBorders>
            <w:shd w:val="clear" w:color="FFFFFF" w:fill="FFFFFF"/>
            <w:noWrap w:val="0"/>
            <w:vAlign w:val="center"/>
          </w:tcPr>
          <w:p w14:paraId="0737F658">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暂定金额(元)</w:t>
            </w:r>
          </w:p>
        </w:tc>
        <w:tc>
          <w:tcPr>
            <w:tcW w:w="947" w:type="pct"/>
            <w:tcBorders>
              <w:top w:val="single" w:color="000000" w:sz="8" w:space="0"/>
              <w:left w:val="nil"/>
              <w:bottom w:val="single" w:color="000000" w:sz="4" w:space="0"/>
              <w:right w:val="single" w:color="000000" w:sz="8" w:space="0"/>
            </w:tcBorders>
            <w:shd w:val="clear" w:color="FFFFFF" w:fill="FFFFFF"/>
            <w:noWrap w:val="0"/>
            <w:vAlign w:val="center"/>
          </w:tcPr>
          <w:p w14:paraId="28DDCF05">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0ED26035">
        <w:tblPrEx>
          <w:tblCellMar>
            <w:top w:w="0" w:type="dxa"/>
            <w:left w:w="108" w:type="dxa"/>
            <w:bottom w:w="0" w:type="dxa"/>
            <w:right w:w="108" w:type="dxa"/>
          </w:tblCellMar>
        </w:tblPrEx>
        <w:trPr>
          <w:trHeight w:val="680" w:hRule="atLeast"/>
        </w:trPr>
        <w:tc>
          <w:tcPr>
            <w:tcW w:w="510" w:type="pct"/>
            <w:tcBorders>
              <w:top w:val="nil"/>
              <w:left w:val="single" w:color="000000" w:sz="8" w:space="0"/>
              <w:bottom w:val="single" w:color="000000" w:sz="4" w:space="0"/>
              <w:right w:val="single" w:color="000000" w:sz="4" w:space="0"/>
            </w:tcBorders>
            <w:noWrap w:val="0"/>
            <w:vAlign w:val="center"/>
          </w:tcPr>
          <w:p w14:paraId="47760D6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765" w:type="pct"/>
            <w:tcBorders>
              <w:top w:val="single" w:color="000000" w:sz="4" w:space="0"/>
              <w:left w:val="nil"/>
              <w:bottom w:val="single" w:color="000000" w:sz="4" w:space="0"/>
              <w:right w:val="single" w:color="000000" w:sz="4" w:space="0"/>
            </w:tcBorders>
            <w:noWrap w:val="0"/>
            <w:vAlign w:val="center"/>
          </w:tcPr>
          <w:p w14:paraId="727BA5F8">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55" w:type="pct"/>
            <w:tcBorders>
              <w:top w:val="nil"/>
              <w:left w:val="nil"/>
              <w:bottom w:val="single" w:color="000000" w:sz="4" w:space="0"/>
              <w:right w:val="single" w:color="000000" w:sz="4" w:space="0"/>
            </w:tcBorders>
            <w:noWrap w:val="0"/>
            <w:vAlign w:val="center"/>
          </w:tcPr>
          <w:p w14:paraId="62FF0A69">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021" w:type="pct"/>
            <w:tcBorders>
              <w:top w:val="single" w:color="000000" w:sz="4" w:space="0"/>
              <w:left w:val="nil"/>
              <w:bottom w:val="single" w:color="000000" w:sz="4" w:space="0"/>
              <w:right w:val="single" w:color="000000" w:sz="4" w:space="0"/>
            </w:tcBorders>
            <w:noWrap w:val="0"/>
            <w:vAlign w:val="center"/>
          </w:tcPr>
          <w:p w14:paraId="19C87A1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47" w:type="pct"/>
            <w:tcBorders>
              <w:top w:val="nil"/>
              <w:left w:val="nil"/>
              <w:bottom w:val="single" w:color="000000" w:sz="4" w:space="0"/>
              <w:right w:val="single" w:color="000000" w:sz="8" w:space="0"/>
            </w:tcBorders>
            <w:noWrap w:val="0"/>
            <w:vAlign w:val="center"/>
          </w:tcPr>
          <w:p w14:paraId="0F7AC88A">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79D94C5">
        <w:tblPrEx>
          <w:tblCellMar>
            <w:top w:w="0" w:type="dxa"/>
            <w:left w:w="108" w:type="dxa"/>
            <w:bottom w:w="0" w:type="dxa"/>
            <w:right w:w="108" w:type="dxa"/>
          </w:tblCellMar>
        </w:tblPrEx>
        <w:trPr>
          <w:trHeight w:val="680" w:hRule="atLeast"/>
        </w:trPr>
        <w:tc>
          <w:tcPr>
            <w:tcW w:w="510" w:type="pct"/>
            <w:tcBorders>
              <w:top w:val="nil"/>
              <w:left w:val="single" w:color="000000" w:sz="8" w:space="0"/>
              <w:bottom w:val="single" w:color="000000" w:sz="4" w:space="0"/>
              <w:right w:val="single" w:color="000000" w:sz="4" w:space="0"/>
            </w:tcBorders>
            <w:noWrap w:val="0"/>
            <w:vAlign w:val="center"/>
          </w:tcPr>
          <w:p w14:paraId="0801FDD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765" w:type="pct"/>
            <w:tcBorders>
              <w:top w:val="single" w:color="000000" w:sz="4" w:space="0"/>
              <w:left w:val="nil"/>
              <w:bottom w:val="single" w:color="000000" w:sz="4" w:space="0"/>
              <w:right w:val="single" w:color="000000" w:sz="4" w:space="0"/>
            </w:tcBorders>
            <w:noWrap w:val="0"/>
            <w:vAlign w:val="center"/>
          </w:tcPr>
          <w:p w14:paraId="18DFC498">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55" w:type="pct"/>
            <w:tcBorders>
              <w:top w:val="nil"/>
              <w:left w:val="nil"/>
              <w:bottom w:val="single" w:color="000000" w:sz="4" w:space="0"/>
              <w:right w:val="single" w:color="000000" w:sz="4" w:space="0"/>
            </w:tcBorders>
            <w:noWrap w:val="0"/>
            <w:vAlign w:val="center"/>
          </w:tcPr>
          <w:p w14:paraId="4826555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021" w:type="pct"/>
            <w:tcBorders>
              <w:top w:val="single" w:color="000000" w:sz="4" w:space="0"/>
              <w:left w:val="nil"/>
              <w:bottom w:val="single" w:color="000000" w:sz="4" w:space="0"/>
              <w:right w:val="single" w:color="000000" w:sz="4" w:space="0"/>
            </w:tcBorders>
            <w:noWrap w:val="0"/>
            <w:vAlign w:val="center"/>
          </w:tcPr>
          <w:p w14:paraId="1602FA5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47" w:type="pct"/>
            <w:tcBorders>
              <w:top w:val="nil"/>
              <w:left w:val="nil"/>
              <w:bottom w:val="single" w:color="000000" w:sz="4" w:space="0"/>
              <w:right w:val="single" w:color="000000" w:sz="8" w:space="0"/>
            </w:tcBorders>
            <w:noWrap w:val="0"/>
            <w:vAlign w:val="center"/>
          </w:tcPr>
          <w:p w14:paraId="1E5B356A">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258DFE2">
        <w:tblPrEx>
          <w:tblCellMar>
            <w:top w:w="0" w:type="dxa"/>
            <w:left w:w="108" w:type="dxa"/>
            <w:bottom w:w="0" w:type="dxa"/>
            <w:right w:w="108" w:type="dxa"/>
          </w:tblCellMar>
        </w:tblPrEx>
        <w:trPr>
          <w:trHeight w:val="680" w:hRule="atLeast"/>
        </w:trPr>
        <w:tc>
          <w:tcPr>
            <w:tcW w:w="510" w:type="pct"/>
            <w:tcBorders>
              <w:top w:val="nil"/>
              <w:left w:val="single" w:color="000000" w:sz="8" w:space="0"/>
              <w:bottom w:val="single" w:color="000000" w:sz="4" w:space="0"/>
              <w:right w:val="single" w:color="000000" w:sz="4" w:space="0"/>
            </w:tcBorders>
            <w:noWrap w:val="0"/>
            <w:vAlign w:val="center"/>
          </w:tcPr>
          <w:p w14:paraId="20BFA91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765" w:type="pct"/>
            <w:tcBorders>
              <w:top w:val="single" w:color="000000" w:sz="4" w:space="0"/>
              <w:left w:val="nil"/>
              <w:bottom w:val="single" w:color="000000" w:sz="4" w:space="0"/>
              <w:right w:val="single" w:color="000000" w:sz="4" w:space="0"/>
            </w:tcBorders>
            <w:noWrap w:val="0"/>
            <w:vAlign w:val="center"/>
          </w:tcPr>
          <w:p w14:paraId="108D238F">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55" w:type="pct"/>
            <w:tcBorders>
              <w:top w:val="nil"/>
              <w:left w:val="nil"/>
              <w:bottom w:val="single" w:color="000000" w:sz="4" w:space="0"/>
              <w:right w:val="single" w:color="000000" w:sz="4" w:space="0"/>
            </w:tcBorders>
            <w:noWrap w:val="0"/>
            <w:vAlign w:val="center"/>
          </w:tcPr>
          <w:p w14:paraId="6F69678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021" w:type="pct"/>
            <w:tcBorders>
              <w:top w:val="single" w:color="000000" w:sz="4" w:space="0"/>
              <w:left w:val="nil"/>
              <w:bottom w:val="single" w:color="000000" w:sz="4" w:space="0"/>
              <w:right w:val="single" w:color="000000" w:sz="4" w:space="0"/>
            </w:tcBorders>
            <w:noWrap w:val="0"/>
            <w:vAlign w:val="center"/>
          </w:tcPr>
          <w:p w14:paraId="0BBEBCA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47" w:type="pct"/>
            <w:tcBorders>
              <w:top w:val="nil"/>
              <w:left w:val="nil"/>
              <w:bottom w:val="single" w:color="000000" w:sz="4" w:space="0"/>
              <w:right w:val="single" w:color="000000" w:sz="8" w:space="0"/>
            </w:tcBorders>
            <w:noWrap w:val="0"/>
            <w:vAlign w:val="center"/>
          </w:tcPr>
          <w:p w14:paraId="323D2B9E">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1A92171">
        <w:tblPrEx>
          <w:tblCellMar>
            <w:top w:w="0" w:type="dxa"/>
            <w:left w:w="108" w:type="dxa"/>
            <w:bottom w:w="0" w:type="dxa"/>
            <w:right w:w="108" w:type="dxa"/>
          </w:tblCellMar>
        </w:tblPrEx>
        <w:trPr>
          <w:trHeight w:val="680" w:hRule="atLeast"/>
        </w:trPr>
        <w:tc>
          <w:tcPr>
            <w:tcW w:w="3031" w:type="pct"/>
            <w:gridSpan w:val="3"/>
            <w:tcBorders>
              <w:top w:val="nil"/>
              <w:left w:val="single" w:color="000000" w:sz="8" w:space="0"/>
              <w:bottom w:val="single" w:color="000000" w:sz="4" w:space="0"/>
              <w:right w:val="single" w:color="000000" w:sz="4" w:space="0"/>
            </w:tcBorders>
            <w:noWrap w:val="0"/>
            <w:vAlign w:val="center"/>
          </w:tcPr>
          <w:p w14:paraId="0FC7FDC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  计</w:t>
            </w:r>
          </w:p>
        </w:tc>
        <w:tc>
          <w:tcPr>
            <w:tcW w:w="1021" w:type="pct"/>
            <w:tcBorders>
              <w:top w:val="single" w:color="000000" w:sz="4" w:space="0"/>
              <w:left w:val="nil"/>
              <w:bottom w:val="single" w:color="000000" w:sz="4" w:space="0"/>
              <w:right w:val="single" w:color="000000" w:sz="4" w:space="0"/>
            </w:tcBorders>
            <w:noWrap w:val="0"/>
            <w:vAlign w:val="center"/>
          </w:tcPr>
          <w:p w14:paraId="1D726E7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47" w:type="pct"/>
            <w:tcBorders>
              <w:top w:val="nil"/>
              <w:left w:val="nil"/>
              <w:bottom w:val="single" w:color="000000" w:sz="4" w:space="0"/>
              <w:right w:val="single" w:color="000000" w:sz="8" w:space="0"/>
            </w:tcBorders>
            <w:noWrap w:val="0"/>
            <w:vAlign w:val="center"/>
          </w:tcPr>
          <w:p w14:paraId="4F5F7EF9">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7ECB3473">
      <w:pPr>
        <w:pageBreakBefore w:val="0"/>
        <w:kinsoku/>
        <w:wordWrap w:val="0"/>
        <w:overflowPunct/>
        <w:bidi w:val="0"/>
        <w:spacing w:before="48" w:beforeLines="20" w:after="48" w:afterLines="20" w:line="540" w:lineRule="exact"/>
        <w:rPr>
          <w:rFonts w:hint="eastAsia" w:ascii="Times New Roman" w:hAnsi="Times New Roman" w:cs="宋体"/>
          <w:b/>
          <w:smallCaps w:val="0"/>
          <w:color w:val="000000" w:themeColor="text1"/>
          <w:sz w:val="24"/>
          <w:szCs w:val="22"/>
          <w:highlight w:val="none"/>
          <w14:textFill>
            <w14:solidFill>
              <w14:schemeClr w14:val="tx1"/>
            </w14:solidFill>
          </w14:textFill>
        </w:rPr>
        <w:sectPr>
          <w:footnotePr>
            <w:numFmt w:val="decimalEnclosedCircleChinese"/>
            <w:numRestart w:val="eachPage"/>
          </w:footnotePr>
          <w:pgSz w:w="11907" w:h="16840"/>
          <w:pgMar w:top="1474" w:right="1474" w:bottom="1474" w:left="1474" w:header="799" w:footer="907" w:gutter="0"/>
          <w:pgNumType w:fmt="decimal"/>
          <w:cols w:space="720" w:num="1"/>
          <w:docGrid w:linePitch="271" w:charSpace="0"/>
        </w:sectPr>
      </w:pPr>
    </w:p>
    <w:p w14:paraId="7412BF6A">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757" w:name="_Toc460660248"/>
      <w:bookmarkStart w:id="1758" w:name="_Toc171581552"/>
      <w:bookmarkStart w:id="1759" w:name="_Toc460227133"/>
      <w:bookmarkStart w:id="1760" w:name="_Toc17215715"/>
      <w:bookmarkStart w:id="1761" w:name="_Toc171741995"/>
      <w:bookmarkStart w:id="1762" w:name="_Toc171581372"/>
      <w:bookmarkStart w:id="1763" w:name="_Toc44996377"/>
      <w:bookmarkStart w:id="1764" w:name="_Toc9534"/>
      <w:bookmarkStart w:id="1765" w:name="_Toc4471"/>
      <w:bookmarkStart w:id="1766" w:name="_Toc29703"/>
      <w:bookmarkStart w:id="1767" w:name="_Toc23469"/>
      <w:bookmarkStart w:id="1768" w:name="_Toc25210"/>
      <w:bookmarkStart w:id="1769" w:name="_Toc535241137"/>
      <w:bookmarkStart w:id="1770" w:name="_Toc5912"/>
      <w:bookmarkStart w:id="1771" w:name="_Toc19349"/>
      <w:bookmarkStart w:id="1772" w:name="_Toc25165"/>
      <w:r>
        <w:rPr>
          <w:rStyle w:val="73"/>
          <w:rFonts w:hint="eastAsia" w:ascii="Times New Roman" w:hAnsi="Times New Roman"/>
          <w:smallCaps w:val="0"/>
          <w:color w:val="000000" w:themeColor="text1"/>
          <w:highlight w:val="none"/>
          <w14:textFill>
            <w14:solidFill>
              <w14:schemeClr w14:val="tx1"/>
            </w14:solidFill>
          </w14:textFill>
        </w:rPr>
        <w:t>（十一）</w:t>
      </w:r>
      <w:bookmarkEnd w:id="1757"/>
      <w:bookmarkEnd w:id="1758"/>
      <w:bookmarkEnd w:id="1759"/>
      <w:bookmarkEnd w:id="1760"/>
      <w:bookmarkEnd w:id="1761"/>
      <w:bookmarkEnd w:id="1762"/>
      <w:bookmarkEnd w:id="1763"/>
      <w:r>
        <w:rPr>
          <w:rStyle w:val="73"/>
          <w:rFonts w:hint="eastAsia" w:ascii="Times New Roman" w:hAnsi="Times New Roman"/>
          <w:smallCaps w:val="0"/>
          <w:color w:val="000000" w:themeColor="text1"/>
          <w:highlight w:val="none"/>
          <w14:textFill>
            <w14:solidFill>
              <w14:schemeClr w14:val="tx1"/>
            </w14:solidFill>
          </w14:textFill>
        </w:rPr>
        <w:t>专业工程暂估价计价表</w:t>
      </w:r>
      <w:bookmarkEnd w:id="1764"/>
      <w:bookmarkEnd w:id="1765"/>
      <w:bookmarkEnd w:id="1766"/>
      <w:bookmarkEnd w:id="1767"/>
      <w:bookmarkEnd w:id="1768"/>
      <w:bookmarkEnd w:id="1769"/>
      <w:bookmarkEnd w:id="1770"/>
      <w:bookmarkEnd w:id="1771"/>
      <w:bookmarkEnd w:id="1772"/>
    </w:p>
    <w:p w14:paraId="04327D79">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969"/>
        <w:gridCol w:w="2867"/>
        <w:gridCol w:w="2383"/>
        <w:gridCol w:w="1918"/>
        <w:gridCol w:w="1434"/>
      </w:tblGrid>
      <w:tr w14:paraId="1D529312">
        <w:tblPrEx>
          <w:tblCellMar>
            <w:top w:w="0" w:type="dxa"/>
            <w:left w:w="108" w:type="dxa"/>
            <w:bottom w:w="0" w:type="dxa"/>
            <w:right w:w="108" w:type="dxa"/>
          </w:tblCellMar>
        </w:tblPrEx>
        <w:trPr>
          <w:trHeight w:val="690" w:hRule="atLeast"/>
        </w:trPr>
        <w:tc>
          <w:tcPr>
            <w:tcW w:w="506"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5B46D41C">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序号</w:t>
            </w:r>
          </w:p>
        </w:tc>
        <w:tc>
          <w:tcPr>
            <w:tcW w:w="1498" w:type="pct"/>
            <w:tcBorders>
              <w:top w:val="single" w:color="000000" w:sz="8" w:space="0"/>
              <w:left w:val="nil"/>
              <w:bottom w:val="single" w:color="000000" w:sz="4" w:space="0"/>
              <w:right w:val="single" w:color="000000" w:sz="4" w:space="0"/>
            </w:tcBorders>
            <w:shd w:val="clear" w:color="FFFFFF" w:fill="FFFFFF"/>
            <w:noWrap w:val="0"/>
            <w:vAlign w:val="center"/>
          </w:tcPr>
          <w:p w14:paraId="15C7394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工程名称</w:t>
            </w:r>
          </w:p>
        </w:tc>
        <w:tc>
          <w:tcPr>
            <w:tcW w:w="1245" w:type="pct"/>
            <w:tcBorders>
              <w:top w:val="single" w:color="000000" w:sz="8" w:space="0"/>
              <w:left w:val="nil"/>
              <w:bottom w:val="single" w:color="000000" w:sz="4" w:space="0"/>
              <w:right w:val="single" w:color="000000" w:sz="4" w:space="0"/>
            </w:tcBorders>
            <w:shd w:val="clear" w:color="FFFFFF" w:fill="FFFFFF"/>
            <w:noWrap w:val="0"/>
            <w:vAlign w:val="center"/>
          </w:tcPr>
          <w:p w14:paraId="0F15088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工程内容</w:t>
            </w:r>
          </w:p>
        </w:tc>
        <w:tc>
          <w:tcPr>
            <w:tcW w:w="1002" w:type="pct"/>
            <w:tcBorders>
              <w:top w:val="single" w:color="000000" w:sz="8" w:space="0"/>
              <w:left w:val="nil"/>
              <w:bottom w:val="single" w:color="000000" w:sz="4" w:space="0"/>
              <w:right w:val="single" w:color="000000" w:sz="4" w:space="0"/>
            </w:tcBorders>
            <w:shd w:val="clear" w:color="FFFFFF" w:fill="FFFFFF"/>
            <w:noWrap w:val="0"/>
            <w:vAlign w:val="center"/>
          </w:tcPr>
          <w:p w14:paraId="18AE4CE7">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金额(元)</w:t>
            </w:r>
          </w:p>
        </w:tc>
        <w:tc>
          <w:tcPr>
            <w:tcW w:w="749" w:type="pct"/>
            <w:tcBorders>
              <w:top w:val="single" w:color="000000" w:sz="8" w:space="0"/>
              <w:left w:val="nil"/>
              <w:bottom w:val="single" w:color="000000" w:sz="4" w:space="0"/>
              <w:right w:val="single" w:color="000000" w:sz="8" w:space="0"/>
            </w:tcBorders>
            <w:shd w:val="clear" w:color="FFFFFF" w:fill="FFFFFF"/>
            <w:noWrap w:val="0"/>
            <w:vAlign w:val="center"/>
          </w:tcPr>
          <w:p w14:paraId="3829920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备注</w:t>
            </w:r>
          </w:p>
        </w:tc>
      </w:tr>
      <w:tr w14:paraId="6A36EED4">
        <w:tblPrEx>
          <w:tblCellMar>
            <w:top w:w="0" w:type="dxa"/>
            <w:left w:w="108" w:type="dxa"/>
            <w:bottom w:w="0" w:type="dxa"/>
            <w:right w:w="108" w:type="dxa"/>
          </w:tblCellMar>
        </w:tblPrEx>
        <w:trPr>
          <w:trHeight w:val="680" w:hRule="atLeast"/>
        </w:trPr>
        <w:tc>
          <w:tcPr>
            <w:tcW w:w="506" w:type="pct"/>
            <w:tcBorders>
              <w:top w:val="nil"/>
              <w:left w:val="single" w:color="000000" w:sz="8" w:space="0"/>
              <w:bottom w:val="single" w:color="000000" w:sz="4" w:space="0"/>
              <w:right w:val="single" w:color="000000" w:sz="4" w:space="0"/>
            </w:tcBorders>
            <w:noWrap w:val="0"/>
            <w:vAlign w:val="center"/>
          </w:tcPr>
          <w:p w14:paraId="602FC9F9">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498" w:type="pct"/>
            <w:tcBorders>
              <w:top w:val="single" w:color="000000" w:sz="4" w:space="0"/>
              <w:left w:val="nil"/>
              <w:bottom w:val="single" w:color="000000" w:sz="4" w:space="0"/>
              <w:right w:val="single" w:color="000000" w:sz="4" w:space="0"/>
            </w:tcBorders>
            <w:noWrap w:val="0"/>
            <w:vAlign w:val="center"/>
          </w:tcPr>
          <w:p w14:paraId="21EFC66A">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45" w:type="pct"/>
            <w:tcBorders>
              <w:top w:val="single" w:color="000000" w:sz="4" w:space="0"/>
              <w:left w:val="nil"/>
              <w:bottom w:val="single" w:color="000000" w:sz="4" w:space="0"/>
              <w:right w:val="single" w:color="000000" w:sz="4" w:space="0"/>
            </w:tcBorders>
            <w:noWrap w:val="0"/>
            <w:vAlign w:val="center"/>
          </w:tcPr>
          <w:p w14:paraId="1D3D3888">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002" w:type="pct"/>
            <w:tcBorders>
              <w:top w:val="single" w:color="000000" w:sz="4" w:space="0"/>
              <w:left w:val="nil"/>
              <w:bottom w:val="single" w:color="000000" w:sz="4" w:space="0"/>
              <w:right w:val="single" w:color="000000" w:sz="4" w:space="0"/>
            </w:tcBorders>
            <w:noWrap w:val="0"/>
            <w:vAlign w:val="center"/>
          </w:tcPr>
          <w:p w14:paraId="7001652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9" w:type="pct"/>
            <w:tcBorders>
              <w:top w:val="nil"/>
              <w:left w:val="nil"/>
              <w:bottom w:val="single" w:color="000000" w:sz="4" w:space="0"/>
              <w:right w:val="single" w:color="000000" w:sz="8" w:space="0"/>
            </w:tcBorders>
            <w:noWrap w:val="0"/>
            <w:vAlign w:val="center"/>
          </w:tcPr>
          <w:p w14:paraId="38A3E7AF">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46A06A9">
        <w:tblPrEx>
          <w:tblCellMar>
            <w:top w:w="0" w:type="dxa"/>
            <w:left w:w="108" w:type="dxa"/>
            <w:bottom w:w="0" w:type="dxa"/>
            <w:right w:w="108" w:type="dxa"/>
          </w:tblCellMar>
        </w:tblPrEx>
        <w:trPr>
          <w:trHeight w:val="680" w:hRule="atLeast"/>
        </w:trPr>
        <w:tc>
          <w:tcPr>
            <w:tcW w:w="506" w:type="pct"/>
            <w:tcBorders>
              <w:top w:val="nil"/>
              <w:left w:val="single" w:color="000000" w:sz="8" w:space="0"/>
              <w:bottom w:val="single" w:color="000000" w:sz="4" w:space="0"/>
              <w:right w:val="single" w:color="000000" w:sz="4" w:space="0"/>
            </w:tcBorders>
            <w:noWrap w:val="0"/>
            <w:vAlign w:val="center"/>
          </w:tcPr>
          <w:p w14:paraId="2CD9411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498" w:type="pct"/>
            <w:tcBorders>
              <w:top w:val="single" w:color="000000" w:sz="4" w:space="0"/>
              <w:left w:val="nil"/>
              <w:bottom w:val="single" w:color="000000" w:sz="4" w:space="0"/>
              <w:right w:val="single" w:color="000000" w:sz="4" w:space="0"/>
            </w:tcBorders>
            <w:noWrap w:val="0"/>
            <w:vAlign w:val="center"/>
          </w:tcPr>
          <w:p w14:paraId="0DA7A5A1">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45" w:type="pct"/>
            <w:tcBorders>
              <w:top w:val="single" w:color="000000" w:sz="4" w:space="0"/>
              <w:left w:val="nil"/>
              <w:bottom w:val="single" w:color="000000" w:sz="4" w:space="0"/>
              <w:right w:val="single" w:color="000000" w:sz="4" w:space="0"/>
            </w:tcBorders>
            <w:noWrap w:val="0"/>
            <w:vAlign w:val="center"/>
          </w:tcPr>
          <w:p w14:paraId="33C05B8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002" w:type="pct"/>
            <w:tcBorders>
              <w:top w:val="single" w:color="000000" w:sz="4" w:space="0"/>
              <w:left w:val="nil"/>
              <w:bottom w:val="single" w:color="000000" w:sz="4" w:space="0"/>
              <w:right w:val="single" w:color="000000" w:sz="4" w:space="0"/>
            </w:tcBorders>
            <w:noWrap w:val="0"/>
            <w:vAlign w:val="center"/>
          </w:tcPr>
          <w:p w14:paraId="14479D45">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9" w:type="pct"/>
            <w:tcBorders>
              <w:top w:val="nil"/>
              <w:left w:val="nil"/>
              <w:bottom w:val="single" w:color="000000" w:sz="4" w:space="0"/>
              <w:right w:val="single" w:color="000000" w:sz="8" w:space="0"/>
            </w:tcBorders>
            <w:noWrap w:val="0"/>
            <w:vAlign w:val="center"/>
          </w:tcPr>
          <w:p w14:paraId="0D6BBAFD">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78FD19B">
        <w:tblPrEx>
          <w:tblCellMar>
            <w:top w:w="0" w:type="dxa"/>
            <w:left w:w="108" w:type="dxa"/>
            <w:bottom w:w="0" w:type="dxa"/>
            <w:right w:w="108" w:type="dxa"/>
          </w:tblCellMar>
        </w:tblPrEx>
        <w:trPr>
          <w:trHeight w:val="680" w:hRule="atLeast"/>
        </w:trPr>
        <w:tc>
          <w:tcPr>
            <w:tcW w:w="506" w:type="pct"/>
            <w:tcBorders>
              <w:top w:val="nil"/>
              <w:left w:val="single" w:color="000000" w:sz="8" w:space="0"/>
              <w:bottom w:val="single" w:color="000000" w:sz="4" w:space="0"/>
              <w:right w:val="single" w:color="000000" w:sz="4" w:space="0"/>
            </w:tcBorders>
            <w:noWrap w:val="0"/>
            <w:vAlign w:val="center"/>
          </w:tcPr>
          <w:p w14:paraId="595807A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498" w:type="pct"/>
            <w:tcBorders>
              <w:top w:val="single" w:color="000000" w:sz="4" w:space="0"/>
              <w:left w:val="nil"/>
              <w:bottom w:val="single" w:color="000000" w:sz="4" w:space="0"/>
              <w:right w:val="single" w:color="000000" w:sz="4" w:space="0"/>
            </w:tcBorders>
            <w:noWrap w:val="0"/>
            <w:vAlign w:val="center"/>
          </w:tcPr>
          <w:p w14:paraId="2B32353B">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245" w:type="pct"/>
            <w:tcBorders>
              <w:top w:val="single" w:color="000000" w:sz="4" w:space="0"/>
              <w:left w:val="nil"/>
              <w:bottom w:val="single" w:color="000000" w:sz="4" w:space="0"/>
              <w:right w:val="single" w:color="000000" w:sz="4" w:space="0"/>
            </w:tcBorders>
            <w:noWrap w:val="0"/>
            <w:vAlign w:val="center"/>
          </w:tcPr>
          <w:p w14:paraId="1726239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002" w:type="pct"/>
            <w:tcBorders>
              <w:top w:val="single" w:color="000000" w:sz="4" w:space="0"/>
              <w:left w:val="nil"/>
              <w:bottom w:val="single" w:color="000000" w:sz="4" w:space="0"/>
              <w:right w:val="single" w:color="000000" w:sz="4" w:space="0"/>
            </w:tcBorders>
            <w:noWrap w:val="0"/>
            <w:vAlign w:val="center"/>
          </w:tcPr>
          <w:p w14:paraId="26E057A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9" w:type="pct"/>
            <w:tcBorders>
              <w:top w:val="nil"/>
              <w:left w:val="nil"/>
              <w:bottom w:val="single" w:color="000000" w:sz="4" w:space="0"/>
              <w:right w:val="single" w:color="000000" w:sz="8" w:space="0"/>
            </w:tcBorders>
            <w:noWrap w:val="0"/>
            <w:vAlign w:val="center"/>
          </w:tcPr>
          <w:p w14:paraId="20848F16">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A6BACF9">
        <w:tblPrEx>
          <w:tblCellMar>
            <w:top w:w="0" w:type="dxa"/>
            <w:left w:w="108" w:type="dxa"/>
            <w:bottom w:w="0" w:type="dxa"/>
            <w:right w:w="108" w:type="dxa"/>
          </w:tblCellMar>
        </w:tblPrEx>
        <w:trPr>
          <w:trHeight w:val="680" w:hRule="atLeast"/>
        </w:trPr>
        <w:tc>
          <w:tcPr>
            <w:tcW w:w="3249" w:type="pct"/>
            <w:gridSpan w:val="3"/>
            <w:tcBorders>
              <w:top w:val="nil"/>
              <w:left w:val="single" w:color="000000" w:sz="8" w:space="0"/>
              <w:bottom w:val="single" w:color="000000" w:sz="4" w:space="0"/>
              <w:right w:val="single" w:color="000000" w:sz="4" w:space="0"/>
            </w:tcBorders>
            <w:noWrap w:val="0"/>
            <w:vAlign w:val="center"/>
          </w:tcPr>
          <w:p w14:paraId="0D7581B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  计</w:t>
            </w:r>
          </w:p>
        </w:tc>
        <w:tc>
          <w:tcPr>
            <w:tcW w:w="1002" w:type="pct"/>
            <w:tcBorders>
              <w:top w:val="single" w:color="000000" w:sz="4" w:space="0"/>
              <w:left w:val="nil"/>
              <w:bottom w:val="single" w:color="000000" w:sz="4" w:space="0"/>
              <w:right w:val="single" w:color="000000" w:sz="4" w:space="0"/>
            </w:tcBorders>
            <w:noWrap w:val="0"/>
            <w:vAlign w:val="center"/>
          </w:tcPr>
          <w:p w14:paraId="407BC00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9" w:type="pct"/>
            <w:tcBorders>
              <w:top w:val="nil"/>
              <w:left w:val="nil"/>
              <w:bottom w:val="single" w:color="000000" w:sz="4" w:space="0"/>
              <w:right w:val="single" w:color="000000" w:sz="8" w:space="0"/>
            </w:tcBorders>
            <w:noWrap w:val="0"/>
            <w:vAlign w:val="center"/>
          </w:tcPr>
          <w:p w14:paraId="52DD81C9">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2485927A">
      <w:pPr>
        <w:pageBreakBefore w:val="0"/>
        <w:kinsoku/>
        <w:wordWrap w:val="0"/>
        <w:overflowPunct/>
        <w:bidi w:val="0"/>
        <w:rPr>
          <w:rStyle w:val="73"/>
          <w:rFonts w:hint="eastAsia" w:ascii="Times New Roman" w:hAnsi="Times New Roman"/>
          <w:smallCaps w:val="0"/>
          <w:color w:val="000000" w:themeColor="text1"/>
          <w:highlight w:val="none"/>
          <w14:textFill>
            <w14:solidFill>
              <w14:schemeClr w14:val="tx1"/>
            </w14:solidFill>
          </w14:textFill>
        </w:rPr>
      </w:pPr>
      <w:bookmarkStart w:id="1773" w:name="_Toc171581373"/>
      <w:bookmarkStart w:id="1774" w:name="_Toc460227134"/>
      <w:bookmarkStart w:id="1775" w:name="_Toc171581553"/>
      <w:bookmarkStart w:id="1776" w:name="_Toc460660249"/>
      <w:bookmarkStart w:id="1777" w:name="_Toc171741996"/>
      <w:bookmarkStart w:id="1778" w:name="_Toc24485"/>
      <w:bookmarkStart w:id="1779" w:name="_Toc12250"/>
      <w:bookmarkStart w:id="1780" w:name="_Toc10769"/>
      <w:bookmarkStart w:id="1781" w:name="_Toc4308"/>
      <w:bookmarkStart w:id="1782" w:name="_Toc1765"/>
      <w:bookmarkStart w:id="1783" w:name="_Toc18912"/>
      <w:bookmarkStart w:id="1784" w:name="_Toc535241138"/>
      <w:bookmarkStart w:id="1785" w:name="_Toc8822"/>
      <w:bookmarkStart w:id="1786" w:name="_Toc18755"/>
      <w:r>
        <w:rPr>
          <w:rStyle w:val="73"/>
          <w:rFonts w:hint="eastAsia" w:ascii="Times New Roman" w:hAnsi="Times New Roman"/>
          <w:smallCaps w:val="0"/>
          <w:color w:val="000000" w:themeColor="text1"/>
          <w:highlight w:val="none"/>
          <w14:textFill>
            <w14:solidFill>
              <w14:schemeClr w14:val="tx1"/>
            </w14:solidFill>
          </w14:textFill>
        </w:rPr>
        <w:br w:type="page"/>
      </w:r>
    </w:p>
    <w:p w14:paraId="332581B3">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Style w:val="73"/>
          <w:rFonts w:hint="eastAsia" w:ascii="Times New Roman" w:hAnsi="Times New Roman"/>
          <w:smallCaps w:val="0"/>
          <w:color w:val="000000" w:themeColor="text1"/>
          <w:highlight w:val="none"/>
          <w14:textFill>
            <w14:solidFill>
              <w14:schemeClr w14:val="tx1"/>
            </w14:solidFill>
          </w14:textFill>
        </w:rPr>
        <w:t>（十二）</w:t>
      </w:r>
      <w:bookmarkEnd w:id="1773"/>
      <w:bookmarkEnd w:id="1774"/>
      <w:bookmarkEnd w:id="1775"/>
      <w:bookmarkEnd w:id="1776"/>
      <w:bookmarkEnd w:id="1777"/>
      <w:r>
        <w:rPr>
          <w:rStyle w:val="73"/>
          <w:rFonts w:hint="eastAsia" w:ascii="Times New Roman" w:hAnsi="Times New Roman"/>
          <w:smallCaps w:val="0"/>
          <w:color w:val="000000" w:themeColor="text1"/>
          <w:highlight w:val="none"/>
          <w14:textFill>
            <w14:solidFill>
              <w14:schemeClr w14:val="tx1"/>
            </w14:solidFill>
          </w14:textFill>
        </w:rPr>
        <w:t>计日工表</w:t>
      </w:r>
      <w:bookmarkEnd w:id="1778"/>
      <w:bookmarkEnd w:id="1779"/>
      <w:bookmarkEnd w:id="1780"/>
      <w:bookmarkEnd w:id="1781"/>
      <w:bookmarkEnd w:id="1782"/>
      <w:bookmarkEnd w:id="1783"/>
      <w:bookmarkEnd w:id="1784"/>
      <w:bookmarkEnd w:id="1785"/>
      <w:bookmarkEnd w:id="1786"/>
    </w:p>
    <w:p w14:paraId="0A0EEE84">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681"/>
        <w:gridCol w:w="3403"/>
        <w:gridCol w:w="1372"/>
        <w:gridCol w:w="1372"/>
        <w:gridCol w:w="1373"/>
        <w:gridCol w:w="1370"/>
      </w:tblGrid>
      <w:tr w14:paraId="153E5951">
        <w:tblPrEx>
          <w:tblCellMar>
            <w:top w:w="0" w:type="dxa"/>
            <w:left w:w="108" w:type="dxa"/>
            <w:bottom w:w="0" w:type="dxa"/>
            <w:right w:w="108" w:type="dxa"/>
          </w:tblCellMar>
        </w:tblPrEx>
        <w:trPr>
          <w:trHeight w:val="567" w:hRule="atLeast"/>
        </w:trPr>
        <w:tc>
          <w:tcPr>
            <w:tcW w:w="356"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55DB66D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编码</w:t>
            </w:r>
          </w:p>
        </w:tc>
        <w:tc>
          <w:tcPr>
            <w:tcW w:w="1778" w:type="pct"/>
            <w:tcBorders>
              <w:top w:val="single" w:color="000000" w:sz="8" w:space="0"/>
              <w:left w:val="nil"/>
              <w:bottom w:val="single" w:color="000000" w:sz="4" w:space="0"/>
              <w:right w:val="single" w:color="000000" w:sz="4" w:space="0"/>
            </w:tcBorders>
            <w:shd w:val="clear" w:color="FFFFFF" w:fill="FFFFFF"/>
            <w:noWrap w:val="0"/>
            <w:vAlign w:val="center"/>
          </w:tcPr>
          <w:p w14:paraId="6A22FE0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项目名称</w:t>
            </w:r>
          </w:p>
        </w:tc>
        <w:tc>
          <w:tcPr>
            <w:tcW w:w="717" w:type="pct"/>
            <w:tcBorders>
              <w:top w:val="single" w:color="000000" w:sz="8" w:space="0"/>
              <w:left w:val="nil"/>
              <w:bottom w:val="single" w:color="000000" w:sz="4" w:space="0"/>
              <w:right w:val="single" w:color="000000" w:sz="4" w:space="0"/>
            </w:tcBorders>
            <w:shd w:val="clear" w:color="FFFFFF" w:fill="FFFFFF"/>
            <w:noWrap w:val="0"/>
            <w:vAlign w:val="center"/>
          </w:tcPr>
          <w:p w14:paraId="401771E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单位</w:t>
            </w:r>
          </w:p>
        </w:tc>
        <w:tc>
          <w:tcPr>
            <w:tcW w:w="717" w:type="pct"/>
            <w:tcBorders>
              <w:top w:val="single" w:color="000000" w:sz="8" w:space="0"/>
              <w:left w:val="nil"/>
              <w:bottom w:val="single" w:color="000000" w:sz="4" w:space="0"/>
              <w:right w:val="single" w:color="000000" w:sz="4" w:space="0"/>
            </w:tcBorders>
            <w:shd w:val="clear" w:color="FFFFFF" w:fill="FFFFFF"/>
            <w:noWrap w:val="0"/>
            <w:vAlign w:val="center"/>
          </w:tcPr>
          <w:p w14:paraId="3D1CFEF4">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数量</w:t>
            </w:r>
          </w:p>
        </w:tc>
        <w:tc>
          <w:tcPr>
            <w:tcW w:w="717" w:type="pct"/>
            <w:tcBorders>
              <w:top w:val="single" w:color="000000" w:sz="8" w:space="0"/>
              <w:left w:val="nil"/>
              <w:bottom w:val="single" w:color="000000" w:sz="4" w:space="0"/>
              <w:right w:val="single" w:color="000000" w:sz="4" w:space="0"/>
            </w:tcBorders>
            <w:shd w:val="clear" w:color="FFFFFF" w:fill="FFFFFF"/>
            <w:noWrap w:val="0"/>
            <w:vAlign w:val="center"/>
          </w:tcPr>
          <w:p w14:paraId="4E20EBB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综合单价</w:t>
            </w:r>
          </w:p>
        </w:tc>
        <w:tc>
          <w:tcPr>
            <w:tcW w:w="715" w:type="pct"/>
            <w:tcBorders>
              <w:top w:val="single" w:color="000000" w:sz="8" w:space="0"/>
              <w:left w:val="nil"/>
              <w:bottom w:val="single" w:color="000000" w:sz="4" w:space="0"/>
              <w:right w:val="single" w:color="000000" w:sz="8" w:space="0"/>
            </w:tcBorders>
            <w:shd w:val="clear" w:color="FFFFFF" w:fill="FFFFFF"/>
            <w:noWrap w:val="0"/>
            <w:vAlign w:val="center"/>
          </w:tcPr>
          <w:p w14:paraId="255EF99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合价（元）</w:t>
            </w:r>
          </w:p>
        </w:tc>
      </w:tr>
      <w:tr w14:paraId="41B9AB12">
        <w:tblPrEx>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cBorders>
            <w:noWrap w:val="0"/>
            <w:vAlign w:val="center"/>
          </w:tcPr>
          <w:p w14:paraId="730D640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一</w:t>
            </w:r>
          </w:p>
        </w:tc>
        <w:tc>
          <w:tcPr>
            <w:tcW w:w="1778" w:type="pct"/>
            <w:tcBorders>
              <w:top w:val="single" w:color="000000" w:sz="4" w:space="0"/>
              <w:left w:val="nil"/>
              <w:bottom w:val="single" w:color="000000" w:sz="4" w:space="0"/>
              <w:right w:val="single" w:color="000000" w:sz="4" w:space="0"/>
            </w:tcBorders>
            <w:noWrap w:val="0"/>
            <w:vAlign w:val="center"/>
          </w:tcPr>
          <w:p w14:paraId="6CD45D2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人工</w:t>
            </w:r>
          </w:p>
        </w:tc>
        <w:tc>
          <w:tcPr>
            <w:tcW w:w="717" w:type="pct"/>
            <w:tcBorders>
              <w:top w:val="nil"/>
              <w:left w:val="nil"/>
              <w:bottom w:val="single" w:color="000000" w:sz="4" w:space="0"/>
              <w:right w:val="single" w:color="000000" w:sz="4" w:space="0"/>
            </w:tcBorders>
            <w:noWrap w:val="0"/>
            <w:vAlign w:val="center"/>
          </w:tcPr>
          <w:p w14:paraId="4FF519A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single" w:color="000000" w:sz="4" w:space="0"/>
              <w:left w:val="nil"/>
              <w:bottom w:val="single" w:color="000000" w:sz="4" w:space="0"/>
              <w:right w:val="single" w:color="000000" w:sz="4" w:space="0"/>
            </w:tcBorders>
            <w:noWrap w:val="0"/>
            <w:vAlign w:val="center"/>
          </w:tcPr>
          <w:p w14:paraId="63DBBDC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4E3C7C6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nil"/>
              <w:left w:val="nil"/>
              <w:bottom w:val="single" w:color="000000" w:sz="4" w:space="0"/>
              <w:right w:val="single" w:color="000000" w:sz="8" w:space="0"/>
            </w:tcBorders>
            <w:noWrap w:val="0"/>
            <w:vAlign w:val="center"/>
          </w:tcPr>
          <w:p w14:paraId="16164AB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A791298">
        <w:tblPrEx>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cBorders>
            <w:noWrap w:val="0"/>
            <w:vAlign w:val="center"/>
          </w:tcPr>
          <w:p w14:paraId="673FB4B4">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778" w:type="pct"/>
            <w:tcBorders>
              <w:top w:val="single" w:color="000000" w:sz="4" w:space="0"/>
              <w:left w:val="nil"/>
              <w:bottom w:val="single" w:color="000000" w:sz="4" w:space="0"/>
              <w:right w:val="single" w:color="000000" w:sz="4" w:space="0"/>
            </w:tcBorders>
            <w:noWrap w:val="0"/>
            <w:vAlign w:val="center"/>
          </w:tcPr>
          <w:p w14:paraId="6931484F">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518B988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single" w:color="000000" w:sz="4" w:space="0"/>
              <w:left w:val="nil"/>
              <w:bottom w:val="single" w:color="000000" w:sz="4" w:space="0"/>
              <w:right w:val="single" w:color="000000" w:sz="4" w:space="0"/>
            </w:tcBorders>
            <w:noWrap w:val="0"/>
            <w:vAlign w:val="center"/>
          </w:tcPr>
          <w:p w14:paraId="3196F44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7918871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nil"/>
              <w:left w:val="nil"/>
              <w:bottom w:val="single" w:color="000000" w:sz="4" w:space="0"/>
              <w:right w:val="single" w:color="000000" w:sz="8" w:space="0"/>
            </w:tcBorders>
            <w:noWrap w:val="0"/>
            <w:vAlign w:val="center"/>
          </w:tcPr>
          <w:p w14:paraId="4630711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8647DA3">
        <w:tblPrEx>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cBorders>
            <w:noWrap w:val="0"/>
            <w:vAlign w:val="center"/>
          </w:tcPr>
          <w:p w14:paraId="788F274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778" w:type="pct"/>
            <w:tcBorders>
              <w:top w:val="single" w:color="000000" w:sz="4" w:space="0"/>
              <w:left w:val="nil"/>
              <w:bottom w:val="single" w:color="000000" w:sz="4" w:space="0"/>
              <w:right w:val="single" w:color="000000" w:sz="4" w:space="0"/>
            </w:tcBorders>
            <w:noWrap w:val="0"/>
            <w:vAlign w:val="center"/>
          </w:tcPr>
          <w:p w14:paraId="4871B53C">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6E244FDD">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single" w:color="000000" w:sz="4" w:space="0"/>
              <w:left w:val="nil"/>
              <w:bottom w:val="single" w:color="000000" w:sz="4" w:space="0"/>
              <w:right w:val="single" w:color="000000" w:sz="4" w:space="0"/>
            </w:tcBorders>
            <w:noWrap w:val="0"/>
            <w:vAlign w:val="center"/>
          </w:tcPr>
          <w:p w14:paraId="7ED1BC2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4E1B3BC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nil"/>
              <w:left w:val="nil"/>
              <w:bottom w:val="single" w:color="000000" w:sz="4" w:space="0"/>
              <w:right w:val="single" w:color="000000" w:sz="8" w:space="0"/>
            </w:tcBorders>
            <w:noWrap w:val="0"/>
            <w:vAlign w:val="center"/>
          </w:tcPr>
          <w:p w14:paraId="5ABCF38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FC143FF">
        <w:tblPrEx>
          <w:tblCellMar>
            <w:top w:w="0" w:type="dxa"/>
            <w:left w:w="108" w:type="dxa"/>
            <w:bottom w:w="0" w:type="dxa"/>
            <w:right w:w="108" w:type="dxa"/>
          </w:tblCellMar>
        </w:tblPrEx>
        <w:trPr>
          <w:trHeight w:val="567" w:hRule="atLeast"/>
        </w:trPr>
        <w:tc>
          <w:tcPr>
            <w:tcW w:w="4285" w:type="pct"/>
            <w:gridSpan w:val="5"/>
            <w:tcBorders>
              <w:top w:val="single" w:color="000000" w:sz="4" w:space="0"/>
              <w:left w:val="single" w:color="000000" w:sz="8" w:space="0"/>
              <w:bottom w:val="single" w:color="000000" w:sz="4" w:space="0"/>
              <w:right w:val="single" w:color="000000" w:sz="4" w:space="0"/>
            </w:tcBorders>
            <w:noWrap w:val="0"/>
            <w:vAlign w:val="center"/>
          </w:tcPr>
          <w:p w14:paraId="039D55D8">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人工费小计</w:t>
            </w:r>
          </w:p>
        </w:tc>
        <w:tc>
          <w:tcPr>
            <w:tcW w:w="715" w:type="pct"/>
            <w:tcBorders>
              <w:top w:val="nil"/>
              <w:left w:val="nil"/>
              <w:bottom w:val="single" w:color="000000" w:sz="4" w:space="0"/>
              <w:right w:val="single" w:color="000000" w:sz="8" w:space="0"/>
            </w:tcBorders>
            <w:noWrap w:val="0"/>
            <w:vAlign w:val="center"/>
          </w:tcPr>
          <w:p w14:paraId="0488E58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D2A5166">
        <w:tblPrEx>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cBorders>
            <w:noWrap w:val="0"/>
            <w:vAlign w:val="center"/>
          </w:tcPr>
          <w:p w14:paraId="19C1D6F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二</w:t>
            </w:r>
          </w:p>
        </w:tc>
        <w:tc>
          <w:tcPr>
            <w:tcW w:w="1778" w:type="pct"/>
            <w:tcBorders>
              <w:top w:val="single" w:color="000000" w:sz="4" w:space="0"/>
              <w:left w:val="nil"/>
              <w:bottom w:val="single" w:color="000000" w:sz="4" w:space="0"/>
              <w:right w:val="single" w:color="000000" w:sz="4" w:space="0"/>
            </w:tcBorders>
            <w:noWrap w:val="0"/>
            <w:vAlign w:val="center"/>
          </w:tcPr>
          <w:p w14:paraId="4C4E1CD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材料</w:t>
            </w:r>
          </w:p>
        </w:tc>
        <w:tc>
          <w:tcPr>
            <w:tcW w:w="717" w:type="pct"/>
            <w:tcBorders>
              <w:top w:val="nil"/>
              <w:left w:val="nil"/>
              <w:bottom w:val="single" w:color="000000" w:sz="4" w:space="0"/>
              <w:right w:val="single" w:color="000000" w:sz="4" w:space="0"/>
            </w:tcBorders>
            <w:noWrap w:val="0"/>
            <w:vAlign w:val="center"/>
          </w:tcPr>
          <w:p w14:paraId="1407337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single" w:color="000000" w:sz="4" w:space="0"/>
              <w:left w:val="nil"/>
              <w:bottom w:val="single" w:color="000000" w:sz="4" w:space="0"/>
              <w:right w:val="single" w:color="000000" w:sz="4" w:space="0"/>
            </w:tcBorders>
            <w:noWrap w:val="0"/>
            <w:vAlign w:val="center"/>
          </w:tcPr>
          <w:p w14:paraId="11D8EBD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6ED934A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nil"/>
              <w:left w:val="nil"/>
              <w:bottom w:val="single" w:color="000000" w:sz="4" w:space="0"/>
              <w:right w:val="single" w:color="000000" w:sz="8" w:space="0"/>
            </w:tcBorders>
            <w:noWrap w:val="0"/>
            <w:vAlign w:val="center"/>
          </w:tcPr>
          <w:p w14:paraId="40347B2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D1C1703">
        <w:tblPrEx>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cBorders>
            <w:noWrap w:val="0"/>
            <w:vAlign w:val="center"/>
          </w:tcPr>
          <w:p w14:paraId="156F196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778" w:type="pct"/>
            <w:tcBorders>
              <w:top w:val="single" w:color="000000" w:sz="4" w:space="0"/>
              <w:left w:val="nil"/>
              <w:bottom w:val="single" w:color="000000" w:sz="4" w:space="0"/>
              <w:right w:val="single" w:color="000000" w:sz="4" w:space="0"/>
            </w:tcBorders>
            <w:noWrap w:val="0"/>
            <w:vAlign w:val="center"/>
          </w:tcPr>
          <w:p w14:paraId="25630BF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525CBA9D">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single" w:color="000000" w:sz="4" w:space="0"/>
              <w:left w:val="nil"/>
              <w:bottom w:val="single" w:color="000000" w:sz="4" w:space="0"/>
              <w:right w:val="single" w:color="000000" w:sz="4" w:space="0"/>
            </w:tcBorders>
            <w:noWrap w:val="0"/>
            <w:vAlign w:val="center"/>
          </w:tcPr>
          <w:p w14:paraId="5164E5CA">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7FA8CA9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nil"/>
              <w:left w:val="nil"/>
              <w:bottom w:val="single" w:color="000000" w:sz="4" w:space="0"/>
              <w:right w:val="single" w:color="000000" w:sz="8" w:space="0"/>
            </w:tcBorders>
            <w:noWrap w:val="0"/>
            <w:vAlign w:val="center"/>
          </w:tcPr>
          <w:p w14:paraId="75E1934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797A875">
        <w:tblPrEx>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cBorders>
            <w:noWrap w:val="0"/>
            <w:vAlign w:val="center"/>
          </w:tcPr>
          <w:p w14:paraId="4CCDDE3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778" w:type="pct"/>
            <w:tcBorders>
              <w:top w:val="single" w:color="000000" w:sz="4" w:space="0"/>
              <w:left w:val="nil"/>
              <w:bottom w:val="single" w:color="000000" w:sz="4" w:space="0"/>
              <w:right w:val="single" w:color="000000" w:sz="4" w:space="0"/>
            </w:tcBorders>
            <w:noWrap w:val="0"/>
            <w:vAlign w:val="center"/>
          </w:tcPr>
          <w:p w14:paraId="348D30F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584059D7">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single" w:color="000000" w:sz="4" w:space="0"/>
              <w:left w:val="nil"/>
              <w:bottom w:val="single" w:color="000000" w:sz="4" w:space="0"/>
              <w:right w:val="single" w:color="000000" w:sz="4" w:space="0"/>
            </w:tcBorders>
            <w:noWrap w:val="0"/>
            <w:vAlign w:val="center"/>
          </w:tcPr>
          <w:p w14:paraId="49FA793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015FD28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nil"/>
              <w:left w:val="nil"/>
              <w:bottom w:val="single" w:color="000000" w:sz="4" w:space="0"/>
              <w:right w:val="single" w:color="000000" w:sz="8" w:space="0"/>
            </w:tcBorders>
            <w:noWrap w:val="0"/>
            <w:vAlign w:val="center"/>
          </w:tcPr>
          <w:p w14:paraId="1A421C3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84CB713">
        <w:tblPrEx>
          <w:tblCellMar>
            <w:top w:w="0" w:type="dxa"/>
            <w:left w:w="108" w:type="dxa"/>
            <w:bottom w:w="0" w:type="dxa"/>
            <w:right w:w="108" w:type="dxa"/>
          </w:tblCellMar>
        </w:tblPrEx>
        <w:trPr>
          <w:trHeight w:val="567" w:hRule="atLeast"/>
        </w:trPr>
        <w:tc>
          <w:tcPr>
            <w:tcW w:w="4285" w:type="pct"/>
            <w:gridSpan w:val="5"/>
            <w:tcBorders>
              <w:top w:val="single" w:color="000000" w:sz="4" w:space="0"/>
              <w:left w:val="single" w:color="000000" w:sz="8" w:space="0"/>
              <w:bottom w:val="single" w:color="000000" w:sz="4" w:space="0"/>
              <w:right w:val="single" w:color="000000" w:sz="4" w:space="0"/>
            </w:tcBorders>
            <w:noWrap w:val="0"/>
            <w:vAlign w:val="center"/>
          </w:tcPr>
          <w:p w14:paraId="63901449">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材料费小计</w:t>
            </w:r>
          </w:p>
        </w:tc>
        <w:tc>
          <w:tcPr>
            <w:tcW w:w="715" w:type="pct"/>
            <w:tcBorders>
              <w:top w:val="nil"/>
              <w:left w:val="nil"/>
              <w:bottom w:val="single" w:color="000000" w:sz="4" w:space="0"/>
              <w:right w:val="single" w:color="000000" w:sz="8" w:space="0"/>
            </w:tcBorders>
            <w:noWrap w:val="0"/>
            <w:vAlign w:val="center"/>
          </w:tcPr>
          <w:p w14:paraId="1E9A4D5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27A8D12">
        <w:tblPrEx>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cBorders>
            <w:noWrap w:val="0"/>
            <w:vAlign w:val="center"/>
          </w:tcPr>
          <w:p w14:paraId="1667399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三</w:t>
            </w:r>
          </w:p>
        </w:tc>
        <w:tc>
          <w:tcPr>
            <w:tcW w:w="1778" w:type="pct"/>
            <w:tcBorders>
              <w:top w:val="single" w:color="000000" w:sz="4" w:space="0"/>
              <w:left w:val="nil"/>
              <w:bottom w:val="single" w:color="000000" w:sz="4" w:space="0"/>
              <w:right w:val="single" w:color="000000" w:sz="4" w:space="0"/>
            </w:tcBorders>
            <w:noWrap w:val="0"/>
            <w:vAlign w:val="center"/>
          </w:tcPr>
          <w:p w14:paraId="1B00501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施工机械</w:t>
            </w:r>
          </w:p>
        </w:tc>
        <w:tc>
          <w:tcPr>
            <w:tcW w:w="717" w:type="pct"/>
            <w:tcBorders>
              <w:top w:val="nil"/>
              <w:left w:val="nil"/>
              <w:bottom w:val="single" w:color="000000" w:sz="4" w:space="0"/>
              <w:right w:val="single" w:color="000000" w:sz="4" w:space="0"/>
            </w:tcBorders>
            <w:noWrap w:val="0"/>
            <w:vAlign w:val="center"/>
          </w:tcPr>
          <w:p w14:paraId="66F6341D">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single" w:color="000000" w:sz="4" w:space="0"/>
              <w:left w:val="nil"/>
              <w:bottom w:val="single" w:color="000000" w:sz="4" w:space="0"/>
              <w:right w:val="single" w:color="000000" w:sz="4" w:space="0"/>
            </w:tcBorders>
            <w:noWrap w:val="0"/>
            <w:vAlign w:val="center"/>
          </w:tcPr>
          <w:p w14:paraId="25421F2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6CF450A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nil"/>
              <w:left w:val="nil"/>
              <w:bottom w:val="single" w:color="000000" w:sz="4" w:space="0"/>
              <w:right w:val="single" w:color="000000" w:sz="8" w:space="0"/>
            </w:tcBorders>
            <w:noWrap w:val="0"/>
            <w:vAlign w:val="center"/>
          </w:tcPr>
          <w:p w14:paraId="6E45946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DEAADA9">
        <w:tblPrEx>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cBorders>
            <w:noWrap w:val="0"/>
            <w:vAlign w:val="center"/>
          </w:tcPr>
          <w:p w14:paraId="1DDDAFC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778" w:type="pct"/>
            <w:tcBorders>
              <w:top w:val="single" w:color="000000" w:sz="4" w:space="0"/>
              <w:left w:val="nil"/>
              <w:bottom w:val="single" w:color="000000" w:sz="4" w:space="0"/>
              <w:right w:val="single" w:color="000000" w:sz="4" w:space="0"/>
            </w:tcBorders>
            <w:noWrap w:val="0"/>
            <w:vAlign w:val="center"/>
          </w:tcPr>
          <w:p w14:paraId="5C5D069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6A2ABBF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single" w:color="000000" w:sz="4" w:space="0"/>
              <w:left w:val="nil"/>
              <w:bottom w:val="single" w:color="000000" w:sz="4" w:space="0"/>
              <w:right w:val="single" w:color="000000" w:sz="4" w:space="0"/>
            </w:tcBorders>
            <w:noWrap w:val="0"/>
            <w:vAlign w:val="center"/>
          </w:tcPr>
          <w:p w14:paraId="36FE528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3839956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nil"/>
              <w:left w:val="nil"/>
              <w:bottom w:val="single" w:color="000000" w:sz="4" w:space="0"/>
              <w:right w:val="single" w:color="000000" w:sz="8" w:space="0"/>
            </w:tcBorders>
            <w:noWrap w:val="0"/>
            <w:vAlign w:val="center"/>
          </w:tcPr>
          <w:p w14:paraId="1CDC696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A3B57FC">
        <w:tblPrEx>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cBorders>
            <w:noWrap w:val="0"/>
            <w:vAlign w:val="center"/>
          </w:tcPr>
          <w:p w14:paraId="1CCA08F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778" w:type="pct"/>
            <w:tcBorders>
              <w:top w:val="single" w:color="000000" w:sz="4" w:space="0"/>
              <w:left w:val="nil"/>
              <w:bottom w:val="single" w:color="000000" w:sz="4" w:space="0"/>
              <w:right w:val="single" w:color="000000" w:sz="4" w:space="0"/>
            </w:tcBorders>
            <w:noWrap w:val="0"/>
            <w:vAlign w:val="center"/>
          </w:tcPr>
          <w:p w14:paraId="7EBD232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4DCAAA9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single" w:color="000000" w:sz="4" w:space="0"/>
              <w:left w:val="nil"/>
              <w:bottom w:val="single" w:color="000000" w:sz="4" w:space="0"/>
              <w:right w:val="single" w:color="000000" w:sz="4" w:space="0"/>
            </w:tcBorders>
            <w:noWrap w:val="0"/>
            <w:vAlign w:val="center"/>
          </w:tcPr>
          <w:p w14:paraId="4269882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7" w:type="pct"/>
            <w:tcBorders>
              <w:top w:val="nil"/>
              <w:left w:val="nil"/>
              <w:bottom w:val="single" w:color="000000" w:sz="4" w:space="0"/>
              <w:right w:val="single" w:color="000000" w:sz="4" w:space="0"/>
            </w:tcBorders>
            <w:noWrap w:val="0"/>
            <w:vAlign w:val="center"/>
          </w:tcPr>
          <w:p w14:paraId="7AC07FDA">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nil"/>
              <w:left w:val="nil"/>
              <w:bottom w:val="single" w:color="000000" w:sz="4" w:space="0"/>
              <w:right w:val="single" w:color="000000" w:sz="8" w:space="0"/>
            </w:tcBorders>
            <w:noWrap w:val="0"/>
            <w:vAlign w:val="center"/>
          </w:tcPr>
          <w:p w14:paraId="1FF415B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9F8D9D2">
        <w:tblPrEx>
          <w:tblCellMar>
            <w:top w:w="0" w:type="dxa"/>
            <w:left w:w="108" w:type="dxa"/>
            <w:bottom w:w="0" w:type="dxa"/>
            <w:right w:w="108" w:type="dxa"/>
          </w:tblCellMar>
        </w:tblPrEx>
        <w:trPr>
          <w:trHeight w:val="567" w:hRule="atLeast"/>
        </w:trPr>
        <w:tc>
          <w:tcPr>
            <w:tcW w:w="4285" w:type="pct"/>
            <w:gridSpan w:val="5"/>
            <w:tcBorders>
              <w:top w:val="single" w:color="000000" w:sz="4" w:space="0"/>
              <w:left w:val="single" w:color="000000" w:sz="8" w:space="0"/>
              <w:bottom w:val="single" w:color="000000" w:sz="4" w:space="0"/>
              <w:right w:val="single" w:color="000000" w:sz="4" w:space="0"/>
            </w:tcBorders>
            <w:noWrap w:val="0"/>
            <w:vAlign w:val="center"/>
          </w:tcPr>
          <w:p w14:paraId="5258D097">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施工机械费小计</w:t>
            </w:r>
          </w:p>
        </w:tc>
        <w:tc>
          <w:tcPr>
            <w:tcW w:w="715" w:type="pct"/>
            <w:tcBorders>
              <w:top w:val="nil"/>
              <w:left w:val="nil"/>
              <w:bottom w:val="single" w:color="000000" w:sz="4" w:space="0"/>
              <w:right w:val="single" w:color="000000" w:sz="8" w:space="0"/>
            </w:tcBorders>
            <w:noWrap w:val="0"/>
            <w:vAlign w:val="center"/>
          </w:tcPr>
          <w:p w14:paraId="746C8D5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95C8AAD">
        <w:tblPrEx>
          <w:tblCellMar>
            <w:top w:w="0" w:type="dxa"/>
            <w:left w:w="108" w:type="dxa"/>
            <w:bottom w:w="0" w:type="dxa"/>
            <w:right w:w="108" w:type="dxa"/>
          </w:tblCellMar>
        </w:tblPrEx>
        <w:trPr>
          <w:trHeight w:val="567" w:hRule="atLeast"/>
        </w:trPr>
        <w:tc>
          <w:tcPr>
            <w:tcW w:w="4285" w:type="pct"/>
            <w:gridSpan w:val="5"/>
            <w:tcBorders>
              <w:top w:val="single" w:color="000000" w:sz="4" w:space="0"/>
              <w:left w:val="single" w:color="000000" w:sz="8" w:space="0"/>
              <w:bottom w:val="single" w:color="000000" w:sz="8" w:space="0"/>
              <w:right w:val="single" w:color="000000" w:sz="4" w:space="0"/>
            </w:tcBorders>
            <w:noWrap w:val="0"/>
            <w:vAlign w:val="center"/>
          </w:tcPr>
          <w:p w14:paraId="4B3DC12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     计</w:t>
            </w:r>
          </w:p>
        </w:tc>
        <w:tc>
          <w:tcPr>
            <w:tcW w:w="715" w:type="pct"/>
            <w:tcBorders>
              <w:top w:val="nil"/>
              <w:left w:val="nil"/>
              <w:bottom w:val="single" w:color="000000" w:sz="8" w:space="0"/>
              <w:right w:val="single" w:color="000000" w:sz="8" w:space="0"/>
            </w:tcBorders>
            <w:noWrap w:val="0"/>
            <w:vAlign w:val="center"/>
          </w:tcPr>
          <w:p w14:paraId="2D109BA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17786A8B">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787" w:name="_Toc171581374"/>
      <w:bookmarkStart w:id="1788" w:name="_Toc171581554"/>
      <w:bookmarkStart w:id="1789" w:name="_Toc460660250"/>
      <w:bookmarkStart w:id="1790" w:name="_Toc171741997"/>
      <w:bookmarkStart w:id="1791" w:name="_Toc460227135"/>
      <w:bookmarkStart w:id="1792" w:name="_Toc535241139"/>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793" w:name="_Toc3071"/>
      <w:bookmarkStart w:id="1794" w:name="_Toc28910"/>
      <w:bookmarkStart w:id="1795" w:name="_Toc16791"/>
      <w:bookmarkStart w:id="1796" w:name="_Toc16209"/>
      <w:bookmarkStart w:id="1797" w:name="_Toc3141"/>
      <w:bookmarkStart w:id="1798" w:name="_Toc21238"/>
      <w:bookmarkStart w:id="1799" w:name="_Toc14794"/>
      <w:bookmarkStart w:id="1800" w:name="_Toc22115"/>
      <w:r>
        <w:rPr>
          <w:rStyle w:val="73"/>
          <w:rFonts w:hint="eastAsia" w:ascii="Times New Roman" w:hAnsi="Times New Roman"/>
          <w:smallCaps w:val="0"/>
          <w:color w:val="000000" w:themeColor="text1"/>
          <w:highlight w:val="none"/>
          <w14:textFill>
            <w14:solidFill>
              <w14:schemeClr w14:val="tx1"/>
            </w14:solidFill>
          </w14:textFill>
        </w:rPr>
        <w:t>（十三）</w:t>
      </w:r>
      <w:bookmarkEnd w:id="1787"/>
      <w:bookmarkEnd w:id="1788"/>
      <w:bookmarkEnd w:id="1789"/>
      <w:bookmarkEnd w:id="1790"/>
      <w:bookmarkEnd w:id="1791"/>
      <w:r>
        <w:rPr>
          <w:rStyle w:val="73"/>
          <w:rFonts w:hint="eastAsia" w:ascii="Times New Roman" w:hAnsi="Times New Roman"/>
          <w:smallCaps w:val="0"/>
          <w:color w:val="000000" w:themeColor="text1"/>
          <w:highlight w:val="none"/>
          <w14:textFill>
            <w14:solidFill>
              <w14:schemeClr w14:val="tx1"/>
            </w14:solidFill>
          </w14:textFill>
        </w:rPr>
        <w:t>总承包服务费计价表</w:t>
      </w:r>
      <w:bookmarkEnd w:id="1792"/>
      <w:bookmarkEnd w:id="1793"/>
      <w:bookmarkEnd w:id="1794"/>
      <w:bookmarkEnd w:id="1795"/>
      <w:bookmarkEnd w:id="1796"/>
      <w:bookmarkEnd w:id="1797"/>
      <w:bookmarkEnd w:id="1798"/>
      <w:bookmarkEnd w:id="1799"/>
      <w:bookmarkEnd w:id="1800"/>
    </w:p>
    <w:p w14:paraId="64A6E463">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851"/>
        <w:gridCol w:w="2171"/>
        <w:gridCol w:w="1744"/>
        <w:gridCol w:w="1744"/>
        <w:gridCol w:w="1317"/>
        <w:gridCol w:w="1744"/>
      </w:tblGrid>
      <w:tr w14:paraId="49FAC267">
        <w:tblPrEx>
          <w:tblCellMar>
            <w:top w:w="0" w:type="dxa"/>
            <w:left w:w="108" w:type="dxa"/>
            <w:bottom w:w="0" w:type="dxa"/>
            <w:right w:w="108" w:type="dxa"/>
          </w:tblCellMar>
        </w:tblPrEx>
        <w:trPr>
          <w:trHeight w:val="690" w:hRule="atLeast"/>
        </w:trPr>
        <w:tc>
          <w:tcPr>
            <w:tcW w:w="445"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04AE6A51">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序号</w:t>
            </w:r>
          </w:p>
        </w:tc>
        <w:tc>
          <w:tcPr>
            <w:tcW w:w="1134" w:type="pct"/>
            <w:tcBorders>
              <w:top w:val="single" w:color="000000" w:sz="8" w:space="0"/>
              <w:left w:val="nil"/>
              <w:bottom w:val="single" w:color="000000" w:sz="4" w:space="0"/>
              <w:right w:val="single" w:color="000000" w:sz="4" w:space="0"/>
            </w:tcBorders>
            <w:shd w:val="clear" w:color="FFFFFF" w:fill="FFFFFF"/>
            <w:noWrap w:val="0"/>
            <w:vAlign w:val="center"/>
          </w:tcPr>
          <w:p w14:paraId="73F6EAF7">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工程名称</w:t>
            </w:r>
          </w:p>
        </w:tc>
        <w:tc>
          <w:tcPr>
            <w:tcW w:w="911" w:type="pct"/>
            <w:tcBorders>
              <w:top w:val="single" w:color="000000" w:sz="8" w:space="0"/>
              <w:left w:val="nil"/>
              <w:bottom w:val="single" w:color="000000" w:sz="4" w:space="0"/>
              <w:right w:val="single" w:color="000000" w:sz="4" w:space="0"/>
            </w:tcBorders>
            <w:shd w:val="clear" w:color="FFFFFF" w:fill="FFFFFF"/>
            <w:noWrap w:val="0"/>
            <w:vAlign w:val="center"/>
          </w:tcPr>
          <w:p w14:paraId="1E42C43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项目价值(元)</w:t>
            </w:r>
          </w:p>
        </w:tc>
        <w:tc>
          <w:tcPr>
            <w:tcW w:w="911" w:type="pct"/>
            <w:tcBorders>
              <w:top w:val="single" w:color="000000" w:sz="8" w:space="0"/>
              <w:left w:val="nil"/>
              <w:bottom w:val="single" w:color="000000" w:sz="4" w:space="0"/>
              <w:right w:val="single" w:color="000000" w:sz="4" w:space="0"/>
            </w:tcBorders>
            <w:shd w:val="clear" w:color="FFFFFF" w:fill="FFFFFF"/>
            <w:noWrap w:val="0"/>
            <w:vAlign w:val="center"/>
          </w:tcPr>
          <w:p w14:paraId="2CF5CD8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服务内容</w:t>
            </w:r>
          </w:p>
        </w:tc>
        <w:tc>
          <w:tcPr>
            <w:tcW w:w="688" w:type="pct"/>
            <w:tcBorders>
              <w:top w:val="single" w:color="000000" w:sz="8" w:space="0"/>
              <w:left w:val="nil"/>
              <w:bottom w:val="single" w:color="000000" w:sz="4" w:space="0"/>
              <w:right w:val="single" w:color="000000" w:sz="4" w:space="0"/>
            </w:tcBorders>
            <w:shd w:val="clear" w:color="FFFFFF" w:fill="FFFFFF"/>
            <w:noWrap w:val="0"/>
            <w:vAlign w:val="center"/>
          </w:tcPr>
          <w:p w14:paraId="19CA94D9">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费率(％)</w:t>
            </w:r>
          </w:p>
        </w:tc>
        <w:tc>
          <w:tcPr>
            <w:tcW w:w="911" w:type="pct"/>
            <w:tcBorders>
              <w:top w:val="single" w:color="000000" w:sz="8" w:space="0"/>
              <w:left w:val="nil"/>
              <w:bottom w:val="single" w:color="000000" w:sz="4" w:space="0"/>
              <w:right w:val="single" w:color="000000" w:sz="8" w:space="0"/>
            </w:tcBorders>
            <w:shd w:val="clear" w:color="FFFFFF" w:fill="FFFFFF"/>
            <w:noWrap w:val="0"/>
            <w:vAlign w:val="center"/>
          </w:tcPr>
          <w:p w14:paraId="09FC59E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金额(元)</w:t>
            </w:r>
          </w:p>
        </w:tc>
      </w:tr>
      <w:tr w14:paraId="534D17E9">
        <w:tblPrEx>
          <w:tblCellMar>
            <w:top w:w="0" w:type="dxa"/>
            <w:left w:w="108" w:type="dxa"/>
            <w:bottom w:w="0" w:type="dxa"/>
            <w:right w:w="108" w:type="dxa"/>
          </w:tblCellMar>
        </w:tblPrEx>
        <w:trPr>
          <w:trHeight w:val="680" w:hRule="atLeast"/>
        </w:trPr>
        <w:tc>
          <w:tcPr>
            <w:tcW w:w="445" w:type="pct"/>
            <w:tcBorders>
              <w:top w:val="nil"/>
              <w:left w:val="single" w:color="000000" w:sz="8" w:space="0"/>
              <w:bottom w:val="single" w:color="000000" w:sz="4" w:space="0"/>
              <w:right w:val="single" w:color="000000" w:sz="4" w:space="0"/>
            </w:tcBorders>
            <w:noWrap w:val="0"/>
            <w:vAlign w:val="center"/>
          </w:tcPr>
          <w:p w14:paraId="77DFFC41">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134" w:type="pct"/>
            <w:tcBorders>
              <w:top w:val="nil"/>
              <w:left w:val="nil"/>
              <w:bottom w:val="single" w:color="000000" w:sz="4" w:space="0"/>
              <w:right w:val="single" w:color="000000" w:sz="4" w:space="0"/>
            </w:tcBorders>
            <w:noWrap w:val="0"/>
            <w:vAlign w:val="center"/>
          </w:tcPr>
          <w:p w14:paraId="6D7610FD">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11" w:type="pct"/>
            <w:tcBorders>
              <w:top w:val="single" w:color="000000" w:sz="4" w:space="0"/>
              <w:left w:val="nil"/>
              <w:bottom w:val="single" w:color="000000" w:sz="4" w:space="0"/>
              <w:right w:val="single" w:color="000000" w:sz="4" w:space="0"/>
            </w:tcBorders>
            <w:noWrap w:val="0"/>
            <w:vAlign w:val="center"/>
          </w:tcPr>
          <w:p w14:paraId="4E0EA8A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11" w:type="pct"/>
            <w:tcBorders>
              <w:top w:val="single" w:color="000000" w:sz="4" w:space="0"/>
              <w:left w:val="nil"/>
              <w:bottom w:val="single" w:color="000000" w:sz="4" w:space="0"/>
              <w:right w:val="single" w:color="000000" w:sz="4" w:space="0"/>
            </w:tcBorders>
            <w:noWrap w:val="0"/>
            <w:vAlign w:val="center"/>
          </w:tcPr>
          <w:p w14:paraId="4B4ACC30">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8" w:type="pct"/>
            <w:tcBorders>
              <w:top w:val="single" w:color="000000" w:sz="4" w:space="0"/>
              <w:left w:val="nil"/>
              <w:bottom w:val="single" w:color="000000" w:sz="4" w:space="0"/>
              <w:right w:val="single" w:color="000000" w:sz="4" w:space="0"/>
            </w:tcBorders>
            <w:noWrap w:val="0"/>
            <w:vAlign w:val="center"/>
          </w:tcPr>
          <w:p w14:paraId="5E325B2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11" w:type="pct"/>
            <w:tcBorders>
              <w:top w:val="nil"/>
              <w:left w:val="nil"/>
              <w:bottom w:val="single" w:color="000000" w:sz="4" w:space="0"/>
              <w:right w:val="single" w:color="000000" w:sz="8" w:space="0"/>
            </w:tcBorders>
            <w:noWrap w:val="0"/>
            <w:vAlign w:val="center"/>
          </w:tcPr>
          <w:p w14:paraId="39C737D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8C11753">
        <w:tblPrEx>
          <w:tblCellMar>
            <w:top w:w="0" w:type="dxa"/>
            <w:left w:w="108" w:type="dxa"/>
            <w:bottom w:w="0" w:type="dxa"/>
            <w:right w:w="108" w:type="dxa"/>
          </w:tblCellMar>
        </w:tblPrEx>
        <w:trPr>
          <w:trHeight w:val="680" w:hRule="atLeast"/>
        </w:trPr>
        <w:tc>
          <w:tcPr>
            <w:tcW w:w="445" w:type="pct"/>
            <w:tcBorders>
              <w:top w:val="nil"/>
              <w:left w:val="single" w:color="000000" w:sz="8" w:space="0"/>
              <w:bottom w:val="single" w:color="000000" w:sz="4" w:space="0"/>
              <w:right w:val="single" w:color="000000" w:sz="4" w:space="0"/>
            </w:tcBorders>
            <w:noWrap w:val="0"/>
            <w:vAlign w:val="center"/>
          </w:tcPr>
          <w:p w14:paraId="2CAE65E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134" w:type="pct"/>
            <w:tcBorders>
              <w:top w:val="nil"/>
              <w:left w:val="nil"/>
              <w:bottom w:val="single" w:color="000000" w:sz="4" w:space="0"/>
              <w:right w:val="single" w:color="000000" w:sz="4" w:space="0"/>
            </w:tcBorders>
            <w:noWrap w:val="0"/>
            <w:vAlign w:val="center"/>
          </w:tcPr>
          <w:p w14:paraId="388B1F10">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11" w:type="pct"/>
            <w:tcBorders>
              <w:top w:val="single" w:color="000000" w:sz="4" w:space="0"/>
              <w:left w:val="nil"/>
              <w:bottom w:val="single" w:color="000000" w:sz="4" w:space="0"/>
              <w:right w:val="single" w:color="000000" w:sz="4" w:space="0"/>
            </w:tcBorders>
            <w:noWrap w:val="0"/>
            <w:vAlign w:val="center"/>
          </w:tcPr>
          <w:p w14:paraId="2D52565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11" w:type="pct"/>
            <w:tcBorders>
              <w:top w:val="single" w:color="000000" w:sz="4" w:space="0"/>
              <w:left w:val="nil"/>
              <w:bottom w:val="single" w:color="000000" w:sz="4" w:space="0"/>
              <w:right w:val="single" w:color="000000" w:sz="4" w:space="0"/>
            </w:tcBorders>
            <w:noWrap w:val="0"/>
            <w:vAlign w:val="center"/>
          </w:tcPr>
          <w:p w14:paraId="0B8D7B8A">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8" w:type="pct"/>
            <w:tcBorders>
              <w:top w:val="single" w:color="000000" w:sz="4" w:space="0"/>
              <w:left w:val="nil"/>
              <w:bottom w:val="single" w:color="000000" w:sz="4" w:space="0"/>
              <w:right w:val="single" w:color="000000" w:sz="4" w:space="0"/>
            </w:tcBorders>
            <w:noWrap w:val="0"/>
            <w:vAlign w:val="center"/>
          </w:tcPr>
          <w:p w14:paraId="4A3C745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11" w:type="pct"/>
            <w:tcBorders>
              <w:top w:val="nil"/>
              <w:left w:val="nil"/>
              <w:bottom w:val="single" w:color="000000" w:sz="4" w:space="0"/>
              <w:right w:val="single" w:color="000000" w:sz="8" w:space="0"/>
            </w:tcBorders>
            <w:noWrap w:val="0"/>
            <w:vAlign w:val="center"/>
          </w:tcPr>
          <w:p w14:paraId="5BF3CE41">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4D297FD">
        <w:tblPrEx>
          <w:tblCellMar>
            <w:top w:w="0" w:type="dxa"/>
            <w:left w:w="108" w:type="dxa"/>
            <w:bottom w:w="0" w:type="dxa"/>
            <w:right w:w="108" w:type="dxa"/>
          </w:tblCellMar>
        </w:tblPrEx>
        <w:trPr>
          <w:trHeight w:val="680" w:hRule="atLeast"/>
        </w:trPr>
        <w:tc>
          <w:tcPr>
            <w:tcW w:w="445" w:type="pct"/>
            <w:tcBorders>
              <w:top w:val="nil"/>
              <w:left w:val="single" w:color="000000" w:sz="8" w:space="0"/>
              <w:bottom w:val="single" w:color="000000" w:sz="4" w:space="0"/>
              <w:right w:val="single" w:color="000000" w:sz="4" w:space="0"/>
            </w:tcBorders>
            <w:noWrap w:val="0"/>
            <w:vAlign w:val="center"/>
          </w:tcPr>
          <w:p w14:paraId="36AE6A34">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134" w:type="pct"/>
            <w:tcBorders>
              <w:top w:val="nil"/>
              <w:left w:val="nil"/>
              <w:bottom w:val="single" w:color="000000" w:sz="4" w:space="0"/>
              <w:right w:val="single" w:color="000000" w:sz="4" w:space="0"/>
            </w:tcBorders>
            <w:noWrap w:val="0"/>
            <w:vAlign w:val="center"/>
          </w:tcPr>
          <w:p w14:paraId="26A03A74">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11" w:type="pct"/>
            <w:tcBorders>
              <w:top w:val="single" w:color="000000" w:sz="4" w:space="0"/>
              <w:left w:val="nil"/>
              <w:bottom w:val="single" w:color="000000" w:sz="4" w:space="0"/>
              <w:right w:val="single" w:color="000000" w:sz="4" w:space="0"/>
            </w:tcBorders>
            <w:noWrap w:val="0"/>
            <w:vAlign w:val="center"/>
          </w:tcPr>
          <w:p w14:paraId="758B61DC">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11" w:type="pct"/>
            <w:tcBorders>
              <w:top w:val="single" w:color="000000" w:sz="4" w:space="0"/>
              <w:left w:val="nil"/>
              <w:bottom w:val="single" w:color="000000" w:sz="4" w:space="0"/>
              <w:right w:val="single" w:color="000000" w:sz="4" w:space="0"/>
            </w:tcBorders>
            <w:noWrap w:val="0"/>
            <w:vAlign w:val="center"/>
          </w:tcPr>
          <w:p w14:paraId="2342D5A5">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88" w:type="pct"/>
            <w:tcBorders>
              <w:top w:val="single" w:color="000000" w:sz="4" w:space="0"/>
              <w:left w:val="nil"/>
              <w:bottom w:val="single" w:color="000000" w:sz="4" w:space="0"/>
              <w:right w:val="single" w:color="000000" w:sz="4" w:space="0"/>
            </w:tcBorders>
            <w:noWrap w:val="0"/>
            <w:vAlign w:val="center"/>
          </w:tcPr>
          <w:p w14:paraId="4763559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911" w:type="pct"/>
            <w:tcBorders>
              <w:top w:val="nil"/>
              <w:left w:val="nil"/>
              <w:bottom w:val="single" w:color="000000" w:sz="4" w:space="0"/>
              <w:right w:val="single" w:color="000000" w:sz="8" w:space="0"/>
            </w:tcBorders>
            <w:noWrap w:val="0"/>
            <w:vAlign w:val="center"/>
          </w:tcPr>
          <w:p w14:paraId="5FEE21F1">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E123E20">
        <w:tblPrEx>
          <w:tblCellMar>
            <w:top w:w="0" w:type="dxa"/>
            <w:left w:w="108" w:type="dxa"/>
            <w:bottom w:w="0" w:type="dxa"/>
            <w:right w:w="108" w:type="dxa"/>
          </w:tblCellMar>
        </w:tblPrEx>
        <w:trPr>
          <w:trHeight w:val="680" w:hRule="atLeast"/>
        </w:trPr>
        <w:tc>
          <w:tcPr>
            <w:tcW w:w="4089" w:type="pct"/>
            <w:gridSpan w:val="5"/>
            <w:tcBorders>
              <w:top w:val="single" w:color="000000" w:sz="4" w:space="0"/>
              <w:left w:val="single" w:color="000000" w:sz="8" w:space="0"/>
              <w:bottom w:val="single" w:color="000000" w:sz="8" w:space="0"/>
              <w:right w:val="single" w:color="000000" w:sz="4" w:space="0"/>
            </w:tcBorders>
            <w:noWrap w:val="0"/>
            <w:vAlign w:val="center"/>
          </w:tcPr>
          <w:p w14:paraId="245DA68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  计</w:t>
            </w:r>
          </w:p>
        </w:tc>
        <w:tc>
          <w:tcPr>
            <w:tcW w:w="911" w:type="pct"/>
            <w:tcBorders>
              <w:top w:val="nil"/>
              <w:left w:val="nil"/>
              <w:bottom w:val="single" w:color="000000" w:sz="8" w:space="0"/>
              <w:right w:val="single" w:color="000000" w:sz="8" w:space="0"/>
            </w:tcBorders>
            <w:noWrap w:val="0"/>
            <w:vAlign w:val="center"/>
          </w:tcPr>
          <w:p w14:paraId="123FA78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721FAFD4">
      <w:pPr>
        <w:pageBreakBefore w:val="0"/>
        <w:kinsoku/>
        <w:wordWrap w:val="0"/>
        <w:overflowPunct/>
        <w:bidi w:val="0"/>
        <w:spacing w:before="48" w:beforeLines="20" w:after="48" w:afterLines="20" w:line="540" w:lineRule="exact"/>
        <w:rPr>
          <w:rFonts w:hint="eastAsia" w:ascii="Times New Roman" w:hAnsi="Times New Roman" w:cs="宋体"/>
          <w:smallCaps w:val="0"/>
          <w:color w:val="000000" w:themeColor="text1"/>
          <w:sz w:val="24"/>
          <w:szCs w:val="22"/>
          <w:highlight w:val="none"/>
          <w14:textFill>
            <w14:solidFill>
              <w14:schemeClr w14:val="tx1"/>
            </w14:solidFill>
          </w14:textFill>
        </w:rPr>
      </w:pPr>
    </w:p>
    <w:p w14:paraId="02F68D61">
      <w:pPr>
        <w:pageBreakBefore w:val="0"/>
        <w:kinsoku/>
        <w:wordWrap w:val="0"/>
        <w:overflowPunct/>
        <w:bidi w:val="0"/>
        <w:rPr>
          <w:rFonts w:hint="eastAsia" w:ascii="Times New Roman" w:hAnsi="Times New Roman" w:cs="宋体"/>
          <w:smallCaps w:val="0"/>
          <w:color w:val="000000" w:themeColor="text1"/>
          <w:highlight w:val="none"/>
          <w14:textFill>
            <w14:solidFill>
              <w14:schemeClr w14:val="tx1"/>
            </w14:solidFill>
          </w14:textFill>
        </w:rPr>
      </w:pPr>
      <w:bookmarkStart w:id="1801" w:name="_Toc460227136"/>
      <w:bookmarkStart w:id="1802" w:name="_Toc171581375"/>
      <w:bookmarkStart w:id="1803" w:name="_Toc171741998"/>
      <w:bookmarkStart w:id="1804" w:name="_Toc171581555"/>
      <w:bookmarkStart w:id="1805" w:name="_Toc460660251"/>
    </w:p>
    <w:p w14:paraId="6E011E35">
      <w:pPr>
        <w:pageBreakBefore w:val="0"/>
        <w:kinsoku/>
        <w:wordWrap w:val="0"/>
        <w:overflowPunct/>
        <w:bidi w:val="0"/>
        <w:rPr>
          <w:rStyle w:val="73"/>
          <w:rFonts w:hint="eastAsia" w:ascii="Times New Roman" w:hAnsi="Times New Roman"/>
          <w:smallCaps w:val="0"/>
          <w:color w:val="000000" w:themeColor="text1"/>
          <w:highlight w:val="none"/>
          <w14:textFill>
            <w14:solidFill>
              <w14:schemeClr w14:val="tx1"/>
            </w14:solidFill>
          </w14:textFill>
        </w:rPr>
      </w:pPr>
      <w:bookmarkStart w:id="1806" w:name="_Toc535241140"/>
      <w:bookmarkStart w:id="1807" w:name="_Toc9819"/>
      <w:bookmarkStart w:id="1808" w:name="_Toc27563"/>
      <w:bookmarkStart w:id="1809" w:name="_Toc4330"/>
      <w:bookmarkStart w:id="1810" w:name="_Toc32206"/>
      <w:bookmarkStart w:id="1811" w:name="_Toc2832"/>
      <w:bookmarkStart w:id="1812" w:name="_Toc999"/>
      <w:bookmarkStart w:id="1813" w:name="_Toc5842"/>
      <w:bookmarkStart w:id="1814" w:name="_Toc17578"/>
      <w:r>
        <w:rPr>
          <w:rStyle w:val="73"/>
          <w:rFonts w:hint="eastAsia" w:ascii="Times New Roman" w:hAnsi="Times New Roman"/>
          <w:smallCaps w:val="0"/>
          <w:color w:val="000000" w:themeColor="text1"/>
          <w:highlight w:val="none"/>
          <w14:textFill>
            <w14:solidFill>
              <w14:schemeClr w14:val="tx1"/>
            </w14:solidFill>
          </w14:textFill>
        </w:rPr>
        <w:br w:type="page"/>
      </w:r>
    </w:p>
    <w:p w14:paraId="035A15F2">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Style w:val="73"/>
          <w:rFonts w:hint="eastAsia" w:ascii="Times New Roman" w:hAnsi="Times New Roman"/>
          <w:smallCaps w:val="0"/>
          <w:color w:val="000000" w:themeColor="text1"/>
          <w:highlight w:val="none"/>
          <w14:textFill>
            <w14:solidFill>
              <w14:schemeClr w14:val="tx1"/>
            </w14:solidFill>
          </w14:textFill>
        </w:rPr>
        <w:t>（十四）</w:t>
      </w:r>
      <w:bookmarkEnd w:id="1801"/>
      <w:bookmarkEnd w:id="1802"/>
      <w:bookmarkEnd w:id="1803"/>
      <w:bookmarkEnd w:id="1804"/>
      <w:bookmarkEnd w:id="1805"/>
      <w:r>
        <w:rPr>
          <w:rStyle w:val="73"/>
          <w:rFonts w:hint="eastAsia" w:ascii="Times New Roman" w:hAnsi="Times New Roman"/>
          <w:smallCaps w:val="0"/>
          <w:color w:val="000000" w:themeColor="text1"/>
          <w:highlight w:val="none"/>
          <w14:textFill>
            <w14:solidFill>
              <w14:schemeClr w14:val="tx1"/>
            </w14:solidFill>
          </w14:textFill>
        </w:rPr>
        <w:t>税金计价表</w:t>
      </w:r>
      <w:bookmarkEnd w:id="1806"/>
      <w:bookmarkEnd w:id="1807"/>
      <w:bookmarkEnd w:id="1808"/>
      <w:bookmarkEnd w:id="1809"/>
      <w:bookmarkEnd w:id="1810"/>
      <w:bookmarkEnd w:id="1811"/>
      <w:bookmarkEnd w:id="1812"/>
      <w:bookmarkEnd w:id="1813"/>
      <w:bookmarkEnd w:id="1814"/>
    </w:p>
    <w:p w14:paraId="269D373A">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758"/>
        <w:gridCol w:w="2140"/>
        <w:gridCol w:w="3055"/>
        <w:gridCol w:w="1537"/>
        <w:gridCol w:w="992"/>
        <w:gridCol w:w="1089"/>
      </w:tblGrid>
      <w:tr w14:paraId="50FCA27A">
        <w:tblPrEx>
          <w:tblCellMar>
            <w:top w:w="0" w:type="dxa"/>
            <w:left w:w="108" w:type="dxa"/>
            <w:bottom w:w="0" w:type="dxa"/>
            <w:right w:w="108" w:type="dxa"/>
          </w:tblCellMar>
        </w:tblPrEx>
        <w:trPr>
          <w:trHeight w:val="690" w:hRule="atLeast"/>
        </w:trPr>
        <w:tc>
          <w:tcPr>
            <w:tcW w:w="396"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11C3A10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序号</w:t>
            </w:r>
          </w:p>
        </w:tc>
        <w:tc>
          <w:tcPr>
            <w:tcW w:w="1118" w:type="pct"/>
            <w:tcBorders>
              <w:top w:val="single" w:color="000000" w:sz="8" w:space="0"/>
              <w:left w:val="nil"/>
              <w:bottom w:val="single" w:color="000000" w:sz="4" w:space="0"/>
              <w:right w:val="single" w:color="000000" w:sz="4" w:space="0"/>
            </w:tcBorders>
            <w:shd w:val="clear" w:color="FFFFFF" w:fill="FFFFFF"/>
            <w:noWrap w:val="0"/>
            <w:vAlign w:val="center"/>
          </w:tcPr>
          <w:p w14:paraId="77908387">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项目名称</w:t>
            </w:r>
          </w:p>
        </w:tc>
        <w:tc>
          <w:tcPr>
            <w:tcW w:w="1596" w:type="pct"/>
            <w:tcBorders>
              <w:top w:val="single" w:color="000000" w:sz="8" w:space="0"/>
              <w:left w:val="nil"/>
              <w:bottom w:val="single" w:color="000000" w:sz="4" w:space="0"/>
              <w:right w:val="single" w:color="000000" w:sz="4" w:space="0"/>
            </w:tcBorders>
            <w:shd w:val="clear" w:color="FFFFFF" w:fill="FFFFFF"/>
            <w:noWrap w:val="0"/>
            <w:vAlign w:val="center"/>
          </w:tcPr>
          <w:p w14:paraId="29785B1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计算基础</w:t>
            </w:r>
          </w:p>
        </w:tc>
        <w:tc>
          <w:tcPr>
            <w:tcW w:w="803" w:type="pct"/>
            <w:tcBorders>
              <w:top w:val="single" w:color="000000" w:sz="8" w:space="0"/>
              <w:left w:val="nil"/>
              <w:bottom w:val="single" w:color="000000" w:sz="4" w:space="0"/>
              <w:right w:val="single" w:color="000000" w:sz="4" w:space="0"/>
            </w:tcBorders>
            <w:shd w:val="clear" w:color="FFFFFF" w:fill="FFFFFF"/>
            <w:noWrap w:val="0"/>
            <w:vAlign w:val="center"/>
          </w:tcPr>
          <w:p w14:paraId="13C8C9B1">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计算基数</w:t>
            </w:r>
          </w:p>
        </w:tc>
        <w:tc>
          <w:tcPr>
            <w:tcW w:w="518" w:type="pct"/>
            <w:tcBorders>
              <w:top w:val="single" w:color="000000" w:sz="8" w:space="0"/>
              <w:left w:val="nil"/>
              <w:bottom w:val="single" w:color="000000" w:sz="4" w:space="0"/>
              <w:right w:val="single" w:color="000000" w:sz="4" w:space="0"/>
            </w:tcBorders>
            <w:shd w:val="clear" w:color="FFFFFF" w:fill="FFFFFF"/>
            <w:noWrap w:val="0"/>
            <w:vAlign w:val="center"/>
          </w:tcPr>
          <w:p w14:paraId="70FEDC3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费率(％)</w:t>
            </w:r>
          </w:p>
        </w:tc>
        <w:tc>
          <w:tcPr>
            <w:tcW w:w="569" w:type="pct"/>
            <w:tcBorders>
              <w:top w:val="single" w:color="000000" w:sz="8" w:space="0"/>
              <w:left w:val="nil"/>
              <w:bottom w:val="single" w:color="000000" w:sz="4" w:space="0"/>
              <w:right w:val="single" w:color="000000" w:sz="8" w:space="0"/>
            </w:tcBorders>
            <w:shd w:val="clear" w:color="FFFFFF" w:fill="FFFFFF"/>
            <w:noWrap w:val="0"/>
            <w:vAlign w:val="center"/>
          </w:tcPr>
          <w:p w14:paraId="3364A9E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金额(元)</w:t>
            </w:r>
          </w:p>
        </w:tc>
      </w:tr>
      <w:tr w14:paraId="3D44D131">
        <w:tblPrEx>
          <w:tblCellMar>
            <w:top w:w="0" w:type="dxa"/>
            <w:left w:w="108" w:type="dxa"/>
            <w:bottom w:w="0" w:type="dxa"/>
            <w:right w:w="108" w:type="dxa"/>
          </w:tblCellMar>
        </w:tblPrEx>
        <w:trPr>
          <w:trHeight w:val="875" w:hRule="atLeast"/>
        </w:trPr>
        <w:tc>
          <w:tcPr>
            <w:tcW w:w="396" w:type="pct"/>
            <w:tcBorders>
              <w:top w:val="nil"/>
              <w:left w:val="single" w:color="000000" w:sz="8" w:space="0"/>
              <w:bottom w:val="single" w:color="000000" w:sz="4" w:space="0"/>
              <w:right w:val="single" w:color="000000" w:sz="4" w:space="0"/>
            </w:tcBorders>
            <w:noWrap w:val="0"/>
            <w:vAlign w:val="center"/>
          </w:tcPr>
          <w:p w14:paraId="73CF53C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1</w:t>
            </w:r>
          </w:p>
        </w:tc>
        <w:tc>
          <w:tcPr>
            <w:tcW w:w="1118" w:type="pct"/>
            <w:tcBorders>
              <w:top w:val="nil"/>
              <w:left w:val="nil"/>
              <w:bottom w:val="single" w:color="000000" w:sz="4" w:space="0"/>
              <w:right w:val="single" w:color="000000" w:sz="4" w:space="0"/>
            </w:tcBorders>
            <w:noWrap w:val="0"/>
            <w:vAlign w:val="center"/>
          </w:tcPr>
          <w:p w14:paraId="5F3459BF">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增值税</w:t>
            </w:r>
          </w:p>
        </w:tc>
        <w:tc>
          <w:tcPr>
            <w:tcW w:w="1596" w:type="pct"/>
            <w:tcBorders>
              <w:top w:val="single" w:color="000000" w:sz="4" w:space="0"/>
              <w:left w:val="nil"/>
              <w:bottom w:val="single" w:color="000000" w:sz="4" w:space="0"/>
              <w:right w:val="single" w:color="000000" w:sz="4" w:space="0"/>
            </w:tcBorders>
            <w:noWrap w:val="0"/>
            <w:vAlign w:val="center"/>
          </w:tcPr>
          <w:p w14:paraId="406CFA23">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分部分项工程费+措施项目费+不可竞争费+其他项目费</w:t>
            </w:r>
          </w:p>
        </w:tc>
        <w:tc>
          <w:tcPr>
            <w:tcW w:w="803" w:type="pct"/>
            <w:tcBorders>
              <w:top w:val="single" w:color="000000" w:sz="4" w:space="0"/>
              <w:left w:val="nil"/>
              <w:bottom w:val="single" w:color="000000" w:sz="4" w:space="0"/>
              <w:right w:val="single" w:color="000000" w:sz="4" w:space="0"/>
            </w:tcBorders>
            <w:noWrap w:val="0"/>
            <w:vAlign w:val="center"/>
          </w:tcPr>
          <w:p w14:paraId="4FBBE62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18" w:type="pct"/>
            <w:tcBorders>
              <w:top w:val="nil"/>
              <w:left w:val="nil"/>
              <w:bottom w:val="single" w:color="000000" w:sz="4" w:space="0"/>
              <w:right w:val="single" w:color="000000" w:sz="4" w:space="0"/>
            </w:tcBorders>
            <w:noWrap w:val="0"/>
            <w:vAlign w:val="center"/>
          </w:tcPr>
          <w:p w14:paraId="142C9C9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69" w:type="pct"/>
            <w:tcBorders>
              <w:top w:val="nil"/>
              <w:left w:val="nil"/>
              <w:bottom w:val="single" w:color="000000" w:sz="4" w:space="0"/>
              <w:right w:val="single" w:color="000000" w:sz="8" w:space="0"/>
            </w:tcBorders>
            <w:noWrap w:val="0"/>
            <w:vAlign w:val="center"/>
          </w:tcPr>
          <w:p w14:paraId="6BC219D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74F20A1">
        <w:tblPrEx>
          <w:tblCellMar>
            <w:top w:w="0" w:type="dxa"/>
            <w:left w:w="108" w:type="dxa"/>
            <w:bottom w:w="0" w:type="dxa"/>
            <w:right w:w="108" w:type="dxa"/>
          </w:tblCellMar>
        </w:tblPrEx>
        <w:trPr>
          <w:trHeight w:val="680" w:hRule="atLeast"/>
        </w:trPr>
        <w:tc>
          <w:tcPr>
            <w:tcW w:w="396" w:type="pct"/>
            <w:tcBorders>
              <w:top w:val="nil"/>
              <w:left w:val="single" w:color="000000" w:sz="8" w:space="0"/>
              <w:bottom w:val="single" w:color="000000" w:sz="4" w:space="0"/>
              <w:right w:val="single" w:color="000000" w:sz="4" w:space="0"/>
            </w:tcBorders>
            <w:noWrap w:val="0"/>
            <w:vAlign w:val="center"/>
          </w:tcPr>
          <w:p w14:paraId="54F093E7">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118" w:type="pct"/>
            <w:tcBorders>
              <w:top w:val="nil"/>
              <w:left w:val="nil"/>
              <w:bottom w:val="single" w:color="000000" w:sz="4" w:space="0"/>
              <w:right w:val="single" w:color="000000" w:sz="4" w:space="0"/>
            </w:tcBorders>
            <w:noWrap w:val="0"/>
            <w:vAlign w:val="center"/>
          </w:tcPr>
          <w:p w14:paraId="60F5AD9C">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596" w:type="pct"/>
            <w:tcBorders>
              <w:top w:val="single" w:color="000000" w:sz="4" w:space="0"/>
              <w:left w:val="nil"/>
              <w:bottom w:val="single" w:color="000000" w:sz="4" w:space="0"/>
              <w:right w:val="single" w:color="000000" w:sz="4" w:space="0"/>
            </w:tcBorders>
            <w:noWrap w:val="0"/>
            <w:vAlign w:val="center"/>
          </w:tcPr>
          <w:p w14:paraId="3D25DF82">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03" w:type="pct"/>
            <w:tcBorders>
              <w:top w:val="single" w:color="000000" w:sz="4" w:space="0"/>
              <w:left w:val="nil"/>
              <w:bottom w:val="single" w:color="000000" w:sz="4" w:space="0"/>
              <w:right w:val="single" w:color="000000" w:sz="4" w:space="0"/>
            </w:tcBorders>
            <w:noWrap w:val="0"/>
            <w:vAlign w:val="center"/>
          </w:tcPr>
          <w:p w14:paraId="09C6CF8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18" w:type="pct"/>
            <w:tcBorders>
              <w:top w:val="nil"/>
              <w:left w:val="nil"/>
              <w:bottom w:val="single" w:color="000000" w:sz="4" w:space="0"/>
              <w:right w:val="single" w:color="000000" w:sz="4" w:space="0"/>
            </w:tcBorders>
            <w:noWrap w:val="0"/>
            <w:vAlign w:val="center"/>
          </w:tcPr>
          <w:p w14:paraId="332CF17F">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69" w:type="pct"/>
            <w:tcBorders>
              <w:top w:val="nil"/>
              <w:left w:val="nil"/>
              <w:bottom w:val="single" w:color="000000" w:sz="4" w:space="0"/>
              <w:right w:val="single" w:color="000000" w:sz="8" w:space="0"/>
            </w:tcBorders>
            <w:noWrap w:val="0"/>
            <w:vAlign w:val="center"/>
          </w:tcPr>
          <w:p w14:paraId="60DC0CEA">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480C932">
        <w:tblPrEx>
          <w:tblCellMar>
            <w:top w:w="0" w:type="dxa"/>
            <w:left w:w="108" w:type="dxa"/>
            <w:bottom w:w="0" w:type="dxa"/>
            <w:right w:w="108" w:type="dxa"/>
          </w:tblCellMar>
        </w:tblPrEx>
        <w:trPr>
          <w:trHeight w:val="680" w:hRule="atLeast"/>
        </w:trPr>
        <w:tc>
          <w:tcPr>
            <w:tcW w:w="396" w:type="pct"/>
            <w:tcBorders>
              <w:top w:val="nil"/>
              <w:left w:val="single" w:color="000000" w:sz="8" w:space="0"/>
              <w:bottom w:val="single" w:color="000000" w:sz="4" w:space="0"/>
              <w:right w:val="single" w:color="000000" w:sz="4" w:space="0"/>
            </w:tcBorders>
            <w:noWrap w:val="0"/>
            <w:vAlign w:val="center"/>
          </w:tcPr>
          <w:p w14:paraId="3201F3F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118" w:type="pct"/>
            <w:tcBorders>
              <w:top w:val="nil"/>
              <w:left w:val="nil"/>
              <w:bottom w:val="single" w:color="000000" w:sz="4" w:space="0"/>
              <w:right w:val="single" w:color="000000" w:sz="4" w:space="0"/>
            </w:tcBorders>
            <w:noWrap w:val="0"/>
            <w:vAlign w:val="center"/>
          </w:tcPr>
          <w:p w14:paraId="7CCDD817">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596" w:type="pct"/>
            <w:tcBorders>
              <w:top w:val="single" w:color="000000" w:sz="4" w:space="0"/>
              <w:left w:val="nil"/>
              <w:bottom w:val="single" w:color="000000" w:sz="4" w:space="0"/>
              <w:right w:val="single" w:color="000000" w:sz="4" w:space="0"/>
            </w:tcBorders>
            <w:noWrap w:val="0"/>
            <w:vAlign w:val="center"/>
          </w:tcPr>
          <w:p w14:paraId="058D6383">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03" w:type="pct"/>
            <w:tcBorders>
              <w:top w:val="single" w:color="000000" w:sz="4" w:space="0"/>
              <w:left w:val="nil"/>
              <w:bottom w:val="single" w:color="000000" w:sz="4" w:space="0"/>
              <w:right w:val="single" w:color="000000" w:sz="4" w:space="0"/>
            </w:tcBorders>
            <w:noWrap w:val="0"/>
            <w:vAlign w:val="center"/>
          </w:tcPr>
          <w:p w14:paraId="4F0931B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18" w:type="pct"/>
            <w:tcBorders>
              <w:top w:val="nil"/>
              <w:left w:val="nil"/>
              <w:bottom w:val="single" w:color="000000" w:sz="4" w:space="0"/>
              <w:right w:val="single" w:color="000000" w:sz="4" w:space="0"/>
            </w:tcBorders>
            <w:noWrap w:val="0"/>
            <w:vAlign w:val="center"/>
          </w:tcPr>
          <w:p w14:paraId="147A0AF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69" w:type="pct"/>
            <w:tcBorders>
              <w:top w:val="nil"/>
              <w:left w:val="nil"/>
              <w:bottom w:val="single" w:color="000000" w:sz="4" w:space="0"/>
              <w:right w:val="single" w:color="000000" w:sz="8" w:space="0"/>
            </w:tcBorders>
            <w:noWrap w:val="0"/>
            <w:vAlign w:val="center"/>
          </w:tcPr>
          <w:p w14:paraId="1562B249">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D5677EE">
        <w:tblPrEx>
          <w:tblCellMar>
            <w:top w:w="0" w:type="dxa"/>
            <w:left w:w="108" w:type="dxa"/>
            <w:bottom w:w="0" w:type="dxa"/>
            <w:right w:w="108" w:type="dxa"/>
          </w:tblCellMar>
        </w:tblPrEx>
        <w:trPr>
          <w:trHeight w:val="680" w:hRule="atLeast"/>
        </w:trPr>
        <w:tc>
          <w:tcPr>
            <w:tcW w:w="4431" w:type="pct"/>
            <w:gridSpan w:val="5"/>
            <w:tcBorders>
              <w:top w:val="single" w:color="000000" w:sz="4" w:space="0"/>
              <w:left w:val="single" w:color="000000" w:sz="8" w:space="0"/>
              <w:bottom w:val="single" w:color="000000" w:sz="8" w:space="0"/>
              <w:right w:val="single" w:color="000000" w:sz="4" w:space="0"/>
            </w:tcBorders>
            <w:noWrap w:val="0"/>
            <w:vAlign w:val="center"/>
          </w:tcPr>
          <w:p w14:paraId="5ABB1EA8">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  计</w:t>
            </w:r>
          </w:p>
        </w:tc>
        <w:tc>
          <w:tcPr>
            <w:tcW w:w="569" w:type="pct"/>
            <w:tcBorders>
              <w:top w:val="nil"/>
              <w:left w:val="nil"/>
              <w:bottom w:val="single" w:color="000000" w:sz="8" w:space="0"/>
              <w:right w:val="single" w:color="000000" w:sz="8" w:space="0"/>
            </w:tcBorders>
            <w:noWrap w:val="0"/>
            <w:vAlign w:val="center"/>
          </w:tcPr>
          <w:p w14:paraId="23F8807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2F9796B3">
      <w:pPr>
        <w:pageBreakBefore w:val="0"/>
        <w:kinsoku/>
        <w:wordWrap w:val="0"/>
        <w:overflowPunct/>
        <w:bidi w:val="0"/>
        <w:spacing w:before="48" w:beforeLines="20" w:after="48" w:afterLines="20" w:line="540" w:lineRule="exact"/>
        <w:rPr>
          <w:rFonts w:hint="eastAsia" w:ascii="Times New Roman" w:hAnsi="Times New Roman" w:cs="宋体"/>
          <w:smallCaps w:val="0"/>
          <w:color w:val="000000" w:themeColor="text1"/>
          <w:sz w:val="24"/>
          <w:szCs w:val="22"/>
          <w:highlight w:val="none"/>
          <w14:textFill>
            <w14:solidFill>
              <w14:schemeClr w14:val="tx1"/>
            </w14:solidFill>
          </w14:textFill>
        </w:rPr>
        <w:sectPr>
          <w:headerReference r:id="rId18" w:type="first"/>
          <w:footerReference r:id="rId20" w:type="first"/>
          <w:headerReference r:id="rId16" w:type="default"/>
          <w:headerReference r:id="rId17" w:type="even"/>
          <w:footerReference r:id="rId19" w:type="even"/>
          <w:footnotePr>
            <w:numFmt w:val="decimalEnclosedCircleChinese"/>
            <w:numRestart w:val="eachPage"/>
          </w:footnotePr>
          <w:pgSz w:w="11907" w:h="16840"/>
          <w:pgMar w:top="1418" w:right="1134" w:bottom="1134" w:left="1418" w:header="680" w:footer="907" w:gutter="0"/>
          <w:pgNumType w:fmt="decimal"/>
          <w:cols w:space="720" w:num="1"/>
          <w:docGrid w:linePitch="286" w:charSpace="0"/>
        </w:sectPr>
      </w:pPr>
    </w:p>
    <w:p w14:paraId="3ED4B572">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815" w:name="_Toc2309"/>
      <w:bookmarkStart w:id="1816" w:name="_Toc535241141"/>
      <w:bookmarkStart w:id="1817" w:name="_Toc5133"/>
      <w:bookmarkStart w:id="1818" w:name="_Toc7126"/>
      <w:bookmarkStart w:id="1819" w:name="_Toc31453"/>
      <w:bookmarkStart w:id="1820" w:name="_Toc26066"/>
      <w:bookmarkStart w:id="1821" w:name="_Toc9679"/>
      <w:bookmarkStart w:id="1822" w:name="_Toc10976"/>
      <w:bookmarkStart w:id="1823" w:name="_Toc25660"/>
      <w:r>
        <w:rPr>
          <w:rStyle w:val="73"/>
          <w:rFonts w:hint="eastAsia" w:ascii="Times New Roman" w:hAnsi="Times New Roman"/>
          <w:smallCaps w:val="0"/>
          <w:color w:val="000000" w:themeColor="text1"/>
          <w:highlight w:val="none"/>
          <w14:textFill>
            <w14:solidFill>
              <w14:schemeClr w14:val="tx1"/>
            </w14:solidFill>
          </w14:textFill>
        </w:rPr>
        <w:t>（十五）材料（工程设备）暂估单价一览表</w:t>
      </w:r>
      <w:bookmarkEnd w:id="1815"/>
      <w:bookmarkEnd w:id="1816"/>
      <w:bookmarkEnd w:id="1817"/>
      <w:bookmarkEnd w:id="1818"/>
      <w:bookmarkEnd w:id="1819"/>
      <w:bookmarkEnd w:id="1820"/>
      <w:bookmarkEnd w:id="1821"/>
      <w:bookmarkEnd w:id="1822"/>
      <w:bookmarkEnd w:id="1823"/>
    </w:p>
    <w:p w14:paraId="4AE64ABA">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1079"/>
        <w:gridCol w:w="3553"/>
        <w:gridCol w:w="1343"/>
        <w:gridCol w:w="1296"/>
        <w:gridCol w:w="1449"/>
      </w:tblGrid>
      <w:tr w14:paraId="0B86EECE">
        <w:tblPrEx>
          <w:tblCellMar>
            <w:top w:w="0" w:type="dxa"/>
            <w:left w:w="108" w:type="dxa"/>
            <w:bottom w:w="0" w:type="dxa"/>
            <w:right w:w="108" w:type="dxa"/>
          </w:tblCellMar>
        </w:tblPrEx>
        <w:trPr>
          <w:trHeight w:val="690" w:hRule="atLeast"/>
        </w:trPr>
        <w:tc>
          <w:tcPr>
            <w:tcW w:w="619"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32AC06B8">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bookmarkStart w:id="1824" w:name="_Toc17215711"/>
            <w:bookmarkStart w:id="1825" w:name="_Toc44996373"/>
            <w:r>
              <w:rPr>
                <w:rFonts w:hint="eastAsia" w:ascii="Times New Roman" w:hAnsi="Times New Roman" w:cs="宋体"/>
                <w:smallCaps w:val="0"/>
                <w:color w:val="000000" w:themeColor="text1"/>
                <w:kern w:val="0"/>
                <w:szCs w:val="21"/>
                <w:highlight w:val="none"/>
                <w14:textFill>
                  <w14:solidFill>
                    <w14:schemeClr w14:val="tx1"/>
                  </w14:solidFill>
                </w14:textFill>
              </w:rPr>
              <w:t>序号</w:t>
            </w:r>
          </w:p>
        </w:tc>
        <w:tc>
          <w:tcPr>
            <w:tcW w:w="2037" w:type="pct"/>
            <w:tcBorders>
              <w:top w:val="single" w:color="000000" w:sz="8" w:space="0"/>
              <w:left w:val="nil"/>
              <w:bottom w:val="single" w:color="000000" w:sz="4" w:space="0"/>
              <w:right w:val="single" w:color="000000" w:sz="4" w:space="0"/>
            </w:tcBorders>
            <w:shd w:val="clear" w:color="FFFFFF" w:fill="FFFFFF"/>
            <w:noWrap w:val="0"/>
            <w:vAlign w:val="center"/>
          </w:tcPr>
          <w:p w14:paraId="5FC24B21">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材料(工程设备)名称、规格、型号</w:t>
            </w:r>
          </w:p>
        </w:tc>
        <w:tc>
          <w:tcPr>
            <w:tcW w:w="770" w:type="pct"/>
            <w:tcBorders>
              <w:top w:val="single" w:color="000000" w:sz="8" w:space="0"/>
              <w:left w:val="nil"/>
              <w:bottom w:val="single" w:color="000000" w:sz="4" w:space="0"/>
              <w:right w:val="single" w:color="000000" w:sz="4" w:space="0"/>
            </w:tcBorders>
            <w:shd w:val="clear" w:color="FFFFFF" w:fill="FFFFFF"/>
            <w:noWrap w:val="0"/>
            <w:vAlign w:val="center"/>
          </w:tcPr>
          <w:p w14:paraId="29A6E8D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计量单位</w:t>
            </w:r>
          </w:p>
        </w:tc>
        <w:tc>
          <w:tcPr>
            <w:tcW w:w="743" w:type="pct"/>
            <w:tcBorders>
              <w:top w:val="single" w:color="000000" w:sz="8" w:space="0"/>
              <w:left w:val="nil"/>
              <w:bottom w:val="single" w:color="000000" w:sz="4" w:space="0"/>
              <w:right w:val="single" w:color="000000" w:sz="4" w:space="0"/>
            </w:tcBorders>
            <w:shd w:val="clear" w:color="FFFFFF" w:fill="FFFFFF"/>
            <w:noWrap w:val="0"/>
            <w:vAlign w:val="center"/>
          </w:tcPr>
          <w:p w14:paraId="7B99482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数量</w:t>
            </w:r>
          </w:p>
        </w:tc>
        <w:tc>
          <w:tcPr>
            <w:tcW w:w="831" w:type="pct"/>
            <w:tcBorders>
              <w:top w:val="single" w:color="000000" w:sz="8" w:space="0"/>
              <w:left w:val="nil"/>
              <w:bottom w:val="single" w:color="000000" w:sz="4" w:space="0"/>
              <w:right w:val="single" w:color="000000" w:sz="8" w:space="0"/>
            </w:tcBorders>
            <w:shd w:val="clear" w:color="FFFFFF" w:fill="FFFFFF"/>
            <w:noWrap w:val="0"/>
            <w:vAlign w:val="center"/>
          </w:tcPr>
          <w:p w14:paraId="2F6DD75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单价(元)</w:t>
            </w:r>
          </w:p>
        </w:tc>
      </w:tr>
      <w:tr w14:paraId="61586374">
        <w:tblPrEx>
          <w:tblCellMar>
            <w:top w:w="0" w:type="dxa"/>
            <w:left w:w="108" w:type="dxa"/>
            <w:bottom w:w="0" w:type="dxa"/>
            <w:right w:w="108" w:type="dxa"/>
          </w:tblCellMar>
        </w:tblPrEx>
        <w:trPr>
          <w:trHeight w:val="680" w:hRule="atLeast"/>
        </w:trPr>
        <w:tc>
          <w:tcPr>
            <w:tcW w:w="619" w:type="pct"/>
            <w:tcBorders>
              <w:top w:val="nil"/>
              <w:left w:val="single" w:color="000000" w:sz="8" w:space="0"/>
              <w:bottom w:val="single" w:color="000000" w:sz="4" w:space="0"/>
              <w:right w:val="single" w:color="000000" w:sz="4" w:space="0"/>
            </w:tcBorders>
            <w:noWrap w:val="0"/>
            <w:vAlign w:val="center"/>
          </w:tcPr>
          <w:p w14:paraId="78E6C648">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037" w:type="pct"/>
            <w:tcBorders>
              <w:top w:val="single" w:color="000000" w:sz="4" w:space="0"/>
              <w:left w:val="nil"/>
              <w:bottom w:val="single" w:color="000000" w:sz="4" w:space="0"/>
              <w:right w:val="single" w:color="000000" w:sz="4" w:space="0"/>
            </w:tcBorders>
            <w:noWrap w:val="0"/>
            <w:vAlign w:val="center"/>
          </w:tcPr>
          <w:p w14:paraId="3FE2A419">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70" w:type="pct"/>
            <w:tcBorders>
              <w:top w:val="single" w:color="000000" w:sz="4" w:space="0"/>
              <w:left w:val="nil"/>
              <w:bottom w:val="single" w:color="000000" w:sz="4" w:space="0"/>
              <w:right w:val="single" w:color="000000" w:sz="4" w:space="0"/>
            </w:tcBorders>
            <w:noWrap w:val="0"/>
            <w:vAlign w:val="center"/>
          </w:tcPr>
          <w:p w14:paraId="5EB47AAF">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3" w:type="pct"/>
            <w:tcBorders>
              <w:top w:val="single" w:color="000000" w:sz="4" w:space="0"/>
              <w:left w:val="nil"/>
              <w:bottom w:val="single" w:color="000000" w:sz="4" w:space="0"/>
              <w:right w:val="single" w:color="000000" w:sz="4" w:space="0"/>
            </w:tcBorders>
            <w:noWrap w:val="0"/>
            <w:vAlign w:val="center"/>
          </w:tcPr>
          <w:p w14:paraId="30049F3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31" w:type="pct"/>
            <w:tcBorders>
              <w:top w:val="nil"/>
              <w:left w:val="nil"/>
              <w:bottom w:val="single" w:color="000000" w:sz="4" w:space="0"/>
              <w:right w:val="single" w:color="000000" w:sz="8" w:space="0"/>
            </w:tcBorders>
            <w:noWrap w:val="0"/>
            <w:vAlign w:val="center"/>
          </w:tcPr>
          <w:p w14:paraId="198EB00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AF3C68A">
        <w:tblPrEx>
          <w:tblCellMar>
            <w:top w:w="0" w:type="dxa"/>
            <w:left w:w="108" w:type="dxa"/>
            <w:bottom w:w="0" w:type="dxa"/>
            <w:right w:w="108" w:type="dxa"/>
          </w:tblCellMar>
        </w:tblPrEx>
        <w:trPr>
          <w:trHeight w:val="680" w:hRule="atLeast"/>
        </w:trPr>
        <w:tc>
          <w:tcPr>
            <w:tcW w:w="619" w:type="pct"/>
            <w:tcBorders>
              <w:top w:val="nil"/>
              <w:left w:val="single" w:color="000000" w:sz="8" w:space="0"/>
              <w:bottom w:val="single" w:color="000000" w:sz="4" w:space="0"/>
              <w:right w:val="single" w:color="000000" w:sz="4" w:space="0"/>
            </w:tcBorders>
            <w:noWrap w:val="0"/>
            <w:vAlign w:val="center"/>
          </w:tcPr>
          <w:p w14:paraId="577EF0DC">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037" w:type="pct"/>
            <w:tcBorders>
              <w:top w:val="single" w:color="000000" w:sz="4" w:space="0"/>
              <w:left w:val="nil"/>
              <w:bottom w:val="single" w:color="000000" w:sz="4" w:space="0"/>
              <w:right w:val="single" w:color="000000" w:sz="4" w:space="0"/>
            </w:tcBorders>
            <w:noWrap w:val="0"/>
            <w:vAlign w:val="center"/>
          </w:tcPr>
          <w:p w14:paraId="394F897A">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70" w:type="pct"/>
            <w:tcBorders>
              <w:top w:val="single" w:color="000000" w:sz="4" w:space="0"/>
              <w:left w:val="nil"/>
              <w:bottom w:val="single" w:color="000000" w:sz="4" w:space="0"/>
              <w:right w:val="single" w:color="000000" w:sz="4" w:space="0"/>
            </w:tcBorders>
            <w:noWrap w:val="0"/>
            <w:vAlign w:val="center"/>
          </w:tcPr>
          <w:p w14:paraId="48B29BF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3" w:type="pct"/>
            <w:tcBorders>
              <w:top w:val="single" w:color="000000" w:sz="4" w:space="0"/>
              <w:left w:val="nil"/>
              <w:bottom w:val="single" w:color="000000" w:sz="4" w:space="0"/>
              <w:right w:val="single" w:color="000000" w:sz="4" w:space="0"/>
            </w:tcBorders>
            <w:noWrap w:val="0"/>
            <w:vAlign w:val="center"/>
          </w:tcPr>
          <w:p w14:paraId="16D5A47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31" w:type="pct"/>
            <w:tcBorders>
              <w:top w:val="nil"/>
              <w:left w:val="nil"/>
              <w:bottom w:val="single" w:color="000000" w:sz="4" w:space="0"/>
              <w:right w:val="single" w:color="000000" w:sz="8" w:space="0"/>
            </w:tcBorders>
            <w:noWrap w:val="0"/>
            <w:vAlign w:val="center"/>
          </w:tcPr>
          <w:p w14:paraId="4B3795E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3C01143">
        <w:tblPrEx>
          <w:tblCellMar>
            <w:top w:w="0" w:type="dxa"/>
            <w:left w:w="108" w:type="dxa"/>
            <w:bottom w:w="0" w:type="dxa"/>
            <w:right w:w="108" w:type="dxa"/>
          </w:tblCellMar>
        </w:tblPrEx>
        <w:trPr>
          <w:trHeight w:val="680" w:hRule="atLeast"/>
        </w:trPr>
        <w:tc>
          <w:tcPr>
            <w:tcW w:w="619" w:type="pct"/>
            <w:tcBorders>
              <w:top w:val="nil"/>
              <w:left w:val="single" w:color="000000" w:sz="8" w:space="0"/>
              <w:bottom w:val="single" w:color="000000" w:sz="4" w:space="0"/>
              <w:right w:val="single" w:color="000000" w:sz="4" w:space="0"/>
            </w:tcBorders>
            <w:noWrap w:val="0"/>
            <w:vAlign w:val="center"/>
          </w:tcPr>
          <w:p w14:paraId="2CF30B6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037" w:type="pct"/>
            <w:tcBorders>
              <w:top w:val="single" w:color="000000" w:sz="4" w:space="0"/>
              <w:left w:val="nil"/>
              <w:bottom w:val="single" w:color="000000" w:sz="4" w:space="0"/>
              <w:right w:val="single" w:color="000000" w:sz="4" w:space="0"/>
            </w:tcBorders>
            <w:noWrap w:val="0"/>
            <w:vAlign w:val="center"/>
          </w:tcPr>
          <w:p w14:paraId="14BD3DCB">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70" w:type="pct"/>
            <w:tcBorders>
              <w:top w:val="single" w:color="000000" w:sz="4" w:space="0"/>
              <w:left w:val="nil"/>
              <w:bottom w:val="single" w:color="000000" w:sz="4" w:space="0"/>
              <w:right w:val="single" w:color="000000" w:sz="4" w:space="0"/>
            </w:tcBorders>
            <w:noWrap w:val="0"/>
            <w:vAlign w:val="center"/>
          </w:tcPr>
          <w:p w14:paraId="72D22EA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3" w:type="pct"/>
            <w:tcBorders>
              <w:top w:val="single" w:color="000000" w:sz="4" w:space="0"/>
              <w:left w:val="nil"/>
              <w:bottom w:val="single" w:color="000000" w:sz="4" w:space="0"/>
              <w:right w:val="single" w:color="000000" w:sz="4" w:space="0"/>
            </w:tcBorders>
            <w:noWrap w:val="0"/>
            <w:vAlign w:val="center"/>
          </w:tcPr>
          <w:p w14:paraId="0E3BDEB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31" w:type="pct"/>
            <w:tcBorders>
              <w:top w:val="nil"/>
              <w:left w:val="nil"/>
              <w:bottom w:val="single" w:color="000000" w:sz="4" w:space="0"/>
              <w:right w:val="single" w:color="000000" w:sz="8" w:space="0"/>
            </w:tcBorders>
            <w:noWrap w:val="0"/>
            <w:vAlign w:val="center"/>
          </w:tcPr>
          <w:p w14:paraId="4B24D8C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9F37698">
        <w:tblPrEx>
          <w:tblCellMar>
            <w:top w:w="0" w:type="dxa"/>
            <w:left w:w="108" w:type="dxa"/>
            <w:bottom w:w="0" w:type="dxa"/>
            <w:right w:w="108" w:type="dxa"/>
          </w:tblCellMar>
        </w:tblPrEx>
        <w:trPr>
          <w:trHeight w:val="680" w:hRule="atLeast"/>
        </w:trPr>
        <w:tc>
          <w:tcPr>
            <w:tcW w:w="619" w:type="pct"/>
            <w:tcBorders>
              <w:top w:val="nil"/>
              <w:left w:val="single" w:color="000000" w:sz="8" w:space="0"/>
              <w:bottom w:val="single" w:color="000000" w:sz="4" w:space="0"/>
              <w:right w:val="single" w:color="000000" w:sz="4" w:space="0"/>
            </w:tcBorders>
            <w:noWrap w:val="0"/>
            <w:vAlign w:val="center"/>
          </w:tcPr>
          <w:p w14:paraId="60B9E4D7">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2037" w:type="pct"/>
            <w:tcBorders>
              <w:top w:val="single" w:color="000000" w:sz="4" w:space="0"/>
              <w:left w:val="nil"/>
              <w:bottom w:val="single" w:color="000000" w:sz="4" w:space="0"/>
              <w:right w:val="single" w:color="000000" w:sz="4" w:space="0"/>
            </w:tcBorders>
            <w:noWrap w:val="0"/>
            <w:vAlign w:val="center"/>
          </w:tcPr>
          <w:p w14:paraId="674033AF">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70" w:type="pct"/>
            <w:tcBorders>
              <w:top w:val="single" w:color="000000" w:sz="4" w:space="0"/>
              <w:left w:val="nil"/>
              <w:bottom w:val="single" w:color="000000" w:sz="4" w:space="0"/>
              <w:right w:val="single" w:color="000000" w:sz="4" w:space="0"/>
            </w:tcBorders>
            <w:noWrap w:val="0"/>
            <w:vAlign w:val="center"/>
          </w:tcPr>
          <w:p w14:paraId="20256DAB">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3" w:type="pct"/>
            <w:tcBorders>
              <w:top w:val="single" w:color="000000" w:sz="4" w:space="0"/>
              <w:left w:val="nil"/>
              <w:bottom w:val="single" w:color="000000" w:sz="4" w:space="0"/>
              <w:right w:val="single" w:color="000000" w:sz="4" w:space="0"/>
            </w:tcBorders>
            <w:noWrap w:val="0"/>
            <w:vAlign w:val="center"/>
          </w:tcPr>
          <w:p w14:paraId="4B6E7A0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831" w:type="pct"/>
            <w:tcBorders>
              <w:top w:val="nil"/>
              <w:left w:val="nil"/>
              <w:bottom w:val="single" w:color="000000" w:sz="4" w:space="0"/>
              <w:right w:val="single" w:color="000000" w:sz="8" w:space="0"/>
            </w:tcBorders>
            <w:noWrap w:val="0"/>
            <w:vAlign w:val="center"/>
          </w:tcPr>
          <w:p w14:paraId="068B3AA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r>
      <w:bookmarkEnd w:id="1824"/>
      <w:bookmarkEnd w:id="1825"/>
    </w:tbl>
    <w:p w14:paraId="18F2261C">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bookmarkStart w:id="1826" w:name="_Toc535241142"/>
      <w:bookmarkStart w:id="1827" w:name="_Toc171581557"/>
      <w:bookmarkStart w:id="1828" w:name="_Toc171581377"/>
      <w:bookmarkStart w:id="1829" w:name="_Toc44996378"/>
      <w:bookmarkStart w:id="1830" w:name="_Toc171742000"/>
      <w:bookmarkStart w:id="1831" w:name="_Toc17215716"/>
    </w:p>
    <w:p w14:paraId="741282B8">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p>
    <w:p w14:paraId="05B57F5F">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p>
    <w:p w14:paraId="6E8A1B44">
      <w:pPr>
        <w:pageBreakBefore w:val="0"/>
        <w:kinsoku/>
        <w:wordWrap w:val="0"/>
        <w:overflowPunct/>
        <w:bidi w:val="0"/>
        <w:rPr>
          <w:rStyle w:val="73"/>
          <w:rFonts w:hint="eastAsia" w:ascii="Times New Roman" w:hAnsi="Times New Roman"/>
          <w:smallCaps w:val="0"/>
          <w:color w:val="000000" w:themeColor="text1"/>
          <w:highlight w:val="none"/>
          <w14:textFill>
            <w14:solidFill>
              <w14:schemeClr w14:val="tx1"/>
            </w14:solidFill>
          </w14:textFill>
        </w:rPr>
      </w:pPr>
      <w:bookmarkStart w:id="1832" w:name="_Toc30015"/>
      <w:bookmarkStart w:id="1833" w:name="_Toc15115"/>
      <w:bookmarkStart w:id="1834" w:name="_Toc4166"/>
      <w:bookmarkStart w:id="1835" w:name="_Toc29358"/>
      <w:bookmarkStart w:id="1836" w:name="_Toc30612"/>
      <w:bookmarkStart w:id="1837" w:name="_Toc31109"/>
      <w:bookmarkStart w:id="1838" w:name="_Toc28381"/>
      <w:bookmarkStart w:id="1839" w:name="_Toc26904"/>
      <w:r>
        <w:rPr>
          <w:rStyle w:val="73"/>
          <w:rFonts w:hint="eastAsia" w:ascii="Times New Roman" w:hAnsi="Times New Roman"/>
          <w:smallCaps w:val="0"/>
          <w:color w:val="000000" w:themeColor="text1"/>
          <w:highlight w:val="none"/>
          <w14:textFill>
            <w14:solidFill>
              <w14:schemeClr w14:val="tx1"/>
            </w14:solidFill>
          </w14:textFill>
        </w:rPr>
        <w:br w:type="page"/>
      </w:r>
    </w:p>
    <w:p w14:paraId="58B18A14">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Style w:val="73"/>
          <w:rFonts w:hint="eastAsia" w:ascii="Times New Roman" w:hAnsi="Times New Roman"/>
          <w:smallCaps w:val="0"/>
          <w:color w:val="000000" w:themeColor="text1"/>
          <w:highlight w:val="none"/>
          <w14:textFill>
            <w14:solidFill>
              <w14:schemeClr w14:val="tx1"/>
            </w14:solidFill>
          </w14:textFill>
        </w:rPr>
        <w:t>（十六）发包人提供材料（工程设备）一览表</w:t>
      </w:r>
      <w:bookmarkEnd w:id="1826"/>
      <w:bookmarkEnd w:id="1832"/>
      <w:bookmarkEnd w:id="1833"/>
      <w:bookmarkEnd w:id="1834"/>
      <w:bookmarkEnd w:id="1835"/>
      <w:bookmarkEnd w:id="1836"/>
      <w:bookmarkEnd w:id="1837"/>
      <w:bookmarkEnd w:id="1838"/>
      <w:bookmarkEnd w:id="1839"/>
    </w:p>
    <w:p w14:paraId="42788196">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800"/>
        <w:gridCol w:w="2644"/>
        <w:gridCol w:w="1005"/>
        <w:gridCol w:w="1135"/>
        <w:gridCol w:w="1247"/>
        <w:gridCol w:w="966"/>
        <w:gridCol w:w="923"/>
      </w:tblGrid>
      <w:tr w14:paraId="43E2AF91">
        <w:tblPrEx>
          <w:tblCellMar>
            <w:top w:w="0" w:type="dxa"/>
            <w:left w:w="108" w:type="dxa"/>
            <w:bottom w:w="0" w:type="dxa"/>
            <w:right w:w="108" w:type="dxa"/>
          </w:tblCellMar>
        </w:tblPrEx>
        <w:trPr>
          <w:trHeight w:val="690" w:hRule="atLeast"/>
        </w:trPr>
        <w:tc>
          <w:tcPr>
            <w:tcW w:w="459"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1EBEFBD8">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 xml:space="preserve"> 序号</w:t>
            </w:r>
          </w:p>
        </w:tc>
        <w:tc>
          <w:tcPr>
            <w:tcW w:w="1516" w:type="pct"/>
            <w:tcBorders>
              <w:top w:val="single" w:color="000000" w:sz="8" w:space="0"/>
              <w:left w:val="nil"/>
              <w:bottom w:val="single" w:color="000000" w:sz="4" w:space="0"/>
              <w:right w:val="single" w:color="000000" w:sz="4" w:space="0"/>
            </w:tcBorders>
            <w:shd w:val="clear" w:color="FFFFFF" w:fill="FFFFFF"/>
            <w:noWrap w:val="0"/>
            <w:vAlign w:val="center"/>
          </w:tcPr>
          <w:p w14:paraId="58ADFD2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材料(工程设备)名称、规格、型号</w:t>
            </w:r>
          </w:p>
        </w:tc>
        <w:tc>
          <w:tcPr>
            <w:tcW w:w="576" w:type="pct"/>
            <w:tcBorders>
              <w:top w:val="single" w:color="000000" w:sz="8" w:space="0"/>
              <w:left w:val="nil"/>
              <w:bottom w:val="single" w:color="000000" w:sz="4" w:space="0"/>
              <w:right w:val="single" w:color="000000" w:sz="4" w:space="0"/>
            </w:tcBorders>
            <w:shd w:val="clear" w:color="FFFFFF" w:fill="FFFFFF"/>
            <w:noWrap w:val="0"/>
            <w:vAlign w:val="center"/>
          </w:tcPr>
          <w:p w14:paraId="6A6BCC9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计量单位</w:t>
            </w:r>
          </w:p>
        </w:tc>
        <w:tc>
          <w:tcPr>
            <w:tcW w:w="651" w:type="pct"/>
            <w:tcBorders>
              <w:top w:val="single" w:color="000000" w:sz="8" w:space="0"/>
              <w:left w:val="nil"/>
              <w:bottom w:val="single" w:color="000000" w:sz="4" w:space="0"/>
              <w:right w:val="single" w:color="000000" w:sz="4" w:space="0"/>
            </w:tcBorders>
            <w:shd w:val="clear" w:color="FFFFFF" w:fill="FFFFFF"/>
            <w:noWrap w:val="0"/>
            <w:vAlign w:val="center"/>
          </w:tcPr>
          <w:p w14:paraId="526D1A5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数量</w:t>
            </w:r>
          </w:p>
        </w:tc>
        <w:tc>
          <w:tcPr>
            <w:tcW w:w="715" w:type="pct"/>
            <w:tcBorders>
              <w:top w:val="single" w:color="000000" w:sz="8" w:space="0"/>
              <w:left w:val="nil"/>
              <w:bottom w:val="single" w:color="000000" w:sz="4" w:space="0"/>
              <w:right w:val="single" w:color="000000" w:sz="4" w:space="0"/>
            </w:tcBorders>
            <w:shd w:val="clear" w:color="FFFFFF" w:fill="FFFFFF"/>
            <w:noWrap w:val="0"/>
            <w:vAlign w:val="center"/>
          </w:tcPr>
          <w:p w14:paraId="5795274D">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单价(元)</w:t>
            </w:r>
          </w:p>
        </w:tc>
        <w:tc>
          <w:tcPr>
            <w:tcW w:w="554" w:type="pct"/>
            <w:tcBorders>
              <w:top w:val="single" w:color="000000" w:sz="8" w:space="0"/>
              <w:left w:val="nil"/>
              <w:bottom w:val="single" w:color="000000" w:sz="4" w:space="0"/>
              <w:right w:val="single" w:color="000000" w:sz="4" w:space="0"/>
            </w:tcBorders>
            <w:shd w:val="clear" w:color="FFFFFF" w:fill="FFFFFF"/>
            <w:noWrap w:val="0"/>
            <w:vAlign w:val="center"/>
          </w:tcPr>
          <w:p w14:paraId="3691DB1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合价(元)</w:t>
            </w:r>
          </w:p>
        </w:tc>
        <w:tc>
          <w:tcPr>
            <w:tcW w:w="529" w:type="pct"/>
            <w:tcBorders>
              <w:top w:val="single" w:color="000000" w:sz="8" w:space="0"/>
              <w:left w:val="nil"/>
              <w:bottom w:val="single" w:color="000000" w:sz="4" w:space="0"/>
              <w:right w:val="single" w:color="000000" w:sz="8" w:space="0"/>
            </w:tcBorders>
            <w:shd w:val="clear" w:color="FFFFFF" w:fill="FFFFFF"/>
            <w:noWrap w:val="0"/>
            <w:vAlign w:val="center"/>
          </w:tcPr>
          <w:p w14:paraId="657AA2C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备注</w:t>
            </w:r>
          </w:p>
        </w:tc>
      </w:tr>
      <w:tr w14:paraId="4EA84207">
        <w:tblPrEx>
          <w:tblCellMar>
            <w:top w:w="0" w:type="dxa"/>
            <w:left w:w="108" w:type="dxa"/>
            <w:bottom w:w="0" w:type="dxa"/>
            <w:right w:w="108" w:type="dxa"/>
          </w:tblCellMar>
        </w:tblPrEx>
        <w:trPr>
          <w:trHeight w:val="680" w:hRule="atLeast"/>
        </w:trPr>
        <w:tc>
          <w:tcPr>
            <w:tcW w:w="459" w:type="pct"/>
            <w:tcBorders>
              <w:top w:val="nil"/>
              <w:left w:val="single" w:color="000000" w:sz="8" w:space="0"/>
              <w:bottom w:val="single" w:color="000000" w:sz="4" w:space="0"/>
              <w:right w:val="single" w:color="000000" w:sz="4" w:space="0"/>
            </w:tcBorders>
            <w:noWrap w:val="0"/>
            <w:vAlign w:val="center"/>
          </w:tcPr>
          <w:p w14:paraId="74B328D1">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516" w:type="pct"/>
            <w:tcBorders>
              <w:top w:val="single" w:color="000000" w:sz="4" w:space="0"/>
              <w:left w:val="nil"/>
              <w:bottom w:val="single" w:color="000000" w:sz="4" w:space="0"/>
              <w:right w:val="single" w:color="000000" w:sz="4" w:space="0"/>
            </w:tcBorders>
            <w:noWrap w:val="0"/>
            <w:vAlign w:val="center"/>
          </w:tcPr>
          <w:p w14:paraId="1C47B8E3">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6" w:type="pct"/>
            <w:tcBorders>
              <w:top w:val="nil"/>
              <w:left w:val="nil"/>
              <w:bottom w:val="single" w:color="000000" w:sz="4" w:space="0"/>
              <w:right w:val="single" w:color="000000" w:sz="4" w:space="0"/>
            </w:tcBorders>
            <w:noWrap w:val="0"/>
            <w:vAlign w:val="center"/>
          </w:tcPr>
          <w:p w14:paraId="304F913F">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51" w:type="pct"/>
            <w:tcBorders>
              <w:top w:val="single" w:color="000000" w:sz="4" w:space="0"/>
              <w:left w:val="nil"/>
              <w:bottom w:val="single" w:color="000000" w:sz="4" w:space="0"/>
              <w:right w:val="single" w:color="000000" w:sz="4" w:space="0"/>
            </w:tcBorders>
            <w:noWrap w:val="0"/>
            <w:vAlign w:val="center"/>
          </w:tcPr>
          <w:p w14:paraId="1F998854">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single" w:color="000000" w:sz="4" w:space="0"/>
              <w:left w:val="nil"/>
              <w:bottom w:val="single" w:color="000000" w:sz="4" w:space="0"/>
              <w:right w:val="single" w:color="000000" w:sz="4" w:space="0"/>
            </w:tcBorders>
            <w:noWrap w:val="0"/>
            <w:vAlign w:val="center"/>
          </w:tcPr>
          <w:p w14:paraId="2EC7B6C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54" w:type="pct"/>
            <w:tcBorders>
              <w:top w:val="nil"/>
              <w:left w:val="nil"/>
              <w:bottom w:val="single" w:color="000000" w:sz="4" w:space="0"/>
              <w:right w:val="single" w:color="000000" w:sz="4" w:space="0"/>
            </w:tcBorders>
            <w:noWrap w:val="0"/>
            <w:vAlign w:val="center"/>
          </w:tcPr>
          <w:p w14:paraId="1C20F80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29" w:type="pct"/>
            <w:tcBorders>
              <w:top w:val="nil"/>
              <w:left w:val="nil"/>
              <w:bottom w:val="single" w:color="000000" w:sz="4" w:space="0"/>
              <w:right w:val="single" w:color="000000" w:sz="8" w:space="0"/>
            </w:tcBorders>
            <w:noWrap w:val="0"/>
            <w:vAlign w:val="center"/>
          </w:tcPr>
          <w:p w14:paraId="654215D9">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B7DEEB0">
        <w:tblPrEx>
          <w:tblCellMar>
            <w:top w:w="0" w:type="dxa"/>
            <w:left w:w="108" w:type="dxa"/>
            <w:bottom w:w="0" w:type="dxa"/>
            <w:right w:w="108" w:type="dxa"/>
          </w:tblCellMar>
        </w:tblPrEx>
        <w:trPr>
          <w:trHeight w:val="680" w:hRule="atLeast"/>
        </w:trPr>
        <w:tc>
          <w:tcPr>
            <w:tcW w:w="459" w:type="pct"/>
            <w:tcBorders>
              <w:top w:val="nil"/>
              <w:left w:val="single" w:color="000000" w:sz="8" w:space="0"/>
              <w:bottom w:val="single" w:color="000000" w:sz="4" w:space="0"/>
              <w:right w:val="single" w:color="000000" w:sz="4" w:space="0"/>
            </w:tcBorders>
            <w:noWrap w:val="0"/>
            <w:vAlign w:val="center"/>
          </w:tcPr>
          <w:p w14:paraId="2BE28132">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516" w:type="pct"/>
            <w:tcBorders>
              <w:top w:val="single" w:color="000000" w:sz="4" w:space="0"/>
              <w:left w:val="nil"/>
              <w:bottom w:val="single" w:color="000000" w:sz="4" w:space="0"/>
              <w:right w:val="single" w:color="000000" w:sz="4" w:space="0"/>
            </w:tcBorders>
            <w:noWrap w:val="0"/>
            <w:vAlign w:val="center"/>
          </w:tcPr>
          <w:p w14:paraId="106737B9">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6" w:type="pct"/>
            <w:tcBorders>
              <w:top w:val="nil"/>
              <w:left w:val="nil"/>
              <w:bottom w:val="single" w:color="000000" w:sz="4" w:space="0"/>
              <w:right w:val="single" w:color="000000" w:sz="4" w:space="0"/>
            </w:tcBorders>
            <w:noWrap w:val="0"/>
            <w:vAlign w:val="center"/>
          </w:tcPr>
          <w:p w14:paraId="2049F0FF">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51" w:type="pct"/>
            <w:tcBorders>
              <w:top w:val="single" w:color="000000" w:sz="4" w:space="0"/>
              <w:left w:val="nil"/>
              <w:bottom w:val="single" w:color="000000" w:sz="4" w:space="0"/>
              <w:right w:val="single" w:color="000000" w:sz="4" w:space="0"/>
            </w:tcBorders>
            <w:noWrap w:val="0"/>
            <w:vAlign w:val="center"/>
          </w:tcPr>
          <w:p w14:paraId="6597CA0B">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single" w:color="000000" w:sz="4" w:space="0"/>
              <w:left w:val="nil"/>
              <w:bottom w:val="single" w:color="000000" w:sz="4" w:space="0"/>
              <w:right w:val="single" w:color="000000" w:sz="4" w:space="0"/>
            </w:tcBorders>
            <w:noWrap w:val="0"/>
            <w:vAlign w:val="center"/>
          </w:tcPr>
          <w:p w14:paraId="58DA432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54" w:type="pct"/>
            <w:tcBorders>
              <w:top w:val="nil"/>
              <w:left w:val="nil"/>
              <w:bottom w:val="single" w:color="000000" w:sz="4" w:space="0"/>
              <w:right w:val="single" w:color="000000" w:sz="4" w:space="0"/>
            </w:tcBorders>
            <w:noWrap w:val="0"/>
            <w:vAlign w:val="center"/>
          </w:tcPr>
          <w:p w14:paraId="60C231AE">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29" w:type="pct"/>
            <w:tcBorders>
              <w:top w:val="nil"/>
              <w:left w:val="nil"/>
              <w:bottom w:val="single" w:color="000000" w:sz="4" w:space="0"/>
              <w:right w:val="single" w:color="000000" w:sz="8" w:space="0"/>
            </w:tcBorders>
            <w:noWrap w:val="0"/>
            <w:vAlign w:val="center"/>
          </w:tcPr>
          <w:p w14:paraId="614CCBAF">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62F9096">
        <w:tblPrEx>
          <w:tblCellMar>
            <w:top w:w="0" w:type="dxa"/>
            <w:left w:w="108" w:type="dxa"/>
            <w:bottom w:w="0" w:type="dxa"/>
            <w:right w:w="108" w:type="dxa"/>
          </w:tblCellMar>
        </w:tblPrEx>
        <w:trPr>
          <w:trHeight w:val="680" w:hRule="atLeast"/>
        </w:trPr>
        <w:tc>
          <w:tcPr>
            <w:tcW w:w="459" w:type="pct"/>
            <w:tcBorders>
              <w:top w:val="nil"/>
              <w:left w:val="single" w:color="000000" w:sz="8" w:space="0"/>
              <w:bottom w:val="single" w:color="000000" w:sz="4" w:space="0"/>
              <w:right w:val="single" w:color="000000" w:sz="4" w:space="0"/>
            </w:tcBorders>
            <w:noWrap w:val="0"/>
            <w:vAlign w:val="center"/>
          </w:tcPr>
          <w:p w14:paraId="2124953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516" w:type="pct"/>
            <w:tcBorders>
              <w:top w:val="single" w:color="000000" w:sz="4" w:space="0"/>
              <w:left w:val="nil"/>
              <w:bottom w:val="single" w:color="000000" w:sz="4" w:space="0"/>
              <w:right w:val="single" w:color="000000" w:sz="4" w:space="0"/>
            </w:tcBorders>
            <w:noWrap w:val="0"/>
            <w:vAlign w:val="center"/>
          </w:tcPr>
          <w:p w14:paraId="7308846B">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6" w:type="pct"/>
            <w:tcBorders>
              <w:top w:val="nil"/>
              <w:left w:val="nil"/>
              <w:bottom w:val="single" w:color="000000" w:sz="4" w:space="0"/>
              <w:right w:val="single" w:color="000000" w:sz="4" w:space="0"/>
            </w:tcBorders>
            <w:noWrap w:val="0"/>
            <w:vAlign w:val="center"/>
          </w:tcPr>
          <w:p w14:paraId="6A333271">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651" w:type="pct"/>
            <w:tcBorders>
              <w:top w:val="single" w:color="000000" w:sz="4" w:space="0"/>
              <w:left w:val="nil"/>
              <w:bottom w:val="single" w:color="000000" w:sz="4" w:space="0"/>
              <w:right w:val="single" w:color="000000" w:sz="4" w:space="0"/>
            </w:tcBorders>
            <w:noWrap w:val="0"/>
            <w:vAlign w:val="center"/>
          </w:tcPr>
          <w:p w14:paraId="6195514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15" w:type="pct"/>
            <w:tcBorders>
              <w:top w:val="single" w:color="000000" w:sz="4" w:space="0"/>
              <w:left w:val="nil"/>
              <w:bottom w:val="single" w:color="000000" w:sz="4" w:space="0"/>
              <w:right w:val="single" w:color="000000" w:sz="4" w:space="0"/>
            </w:tcBorders>
            <w:noWrap w:val="0"/>
            <w:vAlign w:val="center"/>
          </w:tcPr>
          <w:p w14:paraId="3E92FC4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54" w:type="pct"/>
            <w:tcBorders>
              <w:top w:val="nil"/>
              <w:left w:val="nil"/>
              <w:bottom w:val="single" w:color="000000" w:sz="4" w:space="0"/>
              <w:right w:val="single" w:color="000000" w:sz="4" w:space="0"/>
            </w:tcBorders>
            <w:noWrap w:val="0"/>
            <w:vAlign w:val="center"/>
          </w:tcPr>
          <w:p w14:paraId="4A6D16C6">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29" w:type="pct"/>
            <w:tcBorders>
              <w:top w:val="nil"/>
              <w:left w:val="nil"/>
              <w:bottom w:val="single" w:color="000000" w:sz="4" w:space="0"/>
              <w:right w:val="single" w:color="000000" w:sz="8" w:space="0"/>
            </w:tcBorders>
            <w:noWrap w:val="0"/>
            <w:vAlign w:val="center"/>
          </w:tcPr>
          <w:p w14:paraId="0E11D6C8">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4D2E777F">
      <w:pPr>
        <w:pageBreakBefore w:val="0"/>
        <w:tabs>
          <w:tab w:val="left" w:pos="0"/>
        </w:tabs>
        <w:kinsoku/>
        <w:wordWrap w:val="0"/>
        <w:overflowPunct/>
        <w:bidi w:val="0"/>
        <w:spacing w:before="48" w:beforeLines="20" w:after="48" w:afterLines="20" w:line="540" w:lineRule="exact"/>
        <w:ind w:right="-212"/>
        <w:jc w:val="left"/>
        <w:rPr>
          <w:rFonts w:hint="eastAsia" w:ascii="Times New Roman" w:hAnsi="Times New Roman" w:cs="宋体"/>
          <w:smallCaps w:val="0"/>
          <w:color w:val="000000" w:themeColor="text1"/>
          <w:sz w:val="24"/>
          <w:szCs w:val="22"/>
          <w:highlight w:val="none"/>
          <w14:textFill>
            <w14:solidFill>
              <w14:schemeClr w14:val="tx1"/>
            </w14:solidFill>
          </w14:textFill>
        </w:rPr>
      </w:pPr>
    </w:p>
    <w:p w14:paraId="09698824">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840" w:name="_Toc535241143"/>
      <w:bookmarkStart w:id="1841" w:name="_Toc460227138"/>
      <w:bookmarkStart w:id="1842" w:name="_Toc460660253"/>
    </w:p>
    <w:p w14:paraId="1EC4F630">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843" w:name="_Toc4160"/>
      <w:bookmarkStart w:id="1844" w:name="_Toc30852"/>
      <w:bookmarkStart w:id="1845" w:name="_Toc31964"/>
      <w:bookmarkStart w:id="1846" w:name="_Toc3046"/>
      <w:bookmarkStart w:id="1847" w:name="_Toc30478"/>
      <w:bookmarkStart w:id="1848" w:name="_Toc6345"/>
      <w:bookmarkStart w:id="1849" w:name="_Toc27823"/>
      <w:bookmarkStart w:id="1850" w:name="_Toc4063"/>
      <w:r>
        <w:rPr>
          <w:rStyle w:val="73"/>
          <w:rFonts w:hint="eastAsia" w:ascii="Times New Roman" w:hAnsi="Times New Roman"/>
          <w:smallCaps w:val="0"/>
          <w:color w:val="000000" w:themeColor="text1"/>
          <w:highlight w:val="none"/>
          <w14:textFill>
            <w14:solidFill>
              <w14:schemeClr w14:val="tx1"/>
            </w14:solidFill>
          </w14:textFill>
        </w:rPr>
        <w:t>（十七）承包人提供材料（工程设备）一览表</w:t>
      </w:r>
      <w:bookmarkEnd w:id="1840"/>
      <w:bookmarkEnd w:id="1843"/>
      <w:bookmarkEnd w:id="1844"/>
      <w:bookmarkEnd w:id="1845"/>
      <w:bookmarkEnd w:id="1846"/>
      <w:bookmarkEnd w:id="1847"/>
      <w:bookmarkEnd w:id="1848"/>
      <w:bookmarkEnd w:id="1849"/>
      <w:bookmarkEnd w:id="1850"/>
    </w:p>
    <w:p w14:paraId="68B304A9">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tbl>
      <w:tblPr>
        <w:tblStyle w:val="22"/>
        <w:tblW w:w="5000" w:type="pct"/>
        <w:tblInd w:w="0" w:type="dxa"/>
        <w:tblLayout w:type="autofit"/>
        <w:tblCellMar>
          <w:top w:w="0" w:type="dxa"/>
          <w:left w:w="108" w:type="dxa"/>
          <w:bottom w:w="0" w:type="dxa"/>
          <w:right w:w="108" w:type="dxa"/>
        </w:tblCellMar>
      </w:tblPr>
      <w:tblGrid>
        <w:gridCol w:w="603"/>
        <w:gridCol w:w="2002"/>
        <w:gridCol w:w="710"/>
        <w:gridCol w:w="1010"/>
        <w:gridCol w:w="1010"/>
        <w:gridCol w:w="1294"/>
        <w:gridCol w:w="1294"/>
        <w:gridCol w:w="797"/>
      </w:tblGrid>
      <w:tr w14:paraId="0F3474D2">
        <w:tblPrEx>
          <w:tblCellMar>
            <w:top w:w="0" w:type="dxa"/>
            <w:left w:w="108" w:type="dxa"/>
            <w:bottom w:w="0" w:type="dxa"/>
            <w:right w:w="108" w:type="dxa"/>
          </w:tblCellMar>
        </w:tblPrEx>
        <w:trPr>
          <w:trHeight w:val="750" w:hRule="atLeast"/>
        </w:trPr>
        <w:tc>
          <w:tcPr>
            <w:tcW w:w="346"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3CF4F9B4">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序号</w:t>
            </w:r>
          </w:p>
        </w:tc>
        <w:tc>
          <w:tcPr>
            <w:tcW w:w="1148" w:type="pct"/>
            <w:tcBorders>
              <w:top w:val="single" w:color="000000" w:sz="8" w:space="0"/>
              <w:left w:val="nil"/>
              <w:bottom w:val="single" w:color="000000" w:sz="4" w:space="0"/>
              <w:right w:val="single" w:color="000000" w:sz="4" w:space="0"/>
            </w:tcBorders>
            <w:shd w:val="clear" w:color="FFFFFF" w:fill="FFFFFF"/>
            <w:noWrap w:val="0"/>
            <w:vAlign w:val="center"/>
          </w:tcPr>
          <w:p w14:paraId="5FA3F909">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材料（工程设备）名称、规格、型号</w:t>
            </w:r>
          </w:p>
        </w:tc>
        <w:tc>
          <w:tcPr>
            <w:tcW w:w="407" w:type="pct"/>
            <w:tcBorders>
              <w:top w:val="single" w:color="000000" w:sz="8" w:space="0"/>
              <w:left w:val="nil"/>
              <w:bottom w:val="single" w:color="000000" w:sz="4" w:space="0"/>
              <w:right w:val="single" w:color="000000" w:sz="4" w:space="0"/>
            </w:tcBorders>
            <w:shd w:val="clear" w:color="FFFFFF" w:fill="FFFFFF"/>
            <w:noWrap w:val="0"/>
            <w:vAlign w:val="center"/>
          </w:tcPr>
          <w:p w14:paraId="262DE47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计量单位</w:t>
            </w:r>
          </w:p>
        </w:tc>
        <w:tc>
          <w:tcPr>
            <w:tcW w:w="579" w:type="pct"/>
            <w:tcBorders>
              <w:top w:val="single" w:color="000000" w:sz="8" w:space="0"/>
              <w:left w:val="nil"/>
              <w:bottom w:val="single" w:color="000000" w:sz="4" w:space="0"/>
              <w:right w:val="single" w:color="000000" w:sz="4" w:space="0"/>
            </w:tcBorders>
            <w:shd w:val="clear" w:color="FFFFFF" w:fill="FFFFFF"/>
            <w:noWrap w:val="0"/>
            <w:vAlign w:val="center"/>
          </w:tcPr>
          <w:p w14:paraId="044827D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数量</w:t>
            </w:r>
          </w:p>
        </w:tc>
        <w:tc>
          <w:tcPr>
            <w:tcW w:w="579" w:type="pct"/>
            <w:tcBorders>
              <w:top w:val="single" w:color="000000" w:sz="8" w:space="0"/>
              <w:left w:val="nil"/>
              <w:bottom w:val="single" w:color="000000" w:sz="4" w:space="0"/>
              <w:right w:val="single" w:color="000000" w:sz="4" w:space="0"/>
            </w:tcBorders>
            <w:shd w:val="clear" w:color="FFFFFF" w:fill="FFFFFF"/>
            <w:noWrap w:val="0"/>
            <w:vAlign w:val="center"/>
          </w:tcPr>
          <w:p w14:paraId="082843A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风险系数(%)</w:t>
            </w:r>
          </w:p>
        </w:tc>
        <w:tc>
          <w:tcPr>
            <w:tcW w:w="742" w:type="pct"/>
            <w:tcBorders>
              <w:top w:val="single" w:color="000000" w:sz="8" w:space="0"/>
              <w:left w:val="nil"/>
              <w:bottom w:val="single" w:color="000000" w:sz="4" w:space="0"/>
              <w:right w:val="single" w:color="000000" w:sz="4" w:space="0"/>
            </w:tcBorders>
            <w:shd w:val="clear" w:color="FFFFFF" w:fill="FFFFFF"/>
            <w:noWrap w:val="0"/>
            <w:vAlign w:val="center"/>
          </w:tcPr>
          <w:p w14:paraId="61167991">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基准单价</w:t>
            </w:r>
          </w:p>
        </w:tc>
        <w:tc>
          <w:tcPr>
            <w:tcW w:w="742" w:type="pct"/>
            <w:tcBorders>
              <w:top w:val="single" w:color="000000" w:sz="8" w:space="0"/>
              <w:left w:val="nil"/>
              <w:bottom w:val="single" w:color="000000" w:sz="4" w:space="0"/>
              <w:right w:val="single" w:color="000000" w:sz="4" w:space="0"/>
            </w:tcBorders>
            <w:shd w:val="clear" w:color="FFFFFF" w:fill="FFFFFF"/>
            <w:noWrap w:val="0"/>
            <w:vAlign w:val="center"/>
          </w:tcPr>
          <w:p w14:paraId="308294FF">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投标单价</w:t>
            </w:r>
          </w:p>
        </w:tc>
        <w:tc>
          <w:tcPr>
            <w:tcW w:w="457" w:type="pct"/>
            <w:tcBorders>
              <w:top w:val="single" w:color="000000" w:sz="8" w:space="0"/>
              <w:left w:val="nil"/>
              <w:bottom w:val="single" w:color="000000" w:sz="4" w:space="0"/>
              <w:right w:val="single" w:color="000000" w:sz="8" w:space="0"/>
            </w:tcBorders>
            <w:shd w:val="clear" w:color="FFFFFF" w:fill="FFFFFF"/>
            <w:noWrap w:val="0"/>
            <w:vAlign w:val="center"/>
          </w:tcPr>
          <w:p w14:paraId="3FD38A4A">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备注</w:t>
            </w:r>
          </w:p>
        </w:tc>
      </w:tr>
      <w:tr w14:paraId="1C348FAA">
        <w:tblPrEx>
          <w:tblCellMar>
            <w:top w:w="0" w:type="dxa"/>
            <w:left w:w="108" w:type="dxa"/>
            <w:bottom w:w="0" w:type="dxa"/>
            <w:right w:w="108" w:type="dxa"/>
          </w:tblCellMar>
        </w:tblPrEx>
        <w:trPr>
          <w:trHeight w:val="680" w:hRule="atLeast"/>
        </w:trPr>
        <w:tc>
          <w:tcPr>
            <w:tcW w:w="346" w:type="pct"/>
            <w:tcBorders>
              <w:top w:val="nil"/>
              <w:left w:val="single" w:color="000000" w:sz="8" w:space="0"/>
              <w:bottom w:val="single" w:color="000000" w:sz="4" w:space="0"/>
              <w:right w:val="single" w:color="000000" w:sz="4" w:space="0"/>
            </w:tcBorders>
            <w:noWrap w:val="0"/>
            <w:vAlign w:val="center"/>
          </w:tcPr>
          <w:p w14:paraId="7F41B9E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148" w:type="pct"/>
            <w:tcBorders>
              <w:top w:val="nil"/>
              <w:left w:val="nil"/>
              <w:bottom w:val="single" w:color="000000" w:sz="4" w:space="0"/>
              <w:right w:val="single" w:color="000000" w:sz="4" w:space="0"/>
            </w:tcBorders>
            <w:noWrap w:val="0"/>
            <w:vAlign w:val="center"/>
          </w:tcPr>
          <w:p w14:paraId="472ABC0D">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07" w:type="pct"/>
            <w:tcBorders>
              <w:top w:val="single" w:color="000000" w:sz="4" w:space="0"/>
              <w:left w:val="nil"/>
              <w:bottom w:val="single" w:color="000000" w:sz="4" w:space="0"/>
              <w:right w:val="single" w:color="000000" w:sz="4" w:space="0"/>
            </w:tcBorders>
            <w:noWrap w:val="0"/>
            <w:vAlign w:val="center"/>
          </w:tcPr>
          <w:p w14:paraId="633ECDE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nil"/>
              <w:left w:val="nil"/>
              <w:bottom w:val="single" w:color="000000" w:sz="4" w:space="0"/>
              <w:right w:val="single" w:color="000000" w:sz="4" w:space="0"/>
            </w:tcBorders>
            <w:noWrap w:val="0"/>
            <w:vAlign w:val="center"/>
          </w:tcPr>
          <w:p w14:paraId="3E786B78">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single" w:color="000000" w:sz="4" w:space="0"/>
              <w:left w:val="nil"/>
              <w:bottom w:val="single" w:color="000000" w:sz="4" w:space="0"/>
              <w:right w:val="single" w:color="000000" w:sz="4" w:space="0"/>
            </w:tcBorders>
            <w:noWrap w:val="0"/>
            <w:vAlign w:val="center"/>
          </w:tcPr>
          <w:p w14:paraId="5DD790B9">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2" w:type="pct"/>
            <w:tcBorders>
              <w:top w:val="single" w:color="000000" w:sz="4" w:space="0"/>
              <w:left w:val="nil"/>
              <w:bottom w:val="single" w:color="000000" w:sz="4" w:space="0"/>
              <w:right w:val="single" w:color="000000" w:sz="4" w:space="0"/>
            </w:tcBorders>
            <w:noWrap w:val="0"/>
            <w:vAlign w:val="center"/>
          </w:tcPr>
          <w:p w14:paraId="1C208270">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2" w:type="pct"/>
            <w:tcBorders>
              <w:top w:val="nil"/>
              <w:left w:val="nil"/>
              <w:bottom w:val="single" w:color="000000" w:sz="4" w:space="0"/>
              <w:right w:val="single" w:color="000000" w:sz="4" w:space="0"/>
            </w:tcBorders>
            <w:noWrap w:val="0"/>
            <w:vAlign w:val="center"/>
          </w:tcPr>
          <w:p w14:paraId="18B1563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57" w:type="pct"/>
            <w:tcBorders>
              <w:top w:val="nil"/>
              <w:left w:val="nil"/>
              <w:bottom w:val="single" w:color="000000" w:sz="4" w:space="0"/>
              <w:right w:val="single" w:color="000000" w:sz="8" w:space="0"/>
            </w:tcBorders>
            <w:noWrap w:val="0"/>
            <w:vAlign w:val="center"/>
          </w:tcPr>
          <w:p w14:paraId="3127EFBB">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993F668">
        <w:tblPrEx>
          <w:tblCellMar>
            <w:top w:w="0" w:type="dxa"/>
            <w:left w:w="108" w:type="dxa"/>
            <w:bottom w:w="0" w:type="dxa"/>
            <w:right w:w="108" w:type="dxa"/>
          </w:tblCellMar>
        </w:tblPrEx>
        <w:trPr>
          <w:trHeight w:val="680" w:hRule="atLeast"/>
        </w:trPr>
        <w:tc>
          <w:tcPr>
            <w:tcW w:w="346" w:type="pct"/>
            <w:tcBorders>
              <w:top w:val="nil"/>
              <w:left w:val="single" w:color="000000" w:sz="8" w:space="0"/>
              <w:bottom w:val="single" w:color="000000" w:sz="4" w:space="0"/>
              <w:right w:val="single" w:color="000000" w:sz="4" w:space="0"/>
            </w:tcBorders>
            <w:noWrap w:val="0"/>
            <w:vAlign w:val="center"/>
          </w:tcPr>
          <w:p w14:paraId="13392A2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148" w:type="pct"/>
            <w:tcBorders>
              <w:top w:val="nil"/>
              <w:left w:val="nil"/>
              <w:bottom w:val="single" w:color="000000" w:sz="4" w:space="0"/>
              <w:right w:val="single" w:color="000000" w:sz="4" w:space="0"/>
            </w:tcBorders>
            <w:noWrap w:val="0"/>
            <w:vAlign w:val="center"/>
          </w:tcPr>
          <w:p w14:paraId="4658FCFD">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07" w:type="pct"/>
            <w:tcBorders>
              <w:top w:val="single" w:color="000000" w:sz="4" w:space="0"/>
              <w:left w:val="nil"/>
              <w:bottom w:val="single" w:color="000000" w:sz="4" w:space="0"/>
              <w:right w:val="single" w:color="000000" w:sz="4" w:space="0"/>
            </w:tcBorders>
            <w:noWrap w:val="0"/>
            <w:vAlign w:val="center"/>
          </w:tcPr>
          <w:p w14:paraId="52512CD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nil"/>
              <w:left w:val="nil"/>
              <w:bottom w:val="single" w:color="000000" w:sz="4" w:space="0"/>
              <w:right w:val="single" w:color="000000" w:sz="4" w:space="0"/>
            </w:tcBorders>
            <w:noWrap w:val="0"/>
            <w:vAlign w:val="center"/>
          </w:tcPr>
          <w:p w14:paraId="1E72333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single" w:color="000000" w:sz="4" w:space="0"/>
              <w:left w:val="nil"/>
              <w:bottom w:val="single" w:color="000000" w:sz="4" w:space="0"/>
              <w:right w:val="single" w:color="000000" w:sz="4" w:space="0"/>
            </w:tcBorders>
            <w:noWrap w:val="0"/>
            <w:vAlign w:val="center"/>
          </w:tcPr>
          <w:p w14:paraId="3A288AFD">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2" w:type="pct"/>
            <w:tcBorders>
              <w:top w:val="single" w:color="000000" w:sz="4" w:space="0"/>
              <w:left w:val="nil"/>
              <w:bottom w:val="single" w:color="000000" w:sz="4" w:space="0"/>
              <w:right w:val="single" w:color="000000" w:sz="4" w:space="0"/>
            </w:tcBorders>
            <w:noWrap w:val="0"/>
            <w:vAlign w:val="center"/>
          </w:tcPr>
          <w:p w14:paraId="13B845CA">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2" w:type="pct"/>
            <w:tcBorders>
              <w:top w:val="nil"/>
              <w:left w:val="nil"/>
              <w:bottom w:val="single" w:color="000000" w:sz="4" w:space="0"/>
              <w:right w:val="single" w:color="000000" w:sz="4" w:space="0"/>
            </w:tcBorders>
            <w:noWrap w:val="0"/>
            <w:vAlign w:val="center"/>
          </w:tcPr>
          <w:p w14:paraId="22DDE441">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57" w:type="pct"/>
            <w:tcBorders>
              <w:top w:val="nil"/>
              <w:left w:val="nil"/>
              <w:bottom w:val="single" w:color="000000" w:sz="4" w:space="0"/>
              <w:right w:val="single" w:color="000000" w:sz="8" w:space="0"/>
            </w:tcBorders>
            <w:noWrap w:val="0"/>
            <w:vAlign w:val="center"/>
          </w:tcPr>
          <w:p w14:paraId="46130D13">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4CFF633">
        <w:tblPrEx>
          <w:tblCellMar>
            <w:top w:w="0" w:type="dxa"/>
            <w:left w:w="108" w:type="dxa"/>
            <w:bottom w:w="0" w:type="dxa"/>
            <w:right w:w="108" w:type="dxa"/>
          </w:tblCellMar>
        </w:tblPrEx>
        <w:trPr>
          <w:trHeight w:val="680" w:hRule="atLeast"/>
        </w:trPr>
        <w:tc>
          <w:tcPr>
            <w:tcW w:w="346" w:type="pct"/>
            <w:tcBorders>
              <w:top w:val="nil"/>
              <w:left w:val="single" w:color="000000" w:sz="8" w:space="0"/>
              <w:bottom w:val="single" w:color="000000" w:sz="4" w:space="0"/>
              <w:right w:val="single" w:color="000000" w:sz="4" w:space="0"/>
            </w:tcBorders>
            <w:noWrap w:val="0"/>
            <w:vAlign w:val="center"/>
          </w:tcPr>
          <w:p w14:paraId="27D9F3A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1148" w:type="pct"/>
            <w:tcBorders>
              <w:top w:val="nil"/>
              <w:left w:val="nil"/>
              <w:bottom w:val="single" w:color="000000" w:sz="4" w:space="0"/>
              <w:right w:val="single" w:color="000000" w:sz="4" w:space="0"/>
            </w:tcBorders>
            <w:noWrap w:val="0"/>
            <w:vAlign w:val="center"/>
          </w:tcPr>
          <w:p w14:paraId="6885E290">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07" w:type="pct"/>
            <w:tcBorders>
              <w:top w:val="single" w:color="000000" w:sz="4" w:space="0"/>
              <w:left w:val="nil"/>
              <w:bottom w:val="single" w:color="000000" w:sz="4" w:space="0"/>
              <w:right w:val="single" w:color="000000" w:sz="4" w:space="0"/>
            </w:tcBorders>
            <w:noWrap w:val="0"/>
            <w:vAlign w:val="center"/>
          </w:tcPr>
          <w:p w14:paraId="55AE86A8">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nil"/>
              <w:left w:val="nil"/>
              <w:bottom w:val="single" w:color="000000" w:sz="4" w:space="0"/>
              <w:right w:val="single" w:color="000000" w:sz="4" w:space="0"/>
            </w:tcBorders>
            <w:noWrap w:val="0"/>
            <w:vAlign w:val="center"/>
          </w:tcPr>
          <w:p w14:paraId="2C9C1673">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579" w:type="pct"/>
            <w:tcBorders>
              <w:top w:val="single" w:color="000000" w:sz="4" w:space="0"/>
              <w:left w:val="nil"/>
              <w:bottom w:val="single" w:color="000000" w:sz="4" w:space="0"/>
              <w:right w:val="single" w:color="000000" w:sz="4" w:space="0"/>
            </w:tcBorders>
            <w:noWrap w:val="0"/>
            <w:vAlign w:val="center"/>
          </w:tcPr>
          <w:p w14:paraId="4153E867">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2" w:type="pct"/>
            <w:tcBorders>
              <w:top w:val="single" w:color="000000" w:sz="4" w:space="0"/>
              <w:left w:val="nil"/>
              <w:bottom w:val="single" w:color="000000" w:sz="4" w:space="0"/>
              <w:right w:val="single" w:color="000000" w:sz="4" w:space="0"/>
            </w:tcBorders>
            <w:noWrap w:val="0"/>
            <w:vAlign w:val="center"/>
          </w:tcPr>
          <w:p w14:paraId="07EBBA42">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742" w:type="pct"/>
            <w:tcBorders>
              <w:top w:val="nil"/>
              <w:left w:val="nil"/>
              <w:bottom w:val="single" w:color="000000" w:sz="4" w:space="0"/>
              <w:right w:val="single" w:color="000000" w:sz="4" w:space="0"/>
            </w:tcBorders>
            <w:noWrap w:val="0"/>
            <w:vAlign w:val="center"/>
          </w:tcPr>
          <w:p w14:paraId="75387499">
            <w:pPr>
              <w:keepNext w:val="0"/>
              <w:keepLines w:val="0"/>
              <w:pageBreakBefore w:val="0"/>
              <w:widowControl/>
              <w:suppressLineNumbers w:val="0"/>
              <w:kinsoku/>
              <w:wordWrap w:val="0"/>
              <w:overflowPunct/>
              <w:bidi w:val="0"/>
              <w:spacing w:before="0" w:beforeAutospacing="0" w:after="0" w:afterAutospacing="0"/>
              <w:ind w:left="0" w:right="0"/>
              <w:jc w:val="right"/>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457" w:type="pct"/>
            <w:tcBorders>
              <w:top w:val="nil"/>
              <w:left w:val="nil"/>
              <w:bottom w:val="single" w:color="000000" w:sz="4" w:space="0"/>
              <w:right w:val="single" w:color="000000" w:sz="8" w:space="0"/>
            </w:tcBorders>
            <w:noWrap w:val="0"/>
            <w:vAlign w:val="center"/>
          </w:tcPr>
          <w:p w14:paraId="61EB97FA">
            <w:pPr>
              <w:keepNext w:val="0"/>
              <w:keepLines w:val="0"/>
              <w:pageBreakBefore w:val="0"/>
              <w:widowControl/>
              <w:suppressLineNumbers w:val="0"/>
              <w:kinsoku/>
              <w:wordWrap w:val="0"/>
              <w:overflowPunct/>
              <w:bidi w:val="0"/>
              <w:spacing w:before="0" w:beforeAutospacing="0" w:after="0" w:afterAutospacing="0"/>
              <w:ind w:left="0" w:right="0"/>
              <w:jc w:val="left"/>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0864CE40">
      <w:pPr>
        <w:pageBreakBefore w:val="0"/>
        <w:kinsoku/>
        <w:wordWrap w:val="0"/>
        <w:overflowPunct/>
        <w:bidi w:val="0"/>
        <w:rPr>
          <w:rFonts w:hint="eastAsia" w:ascii="Times New Roman" w:hAnsi="Times New Roman" w:cs="宋体"/>
          <w:smallCaps w:val="0"/>
          <w:color w:val="000000" w:themeColor="text1"/>
          <w:highlight w:val="none"/>
          <w14:textFill>
            <w14:solidFill>
              <w14:schemeClr w14:val="tx1"/>
            </w14:solidFill>
          </w14:textFill>
        </w:rPr>
      </w:pPr>
    </w:p>
    <w:p w14:paraId="19FEF260">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851" w:name="_Toc535241144"/>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852" w:name="_Toc32293"/>
      <w:bookmarkStart w:id="1853" w:name="_Toc526759717"/>
      <w:bookmarkStart w:id="1854" w:name="_Toc31084"/>
      <w:bookmarkStart w:id="1855" w:name="_Toc532910666"/>
      <w:bookmarkStart w:id="1856" w:name="_Toc11766"/>
      <w:bookmarkStart w:id="1857" w:name="_Toc7468"/>
      <w:bookmarkStart w:id="1858" w:name="_Toc23289"/>
      <w:bookmarkStart w:id="1859" w:name="_Toc518575601"/>
      <w:bookmarkStart w:id="1860" w:name="_Toc518922054"/>
      <w:bookmarkStart w:id="1861" w:name="_Toc532910386"/>
      <w:bookmarkStart w:id="1862" w:name="_Toc3495"/>
      <w:bookmarkStart w:id="1863" w:name="_Toc23823"/>
      <w:bookmarkStart w:id="1864" w:name="_Toc30955"/>
      <w:r>
        <w:rPr>
          <w:rStyle w:val="73"/>
          <w:rFonts w:hint="eastAsia" w:ascii="Times New Roman" w:hAnsi="Times New Roman"/>
          <w:smallCaps w:val="0"/>
          <w:color w:val="000000" w:themeColor="text1"/>
          <w:highlight w:val="none"/>
          <w14:textFill>
            <w14:solidFill>
              <w14:schemeClr w14:val="tx1"/>
            </w14:solidFill>
          </w14:textFill>
        </w:rPr>
        <w:t>（十八）招标人推荐的材料品牌响应表</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5755F2A6">
      <w:pPr>
        <w:pStyle w:val="79"/>
        <w:pageBreakBefore w:val="0"/>
        <w:kinsoku/>
        <w:wordWrap w:val="0"/>
        <w:overflowPunct/>
        <w:bidi w:val="0"/>
        <w:ind w:left="0" w:leftChars="0" w:firstLine="0" w:firstLineChars="0"/>
        <w:rPr>
          <w:rFonts w:hint="eastAsia" w:ascii="Times New Roman" w:hAnsi="Times New Roman"/>
          <w:smallCaps w:val="0"/>
          <w:color w:val="000000" w:themeColor="text1"/>
          <w:highlight w:val="none"/>
          <w14:textFill>
            <w14:solidFill>
              <w14:schemeClr w14:val="tx1"/>
            </w14:solidFill>
          </w14:textFill>
        </w:rPr>
      </w:pPr>
      <w:bookmarkStart w:id="1865" w:name="_Toc13748"/>
      <w:bookmarkStart w:id="1866" w:name="_Toc12073"/>
      <w:bookmarkStart w:id="1867" w:name="_Toc1079"/>
      <w:bookmarkStart w:id="1868" w:name="_Toc3149"/>
      <w:bookmarkStart w:id="1869" w:name="_Toc27050"/>
      <w:bookmarkStart w:id="1870" w:name="_Toc17269"/>
      <w:bookmarkStart w:id="1871" w:name="_Toc23704"/>
      <w:bookmarkStart w:id="1872" w:name="_Toc9115"/>
      <w:r>
        <w:rPr>
          <w:rFonts w:hint="eastAsia" w:ascii="Times New Roman" w:hAnsi="Times New Roman"/>
          <w:smallCaps w:val="0"/>
          <w:color w:val="000000" w:themeColor="text1"/>
          <w:highlight w:val="none"/>
          <w14:textFill>
            <w14:solidFill>
              <w14:schemeClr w14:val="tx1"/>
            </w14:solidFill>
          </w14:textFill>
        </w:rPr>
        <w:t>工程名称</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标段</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第   页共   页</w:t>
      </w:r>
    </w:p>
    <w:p w14:paraId="620EC299">
      <w:pPr>
        <w:pStyle w:val="72"/>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品牌推荐表（如要求）</w:t>
      </w:r>
      <w:bookmarkEnd w:id="1865"/>
      <w:bookmarkEnd w:id="1866"/>
      <w:bookmarkEnd w:id="1867"/>
      <w:bookmarkEnd w:id="1868"/>
      <w:bookmarkEnd w:id="1869"/>
      <w:bookmarkEnd w:id="1870"/>
      <w:bookmarkEnd w:id="1871"/>
      <w:bookmarkEnd w:id="1872"/>
    </w:p>
    <w:tbl>
      <w:tblPr>
        <w:tblStyle w:val="22"/>
        <w:tblW w:w="8498" w:type="dxa"/>
        <w:jc w:val="center"/>
        <w:tblLayout w:type="autofit"/>
        <w:tblCellMar>
          <w:top w:w="0" w:type="dxa"/>
          <w:left w:w="108" w:type="dxa"/>
          <w:bottom w:w="0" w:type="dxa"/>
          <w:right w:w="108" w:type="dxa"/>
        </w:tblCellMar>
      </w:tblPr>
      <w:tblGrid>
        <w:gridCol w:w="691"/>
        <w:gridCol w:w="1833"/>
        <w:gridCol w:w="862"/>
        <w:gridCol w:w="862"/>
        <w:gridCol w:w="862"/>
        <w:gridCol w:w="862"/>
        <w:gridCol w:w="692"/>
        <w:gridCol w:w="1834"/>
      </w:tblGrid>
      <w:tr w14:paraId="6D72B263">
        <w:tblPrEx>
          <w:tblCellMar>
            <w:top w:w="0" w:type="dxa"/>
            <w:left w:w="108" w:type="dxa"/>
            <w:bottom w:w="0" w:type="dxa"/>
            <w:right w:w="108" w:type="dxa"/>
          </w:tblCellMar>
        </w:tblPrEx>
        <w:trPr>
          <w:trHeight w:val="397"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4887F57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0" w:type="auto"/>
            <w:tcBorders>
              <w:top w:val="single" w:color="auto" w:sz="4" w:space="0"/>
              <w:left w:val="nil"/>
              <w:bottom w:val="single" w:color="auto" w:sz="4" w:space="0"/>
              <w:right w:val="single" w:color="auto" w:sz="4" w:space="0"/>
            </w:tcBorders>
            <w:noWrap w:val="0"/>
            <w:vAlign w:val="center"/>
          </w:tcPr>
          <w:p w14:paraId="42644FA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材料、设备名称</w:t>
            </w:r>
          </w:p>
        </w:tc>
        <w:tc>
          <w:tcPr>
            <w:tcW w:w="0" w:type="auto"/>
            <w:tcBorders>
              <w:top w:val="single" w:color="auto" w:sz="4" w:space="0"/>
              <w:left w:val="nil"/>
              <w:bottom w:val="single" w:color="auto" w:sz="4" w:space="0"/>
              <w:right w:val="single" w:color="auto" w:sz="4" w:space="0"/>
            </w:tcBorders>
            <w:noWrap w:val="0"/>
            <w:vAlign w:val="center"/>
          </w:tcPr>
          <w:p w14:paraId="34190F8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品牌1</w:t>
            </w:r>
          </w:p>
        </w:tc>
        <w:tc>
          <w:tcPr>
            <w:tcW w:w="0" w:type="auto"/>
            <w:tcBorders>
              <w:top w:val="single" w:color="auto" w:sz="4" w:space="0"/>
              <w:left w:val="nil"/>
              <w:bottom w:val="single" w:color="auto" w:sz="4" w:space="0"/>
              <w:right w:val="single" w:color="auto" w:sz="4" w:space="0"/>
            </w:tcBorders>
            <w:noWrap w:val="0"/>
            <w:vAlign w:val="center"/>
          </w:tcPr>
          <w:p w14:paraId="754F05A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品牌2</w:t>
            </w:r>
          </w:p>
        </w:tc>
        <w:tc>
          <w:tcPr>
            <w:tcW w:w="0" w:type="auto"/>
            <w:tcBorders>
              <w:top w:val="single" w:color="auto" w:sz="4" w:space="0"/>
              <w:left w:val="nil"/>
              <w:bottom w:val="single" w:color="auto" w:sz="4" w:space="0"/>
              <w:right w:val="single" w:color="auto" w:sz="4" w:space="0"/>
            </w:tcBorders>
            <w:noWrap w:val="0"/>
            <w:vAlign w:val="center"/>
          </w:tcPr>
          <w:p w14:paraId="734B487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品牌3</w:t>
            </w:r>
          </w:p>
        </w:tc>
        <w:tc>
          <w:tcPr>
            <w:tcW w:w="0" w:type="auto"/>
            <w:tcBorders>
              <w:top w:val="single" w:color="auto" w:sz="4" w:space="0"/>
              <w:left w:val="nil"/>
              <w:bottom w:val="single" w:color="auto" w:sz="4" w:space="0"/>
              <w:right w:val="single" w:color="auto" w:sz="4" w:space="0"/>
            </w:tcBorders>
            <w:noWrap w:val="0"/>
            <w:vAlign w:val="center"/>
          </w:tcPr>
          <w:p w14:paraId="1CCCD4C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品牌4</w:t>
            </w:r>
          </w:p>
        </w:tc>
        <w:tc>
          <w:tcPr>
            <w:tcW w:w="0" w:type="auto"/>
            <w:tcBorders>
              <w:top w:val="single" w:color="auto" w:sz="4" w:space="0"/>
              <w:left w:val="nil"/>
              <w:bottom w:val="single" w:color="auto" w:sz="4" w:space="0"/>
              <w:right w:val="single" w:color="auto" w:sz="4" w:space="0"/>
            </w:tcBorders>
            <w:noWrap w:val="0"/>
            <w:vAlign w:val="center"/>
          </w:tcPr>
          <w:p w14:paraId="0D8A951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c>
          <w:tcPr>
            <w:tcW w:w="0" w:type="auto"/>
            <w:tcBorders>
              <w:top w:val="single" w:color="auto" w:sz="4" w:space="0"/>
              <w:left w:val="nil"/>
              <w:bottom w:val="single" w:color="auto" w:sz="4" w:space="0"/>
              <w:right w:val="single" w:color="auto" w:sz="4" w:space="0"/>
            </w:tcBorders>
            <w:noWrap w:val="0"/>
            <w:vAlign w:val="top"/>
          </w:tcPr>
          <w:p w14:paraId="0E943E7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投标人选定品牌</w:t>
            </w:r>
          </w:p>
        </w:tc>
      </w:tr>
      <w:tr w14:paraId="78FB3F94">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3970BD43">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1</w:t>
            </w:r>
          </w:p>
        </w:tc>
        <w:tc>
          <w:tcPr>
            <w:tcW w:w="0" w:type="auto"/>
            <w:tcBorders>
              <w:top w:val="nil"/>
              <w:left w:val="nil"/>
              <w:bottom w:val="single" w:color="auto" w:sz="4" w:space="0"/>
              <w:right w:val="single" w:color="auto" w:sz="4" w:space="0"/>
            </w:tcBorders>
            <w:noWrap w:val="0"/>
            <w:vAlign w:val="center"/>
          </w:tcPr>
          <w:p w14:paraId="76012605">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343E6E28">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5DD64ECF">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4175AF0A">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3F635BFF">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36021450">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09DDA5E6">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F5DF115">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51319F6C">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2</w:t>
            </w:r>
          </w:p>
        </w:tc>
        <w:tc>
          <w:tcPr>
            <w:tcW w:w="0" w:type="auto"/>
            <w:tcBorders>
              <w:top w:val="nil"/>
              <w:left w:val="nil"/>
              <w:bottom w:val="single" w:color="auto" w:sz="4" w:space="0"/>
              <w:right w:val="single" w:color="auto" w:sz="4" w:space="0"/>
            </w:tcBorders>
            <w:noWrap w:val="0"/>
            <w:vAlign w:val="center"/>
          </w:tcPr>
          <w:p w14:paraId="5D302920">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0663E8B">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106F36BE">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F2E40D6">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28DAD5F4">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46C30662">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65CA1E1B">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956ED89">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6E51092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3</w:t>
            </w:r>
          </w:p>
        </w:tc>
        <w:tc>
          <w:tcPr>
            <w:tcW w:w="0" w:type="auto"/>
            <w:tcBorders>
              <w:top w:val="nil"/>
              <w:left w:val="nil"/>
              <w:bottom w:val="single" w:color="auto" w:sz="4" w:space="0"/>
              <w:right w:val="single" w:color="auto" w:sz="4" w:space="0"/>
            </w:tcBorders>
            <w:noWrap w:val="0"/>
            <w:vAlign w:val="center"/>
          </w:tcPr>
          <w:p w14:paraId="4B092065">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751C6866">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21E1A436">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6EF7771B">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1CE85A0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475D6D35">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5BEBC786">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9AC2833">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2953A2A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4</w:t>
            </w:r>
          </w:p>
        </w:tc>
        <w:tc>
          <w:tcPr>
            <w:tcW w:w="0" w:type="auto"/>
            <w:tcBorders>
              <w:top w:val="nil"/>
              <w:left w:val="nil"/>
              <w:bottom w:val="single" w:color="auto" w:sz="4" w:space="0"/>
              <w:right w:val="single" w:color="auto" w:sz="4" w:space="0"/>
            </w:tcBorders>
            <w:noWrap w:val="0"/>
            <w:vAlign w:val="center"/>
          </w:tcPr>
          <w:p w14:paraId="6E5603F8">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5040CBED">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46475FE5">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73276188">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CD2920B">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0C5FEE0A">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00E6431C">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BDB8052">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0DE58A9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5</w:t>
            </w:r>
          </w:p>
        </w:tc>
        <w:tc>
          <w:tcPr>
            <w:tcW w:w="0" w:type="auto"/>
            <w:tcBorders>
              <w:top w:val="nil"/>
              <w:left w:val="nil"/>
              <w:bottom w:val="single" w:color="auto" w:sz="4" w:space="0"/>
              <w:right w:val="single" w:color="auto" w:sz="4" w:space="0"/>
            </w:tcBorders>
            <w:noWrap w:val="0"/>
            <w:vAlign w:val="center"/>
          </w:tcPr>
          <w:p w14:paraId="38A783D2">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FE83F18">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6BDF48CA">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3F4B4E32">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4AA2EA3F">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501546D1">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1E226630">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2C573739">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7511009E">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r>
              <w:rPr>
                <w:rFonts w:hint="eastAsia" w:ascii="Times New Roman" w:hAnsi="Times New Roman" w:cs="宋体"/>
                <w:smallCaps w:val="0"/>
                <w:color w:val="000000" w:themeColor="text1"/>
                <w:kern w:val="0"/>
                <w:szCs w:val="21"/>
                <w:highlight w:val="none"/>
                <w14:textFill>
                  <w14:solidFill>
                    <w14:schemeClr w14:val="tx1"/>
                  </w14:solidFill>
                </w14:textFill>
              </w:rPr>
              <w:t>6</w:t>
            </w:r>
          </w:p>
        </w:tc>
        <w:tc>
          <w:tcPr>
            <w:tcW w:w="0" w:type="auto"/>
            <w:tcBorders>
              <w:top w:val="nil"/>
              <w:left w:val="nil"/>
              <w:bottom w:val="single" w:color="auto" w:sz="4" w:space="0"/>
              <w:right w:val="single" w:color="auto" w:sz="4" w:space="0"/>
            </w:tcBorders>
            <w:noWrap w:val="0"/>
            <w:vAlign w:val="center"/>
          </w:tcPr>
          <w:p w14:paraId="2CA93650">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5F20233F">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75CDE797">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B3A80CB">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1781D09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14BEA5EB">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5250AD6B">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E250BE1">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739CB50D">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5596F4A9">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33F896D7">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1D5D90DD">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3139ABB">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D7FC7F6">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5E9BEB50">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2CCF8CAE">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4882AD1">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6E388A8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23E663B9">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20CC6DF4">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61FB41E3">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7C5CAF14">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42732E93">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35F66A25">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1935DC12">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114DCFC9">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6770BCD5">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67E014CC">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772D411E">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185349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1C50B10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56B8BCEB">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1875BBA7">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132C8087">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3540FC43">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03513BB6">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7B40F3E6">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1C854B57">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45E5D463">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4F8EEDD">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795A21AA">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1BBAD116">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3488BEAD">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6F160F40">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565B8E30">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2A807BB5">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68F31B85">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1892E31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227C8157">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6233F33E">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642AE982">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64B073CE">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46B98848">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35CEDFDD">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4A41646E">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017CB648">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46E9908F">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7326AE92">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47DEC204">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3453B85C">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7C5DE75D">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59056601">
        <w:tblPrEx>
          <w:tblCellMar>
            <w:top w:w="0" w:type="dxa"/>
            <w:left w:w="108" w:type="dxa"/>
            <w:bottom w:w="0" w:type="dxa"/>
            <w:right w:w="108" w:type="dxa"/>
          </w:tblCellMar>
        </w:tblPrEx>
        <w:trPr>
          <w:trHeight w:val="481" w:hRule="atLeast"/>
          <w:jc w:val="center"/>
        </w:trPr>
        <w:tc>
          <w:tcPr>
            <w:tcW w:w="0" w:type="auto"/>
            <w:tcBorders>
              <w:top w:val="nil"/>
              <w:left w:val="single" w:color="auto" w:sz="4" w:space="0"/>
              <w:bottom w:val="single" w:color="auto" w:sz="4" w:space="0"/>
              <w:right w:val="single" w:color="auto" w:sz="4" w:space="0"/>
            </w:tcBorders>
            <w:noWrap w:val="0"/>
            <w:vAlign w:val="center"/>
          </w:tcPr>
          <w:p w14:paraId="579969BF">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38BEF79F">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43CE011E">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2B7A3C88">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3D7A1D11">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16EEA806">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59449C20">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1DD831D2">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r w14:paraId="04A85226">
        <w:tblPrEx>
          <w:tblCellMar>
            <w:top w:w="0" w:type="dxa"/>
            <w:left w:w="108" w:type="dxa"/>
            <w:bottom w:w="0" w:type="dxa"/>
            <w:right w:w="108" w:type="dxa"/>
          </w:tblCellMar>
        </w:tblPrEx>
        <w:trPr>
          <w:trHeight w:val="491" w:hRule="atLeast"/>
          <w:jc w:val="center"/>
        </w:trPr>
        <w:tc>
          <w:tcPr>
            <w:tcW w:w="0" w:type="auto"/>
            <w:tcBorders>
              <w:top w:val="nil"/>
              <w:left w:val="single" w:color="auto" w:sz="4" w:space="0"/>
              <w:bottom w:val="single" w:color="auto" w:sz="4" w:space="0"/>
              <w:right w:val="single" w:color="auto" w:sz="4" w:space="0"/>
            </w:tcBorders>
            <w:noWrap w:val="0"/>
            <w:vAlign w:val="center"/>
          </w:tcPr>
          <w:p w14:paraId="1B032348">
            <w:pPr>
              <w:keepNext w:val="0"/>
              <w:keepLines w:val="0"/>
              <w:pageBreakBefore w:val="0"/>
              <w:widowControl/>
              <w:suppressLineNumbers w:val="0"/>
              <w:kinsoku/>
              <w:wordWrap w:val="0"/>
              <w:overflowPunct/>
              <w:bidi w:val="0"/>
              <w:spacing w:before="0" w:beforeAutospacing="0" w:after="0" w:afterAutospacing="0"/>
              <w:ind w:left="0" w:right="0"/>
              <w:jc w:val="center"/>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1D1ED5F5">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4EFE10A9">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52DFC0FA">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289F9AAC">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single" w:color="auto" w:sz="4" w:space="0"/>
              <w:left w:val="nil"/>
              <w:bottom w:val="single" w:color="auto" w:sz="4" w:space="0"/>
              <w:right w:val="single" w:color="auto" w:sz="4" w:space="0"/>
            </w:tcBorders>
            <w:noWrap w:val="0"/>
            <w:vAlign w:val="center"/>
          </w:tcPr>
          <w:p w14:paraId="57F4CFC1">
            <w:pPr>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sz w:val="22"/>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center"/>
          </w:tcPr>
          <w:p w14:paraId="588C99DD">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c>
          <w:tcPr>
            <w:tcW w:w="0" w:type="auto"/>
            <w:tcBorders>
              <w:top w:val="nil"/>
              <w:left w:val="nil"/>
              <w:bottom w:val="single" w:color="auto" w:sz="4" w:space="0"/>
              <w:right w:val="single" w:color="auto" w:sz="4" w:space="0"/>
            </w:tcBorders>
            <w:noWrap w:val="0"/>
            <w:vAlign w:val="top"/>
          </w:tcPr>
          <w:p w14:paraId="39EDABD4">
            <w:pPr>
              <w:keepNext w:val="0"/>
              <w:keepLines w:val="0"/>
              <w:pageBreakBefore w:val="0"/>
              <w:widowControl/>
              <w:suppressLineNumbers w:val="0"/>
              <w:kinsoku/>
              <w:wordWrap w:val="0"/>
              <w:overflowPunct/>
              <w:bidi w:val="0"/>
              <w:spacing w:before="0" w:beforeAutospacing="0" w:after="0" w:afterAutospacing="0"/>
              <w:ind w:left="0" w:right="0"/>
              <w:rPr>
                <w:rFonts w:hint="eastAsia" w:ascii="Times New Roman" w:hAnsi="Times New Roman" w:cs="宋体"/>
                <w:smallCaps w:val="0"/>
                <w:color w:val="000000" w:themeColor="text1"/>
                <w:kern w:val="0"/>
                <w:szCs w:val="21"/>
                <w:highlight w:val="none"/>
                <w14:textFill>
                  <w14:solidFill>
                    <w14:schemeClr w14:val="tx1"/>
                  </w14:solidFill>
                </w14:textFill>
              </w:rPr>
            </w:pPr>
          </w:p>
        </w:tc>
      </w:tr>
    </w:tbl>
    <w:p w14:paraId="44139E3C">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p>
    <w:p w14:paraId="18AB5E9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本表仅针对不采用招标人推荐品牌，采用其他品牌的投标人填写，并注明并提供相关技术参数、业绩等供评标委员会评审，未在上表中注明且未提供相关技术参数、业绩，或经评标委员会评审未通过的，</w:t>
      </w:r>
      <w:r>
        <w:rPr>
          <w:rFonts w:hint="eastAsia" w:ascii="Times New Roman" w:hAnsi="Times New Roman"/>
          <w:smallCaps w:val="0"/>
          <w:color w:val="000000" w:themeColor="text1"/>
          <w:highlight w:val="none"/>
          <w:lang w:val="en-US" w:eastAsia="zh-CN"/>
          <w14:textFill>
            <w14:solidFill>
              <w14:schemeClr w14:val="tx1"/>
            </w14:solidFill>
          </w14:textFill>
        </w:rPr>
        <w:t>中标后应重新选择满足招标文件要求的材料、设备且经招标人同意，价格不予调整。</w:t>
      </w:r>
    </w:p>
    <w:p w14:paraId="03B0E09F">
      <w:pPr>
        <w:pStyle w:val="79"/>
        <w:pageBreakBefore w:val="0"/>
        <w:kinsoku/>
        <w:wordWrap w:val="0"/>
        <w:overflowPunct/>
        <w:bidi w:val="0"/>
        <w:rPr>
          <w:rFonts w:hint="eastAsia" w:ascii="Times New Roman" w:hAnsi="Times New Roman"/>
          <w:smallCaps w:val="0"/>
          <w:color w:val="000000" w:themeColor="text1"/>
          <w:highlight w:val="none"/>
          <w:lang w:val="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 对于招标人推荐品牌的材料、设备等，投标人如认为招标人推荐的品牌有限定性、唯一性、明显不在同一档次等级的或者其他疑问的，应在本项目澄清提出的截止时间前通过电子交易系统提交。</w:t>
      </w:r>
    </w:p>
    <w:p w14:paraId="0F52D08A">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b/>
          <w:smallCaps w:val="0"/>
          <w:color w:val="000000" w:themeColor="text1"/>
          <w:sz w:val="18"/>
          <w:szCs w:val="18"/>
          <w:highlight w:val="none"/>
          <w:lang w:val="zh-CN"/>
          <w14:textFill>
            <w14:solidFill>
              <w14:schemeClr w14:val="tx1"/>
            </w14:solidFill>
          </w14:textFill>
        </w:rPr>
        <w:br w:type="page"/>
      </w:r>
      <w:bookmarkEnd w:id="1827"/>
      <w:bookmarkEnd w:id="1828"/>
      <w:bookmarkEnd w:id="1829"/>
      <w:bookmarkEnd w:id="1830"/>
      <w:bookmarkEnd w:id="1831"/>
      <w:bookmarkEnd w:id="1841"/>
      <w:bookmarkEnd w:id="1842"/>
      <w:bookmarkEnd w:id="1851"/>
      <w:bookmarkStart w:id="1873" w:name="_Toc10594"/>
      <w:bookmarkStart w:id="1874" w:name="_Toc29635"/>
      <w:bookmarkStart w:id="1875" w:name="_Toc32373"/>
      <w:bookmarkStart w:id="1876" w:name="_Toc5395"/>
      <w:bookmarkStart w:id="1877" w:name="_Toc9212"/>
      <w:bookmarkStart w:id="1878" w:name="_Toc27146"/>
      <w:bookmarkStart w:id="1879" w:name="_Toc21825"/>
      <w:bookmarkStart w:id="1880" w:name="_Toc23332"/>
      <w:bookmarkStart w:id="1881" w:name="_Toc460660254"/>
      <w:bookmarkStart w:id="1882" w:name="_Toc460227139"/>
      <w:bookmarkStart w:id="1883" w:name="_Toc535241145"/>
      <w:r>
        <w:rPr>
          <w:rStyle w:val="73"/>
          <w:rFonts w:hint="eastAsia" w:ascii="Times New Roman" w:hAnsi="Times New Roman"/>
          <w:smallCaps w:val="0"/>
          <w:color w:val="000000" w:themeColor="text1"/>
          <w:highlight w:val="none"/>
          <w14:textFill>
            <w14:solidFill>
              <w14:schemeClr w14:val="tx1"/>
            </w14:solidFill>
          </w14:textFill>
        </w:rPr>
        <w:t>（十九）异常低价评审表</w:t>
      </w:r>
      <w:bookmarkEnd w:id="1873"/>
      <w:bookmarkEnd w:id="1874"/>
      <w:bookmarkEnd w:id="1875"/>
      <w:bookmarkEnd w:id="1876"/>
      <w:bookmarkEnd w:id="1877"/>
      <w:bookmarkEnd w:id="1878"/>
      <w:bookmarkEnd w:id="1879"/>
      <w:bookmarkEnd w:id="1880"/>
    </w:p>
    <w:p w14:paraId="105D3FCA">
      <w:pPr>
        <w:pageBreakBefore w:val="0"/>
        <w:kinsoku/>
        <w:wordWrap w:val="0"/>
        <w:overflowPunct/>
        <w:bidi w:val="0"/>
        <w:jc w:val="center"/>
        <w:rPr>
          <w:rFonts w:hint="eastAsia" w:ascii="Times New Roman" w:hAnsi="Times New Roman" w:cs="宋体"/>
          <w:b/>
          <w:smallCaps w:val="0"/>
          <w:color w:val="000000" w:themeColor="text1"/>
          <w:sz w:val="28"/>
          <w:szCs w:val="28"/>
          <w:highlight w:val="none"/>
          <w14:textFill>
            <w14:solidFill>
              <w14:schemeClr w14:val="tx1"/>
            </w14:solidFill>
          </w14:textFill>
        </w:rPr>
      </w:pPr>
    </w:p>
    <w:tbl>
      <w:tblPr>
        <w:tblStyle w:val="22"/>
        <w:tblW w:w="8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8"/>
        <w:gridCol w:w="5079"/>
      </w:tblGrid>
      <w:tr w14:paraId="72CF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3088" w:type="dxa"/>
            <w:tcBorders>
              <w:top w:val="single" w:color="auto" w:sz="4" w:space="0"/>
              <w:left w:val="single" w:color="auto" w:sz="4" w:space="0"/>
              <w:bottom w:val="single" w:color="auto" w:sz="4" w:space="0"/>
              <w:right w:val="single" w:color="auto" w:sz="4" w:space="0"/>
            </w:tcBorders>
            <w:noWrap w:val="0"/>
            <w:vAlign w:val="center"/>
          </w:tcPr>
          <w:p w14:paraId="15AFE9DC">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单位工程名称</w:t>
            </w:r>
          </w:p>
        </w:tc>
        <w:tc>
          <w:tcPr>
            <w:tcW w:w="5079" w:type="dxa"/>
            <w:tcBorders>
              <w:top w:val="single" w:color="auto" w:sz="4" w:space="0"/>
              <w:left w:val="single" w:color="auto" w:sz="4" w:space="0"/>
              <w:bottom w:val="single" w:color="auto" w:sz="4" w:space="0"/>
              <w:right w:val="single" w:color="auto" w:sz="4" w:space="0"/>
            </w:tcBorders>
            <w:noWrap w:val="0"/>
            <w:vAlign w:val="center"/>
          </w:tcPr>
          <w:p w14:paraId="1647014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0F5E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3088" w:type="dxa"/>
            <w:tcBorders>
              <w:top w:val="single" w:color="auto" w:sz="4" w:space="0"/>
              <w:left w:val="single" w:color="auto" w:sz="4" w:space="0"/>
              <w:bottom w:val="single" w:color="auto" w:sz="4" w:space="0"/>
              <w:right w:val="single" w:color="auto" w:sz="4" w:space="0"/>
            </w:tcBorders>
            <w:noWrap w:val="0"/>
            <w:vAlign w:val="center"/>
          </w:tcPr>
          <w:p w14:paraId="0CD038B4">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单位工程投标报价（元）</w:t>
            </w:r>
          </w:p>
        </w:tc>
        <w:tc>
          <w:tcPr>
            <w:tcW w:w="5079" w:type="dxa"/>
            <w:tcBorders>
              <w:top w:val="single" w:color="auto" w:sz="4" w:space="0"/>
              <w:left w:val="single" w:color="auto" w:sz="4" w:space="0"/>
              <w:bottom w:val="single" w:color="auto" w:sz="4" w:space="0"/>
              <w:right w:val="single" w:color="auto" w:sz="4" w:space="0"/>
            </w:tcBorders>
            <w:noWrap w:val="0"/>
            <w:vAlign w:val="center"/>
          </w:tcPr>
          <w:p w14:paraId="4C78E47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4E5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3088" w:type="dxa"/>
            <w:tcBorders>
              <w:top w:val="single" w:color="auto" w:sz="4" w:space="0"/>
              <w:left w:val="single" w:color="auto" w:sz="4" w:space="0"/>
              <w:bottom w:val="single" w:color="auto" w:sz="4" w:space="0"/>
              <w:right w:val="single" w:color="auto" w:sz="4" w:space="0"/>
            </w:tcBorders>
            <w:noWrap w:val="0"/>
            <w:vAlign w:val="center"/>
          </w:tcPr>
          <w:p w14:paraId="2302EFAB">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最高投标限价</w:t>
            </w:r>
          </w:p>
          <w:p w14:paraId="409FF557">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对应单位工程价格（元）</w:t>
            </w:r>
          </w:p>
        </w:tc>
        <w:tc>
          <w:tcPr>
            <w:tcW w:w="5079" w:type="dxa"/>
            <w:tcBorders>
              <w:top w:val="single" w:color="auto" w:sz="4" w:space="0"/>
              <w:left w:val="single" w:color="auto" w:sz="4" w:space="0"/>
              <w:bottom w:val="single" w:color="auto" w:sz="4" w:space="0"/>
              <w:right w:val="single" w:color="auto" w:sz="4" w:space="0"/>
            </w:tcBorders>
            <w:noWrap w:val="0"/>
            <w:vAlign w:val="center"/>
          </w:tcPr>
          <w:p w14:paraId="4A04AA8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4094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088" w:type="dxa"/>
            <w:tcBorders>
              <w:top w:val="single" w:color="auto" w:sz="4" w:space="0"/>
              <w:left w:val="single" w:color="auto" w:sz="4" w:space="0"/>
              <w:bottom w:val="single" w:color="auto" w:sz="4" w:space="0"/>
              <w:right w:val="single" w:color="auto" w:sz="4" w:space="0"/>
            </w:tcBorders>
            <w:noWrap w:val="0"/>
            <w:vAlign w:val="center"/>
          </w:tcPr>
          <w:p w14:paraId="720C2AB1">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降低工程造价的说明</w:t>
            </w:r>
          </w:p>
        </w:tc>
        <w:tc>
          <w:tcPr>
            <w:tcW w:w="5079" w:type="dxa"/>
            <w:tcBorders>
              <w:top w:val="single" w:color="auto" w:sz="4" w:space="0"/>
              <w:left w:val="single" w:color="auto" w:sz="4" w:space="0"/>
              <w:bottom w:val="single" w:color="auto" w:sz="4" w:space="0"/>
              <w:right w:val="single" w:color="auto" w:sz="4" w:space="0"/>
            </w:tcBorders>
            <w:noWrap w:val="0"/>
            <w:vAlign w:val="center"/>
          </w:tcPr>
          <w:p w14:paraId="72E3529F">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1625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3" w:hRule="atLeast"/>
          <w:jc w:val="center"/>
        </w:trPr>
        <w:tc>
          <w:tcPr>
            <w:tcW w:w="3088" w:type="dxa"/>
            <w:tcBorders>
              <w:top w:val="single" w:color="auto" w:sz="4" w:space="0"/>
              <w:left w:val="single" w:color="auto" w:sz="4" w:space="0"/>
              <w:bottom w:val="single" w:color="auto" w:sz="4" w:space="0"/>
              <w:right w:val="single" w:color="auto" w:sz="4" w:space="0"/>
            </w:tcBorders>
            <w:noWrap w:val="0"/>
            <w:vAlign w:val="center"/>
          </w:tcPr>
          <w:p w14:paraId="6F7C146F">
            <w:pPr>
              <w:pStyle w:val="83"/>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承诺</w:t>
            </w:r>
          </w:p>
        </w:tc>
        <w:tc>
          <w:tcPr>
            <w:tcW w:w="5079" w:type="dxa"/>
            <w:tcBorders>
              <w:top w:val="single" w:color="auto" w:sz="4" w:space="0"/>
              <w:left w:val="single" w:color="auto" w:sz="4" w:space="0"/>
              <w:bottom w:val="single" w:color="auto" w:sz="4" w:space="0"/>
              <w:right w:val="single" w:color="auto" w:sz="4" w:space="0"/>
            </w:tcBorders>
            <w:noWrap w:val="0"/>
            <w:vAlign w:val="center"/>
          </w:tcPr>
          <w:p w14:paraId="65295C7C">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1.我公司对该表提供的内容及相关资料均属实；</w:t>
            </w:r>
          </w:p>
          <w:p w14:paraId="4486BAF0">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2.我公司承诺没有招标文件约定的降低投标报价的禁止情形。</w:t>
            </w:r>
          </w:p>
          <w:p w14:paraId="53339F35">
            <w:pPr>
              <w:pStyle w:val="79"/>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3.我公司承诺具备合同履行能力及工程质量安全控制能力。</w:t>
            </w:r>
          </w:p>
        </w:tc>
      </w:tr>
    </w:tbl>
    <w:p w14:paraId="424B1CAC">
      <w:pPr>
        <w:pageBreakBefore w:val="0"/>
        <w:kinsoku/>
        <w:wordWrap w:val="0"/>
        <w:overflowPunct/>
        <w:bidi w:val="0"/>
        <w:adjustRightInd w:val="0"/>
        <w:snapToGrid w:val="0"/>
        <w:spacing w:before="48" w:beforeLines="20" w:after="48" w:afterLines="20" w:line="400" w:lineRule="exact"/>
        <w:rPr>
          <w:rFonts w:hint="eastAsia" w:ascii="Times New Roman" w:hAnsi="Times New Roman" w:cs="宋体"/>
          <w:b/>
          <w:bCs/>
          <w:smallCaps w:val="0"/>
          <w:color w:val="000000" w:themeColor="text1"/>
          <w:sz w:val="28"/>
          <w:szCs w:val="32"/>
          <w:highlight w:val="none"/>
          <w14:textFill>
            <w14:solidFill>
              <w14:schemeClr w14:val="tx1"/>
            </w14:solidFill>
          </w14:textFill>
        </w:rPr>
      </w:pPr>
    </w:p>
    <w:p w14:paraId="7890EA50">
      <w:pPr>
        <w:pStyle w:val="79"/>
        <w:pageBreakBefore w:val="0"/>
        <w:kinsoku/>
        <w:wordWrap w:val="0"/>
        <w:overflowPunct/>
        <w:bidi w:val="0"/>
        <w:ind w:left="0" w:leftChars="0" w:firstLine="4798" w:firstLineChars="2285"/>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 标 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（盖单位章</w:t>
      </w:r>
      <w:r>
        <w:rPr>
          <w:rFonts w:hint="eastAsia" w:ascii="Times New Roman" w:hAnsi="Times New Roman"/>
          <w:smallCaps w:val="0"/>
          <w:color w:val="000000" w:themeColor="text1"/>
          <w:highlight w:val="none"/>
          <w:lang w:eastAsia="zh-CN"/>
          <w14:textFill>
            <w14:solidFill>
              <w14:schemeClr w14:val="tx1"/>
            </w14:solidFill>
          </w14:textFill>
        </w:rPr>
        <w:t>）</w:t>
      </w:r>
    </w:p>
    <w:p w14:paraId="03613A9B">
      <w:pPr>
        <w:pStyle w:val="79"/>
        <w:pageBreakBefore w:val="0"/>
        <w:kinsoku/>
        <w:wordWrap w:val="0"/>
        <w:overflowPunct/>
        <w:bidi w:val="0"/>
        <w:ind w:left="0" w:leftChars="0" w:firstLine="4798" w:firstLineChars="2285"/>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法定代表人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（签字或盖章</w:t>
      </w:r>
      <w:r>
        <w:rPr>
          <w:rFonts w:hint="eastAsia" w:ascii="Times New Roman" w:hAnsi="Times New Roman"/>
          <w:smallCaps w:val="0"/>
          <w:color w:val="000000" w:themeColor="text1"/>
          <w:highlight w:val="none"/>
          <w:lang w:eastAsia="zh-CN"/>
          <w14:textFill>
            <w14:solidFill>
              <w14:schemeClr w14:val="tx1"/>
            </w14:solidFill>
          </w14:textFill>
        </w:rPr>
        <w:t>）</w:t>
      </w:r>
    </w:p>
    <w:p w14:paraId="6C91956B">
      <w:pPr>
        <w:pStyle w:val="79"/>
        <w:pageBreakBefore w:val="0"/>
        <w:kinsoku/>
        <w:wordWrap w:val="0"/>
        <w:overflowPunct/>
        <w:bidi w:val="0"/>
        <w:ind w:left="0" w:leftChars="0" w:firstLine="4798" w:firstLineChars="2285"/>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日期</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年     月      日</w:t>
      </w:r>
    </w:p>
    <w:p w14:paraId="2929A599">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注</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 xml:space="preserve"> </w:t>
      </w:r>
    </w:p>
    <w:p w14:paraId="72251495">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1.投标人根据其单位工程报价情况，确定是否提供；</w:t>
      </w:r>
    </w:p>
    <w:p w14:paraId="4DB48E60">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2.此表格后附异常低价评审的相关证明材料；</w:t>
      </w:r>
    </w:p>
    <w:p w14:paraId="4084047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3.每个单位工程独立制表；</w:t>
      </w:r>
    </w:p>
    <w:p w14:paraId="570158CB">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4.若投标人提供的相关资料与承诺不符，视同弄虚作假并上报监管部门调查处理。</w:t>
      </w:r>
    </w:p>
    <w:p w14:paraId="0324DF9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5.投标人在制作投标文件时该页可放置在报价文件中。</w:t>
      </w:r>
    </w:p>
    <w:p w14:paraId="7585937D">
      <w:pPr>
        <w:pageBreakBefore w:val="0"/>
        <w:kinsoku/>
        <w:wordWrap w:val="0"/>
        <w:overflowPunct/>
        <w:bidi w:val="0"/>
        <w:spacing w:before="240" w:beforeLines="100" w:after="240" w:afterLines="100"/>
        <w:jc w:val="center"/>
        <w:outlineLvl w:val="9"/>
        <w:rPr>
          <w:rStyle w:val="73"/>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smallCaps w:val="0"/>
          <w:color w:val="000000" w:themeColor="text1"/>
          <w:highlight w:val="none"/>
          <w14:textFill>
            <w14:solidFill>
              <w14:schemeClr w14:val="tx1"/>
            </w14:solidFill>
          </w14:textFill>
        </w:rPr>
        <w:br w:type="page"/>
      </w:r>
      <w:bookmarkStart w:id="1884" w:name="_Toc128950322"/>
      <w:r>
        <w:rPr>
          <w:rStyle w:val="73"/>
          <w:rFonts w:hint="eastAsia" w:ascii="Times New Roman" w:hAnsi="Times New Roman"/>
          <w:smallCaps w:val="0"/>
          <w:color w:val="000000" w:themeColor="text1"/>
          <w:highlight w:val="none"/>
          <w14:textFill>
            <w14:solidFill>
              <w14:schemeClr w14:val="tx1"/>
            </w14:solidFill>
          </w14:textFill>
        </w:rPr>
        <w:t>（二十）</w:t>
      </w:r>
      <w:r>
        <w:rPr>
          <w:rStyle w:val="73"/>
          <w:rFonts w:hint="eastAsia" w:ascii="Times New Roman" w:hAnsi="Times New Roman"/>
          <w:smallCaps w:val="0"/>
          <w:color w:val="000000" w:themeColor="text1"/>
          <w:highlight w:val="none"/>
          <w:lang w:eastAsia="zh-CN"/>
          <w14:textFill>
            <w14:solidFill>
              <w14:schemeClr w14:val="tx1"/>
            </w14:solidFill>
          </w14:textFill>
        </w:rPr>
        <w:t>可调整价差人工和</w:t>
      </w:r>
      <w:r>
        <w:rPr>
          <w:rStyle w:val="73"/>
          <w:rFonts w:hint="eastAsia" w:ascii="Times New Roman" w:hAnsi="Times New Roman"/>
          <w:smallCaps w:val="0"/>
          <w:color w:val="000000" w:themeColor="text1"/>
          <w:highlight w:val="none"/>
          <w14:textFill>
            <w14:solidFill>
              <w14:schemeClr w14:val="tx1"/>
            </w14:solidFill>
          </w14:textFill>
        </w:rPr>
        <w:t>主要材料一览表（如有）</w:t>
      </w:r>
      <w:bookmarkEnd w:id="1884"/>
    </w:p>
    <w:p w14:paraId="6F467399">
      <w:pPr>
        <w:pageBreakBefore w:val="0"/>
        <w:kinsoku/>
        <w:wordWrap w:val="0"/>
        <w:overflowPunct/>
        <w:bidi w:val="0"/>
        <w:spacing w:line="400" w:lineRule="exact"/>
        <w:jc w:val="left"/>
        <w:rPr>
          <w:rFonts w:ascii="Times New Roman" w:hAnsi="Times New Roman"/>
          <w:smallCaps w:val="0"/>
          <w:color w:val="000000" w:themeColor="text1"/>
          <w:szCs w:val="24"/>
          <w:highlight w:val="none"/>
          <w14:textFill>
            <w14:solidFill>
              <w14:schemeClr w14:val="tx1"/>
            </w14:solidFill>
          </w14:textFill>
        </w:rPr>
      </w:pPr>
      <w:r>
        <w:rPr>
          <w:rFonts w:hint="eastAsia" w:ascii="Times New Roman" w:hAnsi="Times New Roman"/>
          <w:smallCaps w:val="0"/>
          <w:color w:val="000000" w:themeColor="text1"/>
          <w:szCs w:val="24"/>
          <w:highlight w:val="none"/>
          <w14:textFill>
            <w14:solidFill>
              <w14:schemeClr w14:val="tx1"/>
            </w14:solidFill>
          </w14:textFill>
        </w:rPr>
        <w:t>招标项目标段名称</w:t>
      </w:r>
      <w:r>
        <w:rPr>
          <w:rFonts w:hint="eastAsia" w:ascii="Times New Roman" w:hAnsi="Times New Roman"/>
          <w:smallCaps w:val="0"/>
          <w:color w:val="000000" w:themeColor="text1"/>
          <w:szCs w:val="24"/>
          <w:highlight w:val="none"/>
          <w:u w:val="none"/>
          <w:lang w:eastAsia="zh-CN"/>
          <w14:textFill>
            <w14:solidFill>
              <w14:schemeClr w14:val="tx1"/>
            </w14:solidFill>
          </w14:textFill>
        </w:rPr>
        <w:t>：</w:t>
      </w:r>
      <w:r>
        <w:rPr>
          <w:rFonts w:hint="eastAsia" w:ascii="Times New Roman" w:hAnsi="Times New Roman"/>
          <w:smallCaps w:val="0"/>
          <w:color w:val="000000" w:themeColor="text1"/>
          <w:szCs w:val="24"/>
          <w:highlight w:val="none"/>
          <w14:textFill>
            <w14:solidFill>
              <w14:schemeClr w14:val="tx1"/>
            </w14:solidFill>
          </w14:textFill>
        </w:rPr>
        <w:t xml:space="preserve">                                  第   页共  页</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2986"/>
        <w:gridCol w:w="1191"/>
        <w:gridCol w:w="1264"/>
        <w:gridCol w:w="1549"/>
        <w:gridCol w:w="896"/>
      </w:tblGrid>
      <w:tr w14:paraId="2E6C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478" w:type="pct"/>
            <w:noWrap w:val="0"/>
            <w:vAlign w:val="center"/>
          </w:tcPr>
          <w:p w14:paraId="6D2037E2">
            <w:pPr>
              <w:pStyle w:val="8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712" w:type="pct"/>
            <w:noWrap w:val="0"/>
            <w:vAlign w:val="center"/>
          </w:tcPr>
          <w:p w14:paraId="7D771A76">
            <w:pPr>
              <w:pStyle w:val="8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default" w:ascii="Times New Roman" w:hAnsi="Times New Roman"/>
                <w:smallCaps w:val="0"/>
                <w:color w:val="000000" w:themeColor="text1"/>
                <w:highlight w:val="none"/>
                <w14:textFill>
                  <w14:solidFill>
                    <w14:schemeClr w14:val="tx1"/>
                  </w14:solidFill>
                </w14:textFill>
              </w:rPr>
              <w:t>名称、规格</w:t>
            </w:r>
            <w:r>
              <w:rPr>
                <w:rFonts w:hint="eastAsia" w:ascii="Times New Roman" w:hAnsi="Times New Roman"/>
                <w:smallCaps w:val="0"/>
                <w:color w:val="000000" w:themeColor="text1"/>
                <w:highlight w:val="none"/>
                <w14:textFill>
                  <w14:solidFill>
                    <w14:schemeClr w14:val="tx1"/>
                  </w14:solidFill>
                </w14:textFill>
              </w:rPr>
              <w:t xml:space="preserve"> 、</w:t>
            </w:r>
            <w:r>
              <w:rPr>
                <w:rFonts w:hint="default" w:ascii="Times New Roman" w:hAnsi="Times New Roman"/>
                <w:smallCaps w:val="0"/>
                <w:color w:val="000000" w:themeColor="text1"/>
                <w:highlight w:val="none"/>
                <w14:textFill>
                  <w14:solidFill>
                    <w14:schemeClr w14:val="tx1"/>
                  </w14:solidFill>
                </w14:textFill>
              </w:rPr>
              <w:t>型号</w:t>
            </w:r>
          </w:p>
        </w:tc>
        <w:tc>
          <w:tcPr>
            <w:tcW w:w="683" w:type="pct"/>
            <w:noWrap w:val="0"/>
            <w:vAlign w:val="center"/>
          </w:tcPr>
          <w:p w14:paraId="14C38707">
            <w:pPr>
              <w:pStyle w:val="8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计量</w:t>
            </w:r>
            <w:r>
              <w:rPr>
                <w:rFonts w:hint="default" w:ascii="Times New Roman" w:hAnsi="Times New Roman"/>
                <w:smallCaps w:val="0"/>
                <w:color w:val="000000" w:themeColor="text1"/>
                <w:highlight w:val="none"/>
                <w14:textFill>
                  <w14:solidFill>
                    <w14:schemeClr w14:val="tx1"/>
                  </w14:solidFill>
                </w14:textFill>
              </w:rPr>
              <w:t>单位</w:t>
            </w:r>
          </w:p>
        </w:tc>
        <w:tc>
          <w:tcPr>
            <w:tcW w:w="725" w:type="pct"/>
            <w:noWrap w:val="0"/>
            <w:vAlign w:val="center"/>
          </w:tcPr>
          <w:p w14:paraId="2075364A">
            <w:pPr>
              <w:pStyle w:val="8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888" w:type="pct"/>
            <w:noWrap w:val="0"/>
            <w:vAlign w:val="center"/>
          </w:tcPr>
          <w:p w14:paraId="66F84230">
            <w:pPr>
              <w:pStyle w:val="8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投标单价（</w:t>
            </w:r>
            <w:r>
              <w:rPr>
                <w:rFonts w:hint="default" w:ascii="Times New Roman" w:hAnsi="Times New Roman"/>
                <w:smallCaps w:val="0"/>
                <w:color w:val="000000" w:themeColor="text1"/>
                <w:highlight w:val="none"/>
                <w14:textFill>
                  <w14:solidFill>
                    <w14:schemeClr w14:val="tx1"/>
                  </w14:solidFill>
                </w14:textFill>
              </w:rPr>
              <w:t>元）</w:t>
            </w:r>
          </w:p>
        </w:tc>
        <w:tc>
          <w:tcPr>
            <w:tcW w:w="514" w:type="pct"/>
            <w:noWrap w:val="0"/>
            <w:vAlign w:val="center"/>
          </w:tcPr>
          <w:p w14:paraId="090EA525">
            <w:pPr>
              <w:pStyle w:val="81"/>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3668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noWrap w:val="0"/>
            <w:vAlign w:val="center"/>
          </w:tcPr>
          <w:p w14:paraId="23F6C9BE">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1712" w:type="pct"/>
            <w:noWrap w:val="0"/>
            <w:vAlign w:val="center"/>
          </w:tcPr>
          <w:p w14:paraId="2B1280D2">
            <w:pPr>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683" w:type="pct"/>
            <w:noWrap w:val="0"/>
            <w:vAlign w:val="center"/>
          </w:tcPr>
          <w:p w14:paraId="6D0A4D0B">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725" w:type="pct"/>
            <w:noWrap w:val="0"/>
            <w:vAlign w:val="center"/>
          </w:tcPr>
          <w:p w14:paraId="101740E4">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888" w:type="pct"/>
            <w:noWrap w:val="0"/>
            <w:vAlign w:val="center"/>
          </w:tcPr>
          <w:p w14:paraId="4189B6CB">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514" w:type="pct"/>
            <w:noWrap w:val="0"/>
            <w:vAlign w:val="center"/>
          </w:tcPr>
          <w:p w14:paraId="2C97B726">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r>
      <w:tr w14:paraId="42C0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noWrap w:val="0"/>
            <w:vAlign w:val="center"/>
          </w:tcPr>
          <w:p w14:paraId="3636C940">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1712" w:type="pct"/>
            <w:noWrap w:val="0"/>
            <w:vAlign w:val="center"/>
          </w:tcPr>
          <w:p w14:paraId="74A3AE35">
            <w:pPr>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683" w:type="pct"/>
            <w:noWrap w:val="0"/>
            <w:vAlign w:val="center"/>
          </w:tcPr>
          <w:p w14:paraId="1E373483">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725" w:type="pct"/>
            <w:noWrap w:val="0"/>
            <w:vAlign w:val="center"/>
          </w:tcPr>
          <w:p w14:paraId="20D3CE63">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888" w:type="pct"/>
            <w:noWrap w:val="0"/>
            <w:vAlign w:val="center"/>
          </w:tcPr>
          <w:p w14:paraId="1D664C42">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514" w:type="pct"/>
            <w:noWrap w:val="0"/>
            <w:vAlign w:val="center"/>
          </w:tcPr>
          <w:p w14:paraId="005BD86E">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r>
      <w:tr w14:paraId="5792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noWrap w:val="0"/>
            <w:vAlign w:val="center"/>
          </w:tcPr>
          <w:p w14:paraId="279B6367">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1712" w:type="pct"/>
            <w:noWrap w:val="0"/>
            <w:vAlign w:val="center"/>
          </w:tcPr>
          <w:p w14:paraId="45EED3CB">
            <w:pPr>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683" w:type="pct"/>
            <w:noWrap w:val="0"/>
            <w:vAlign w:val="center"/>
          </w:tcPr>
          <w:p w14:paraId="239CC65B">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725" w:type="pct"/>
            <w:noWrap w:val="0"/>
            <w:vAlign w:val="center"/>
          </w:tcPr>
          <w:p w14:paraId="693DCBF7">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888" w:type="pct"/>
            <w:noWrap w:val="0"/>
            <w:vAlign w:val="center"/>
          </w:tcPr>
          <w:p w14:paraId="10F5151A">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514" w:type="pct"/>
            <w:noWrap w:val="0"/>
            <w:vAlign w:val="center"/>
          </w:tcPr>
          <w:p w14:paraId="131FEEEC">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r>
      <w:tr w14:paraId="6DED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noWrap w:val="0"/>
            <w:vAlign w:val="center"/>
          </w:tcPr>
          <w:p w14:paraId="1075266D">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1712" w:type="pct"/>
            <w:noWrap w:val="0"/>
            <w:vAlign w:val="center"/>
          </w:tcPr>
          <w:p w14:paraId="4E69CE08">
            <w:pPr>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683" w:type="pct"/>
            <w:noWrap w:val="0"/>
            <w:vAlign w:val="center"/>
          </w:tcPr>
          <w:p w14:paraId="74B085EC">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725" w:type="pct"/>
            <w:noWrap w:val="0"/>
            <w:vAlign w:val="center"/>
          </w:tcPr>
          <w:p w14:paraId="5C1760C4">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888" w:type="pct"/>
            <w:noWrap w:val="0"/>
            <w:vAlign w:val="center"/>
          </w:tcPr>
          <w:p w14:paraId="6055BF5B">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514" w:type="pct"/>
            <w:noWrap w:val="0"/>
            <w:vAlign w:val="center"/>
          </w:tcPr>
          <w:p w14:paraId="477E7164">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r>
      <w:tr w14:paraId="25B1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noWrap w:val="0"/>
            <w:vAlign w:val="center"/>
          </w:tcPr>
          <w:p w14:paraId="00DCB742">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1712" w:type="pct"/>
            <w:noWrap w:val="0"/>
            <w:vAlign w:val="center"/>
          </w:tcPr>
          <w:p w14:paraId="1CA5D6AE">
            <w:pPr>
              <w:keepNext w:val="0"/>
              <w:keepLines w:val="0"/>
              <w:pageBreakBefore w:val="0"/>
              <w:suppressLineNumbers w:val="0"/>
              <w:kinsoku/>
              <w:wordWrap w:val="0"/>
              <w:overflowPunct/>
              <w:bidi w:val="0"/>
              <w:spacing w:before="0" w:beforeAutospacing="0" w:after="0" w:afterAutospacing="0"/>
              <w:ind w:left="0" w:right="0"/>
              <w:rPr>
                <w:rFonts w:hint="default" w:ascii="Times New Roman" w:hAnsi="Times New Roman"/>
                <w:smallCaps w:val="0"/>
                <w:color w:val="000000" w:themeColor="text1"/>
                <w:highlight w:val="none"/>
                <w14:textFill>
                  <w14:solidFill>
                    <w14:schemeClr w14:val="tx1"/>
                  </w14:solidFill>
                </w14:textFill>
              </w:rPr>
            </w:pPr>
          </w:p>
        </w:tc>
        <w:tc>
          <w:tcPr>
            <w:tcW w:w="683" w:type="pct"/>
            <w:noWrap w:val="0"/>
            <w:vAlign w:val="center"/>
          </w:tcPr>
          <w:p w14:paraId="7884EEB3">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725" w:type="pct"/>
            <w:noWrap w:val="0"/>
            <w:vAlign w:val="center"/>
          </w:tcPr>
          <w:p w14:paraId="09008DE4">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888" w:type="pct"/>
            <w:noWrap w:val="0"/>
            <w:vAlign w:val="center"/>
          </w:tcPr>
          <w:p w14:paraId="6291AD94">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c>
          <w:tcPr>
            <w:tcW w:w="514" w:type="pct"/>
            <w:noWrap w:val="0"/>
            <w:vAlign w:val="center"/>
          </w:tcPr>
          <w:p w14:paraId="586200C0">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smallCaps w:val="0"/>
                <w:color w:val="000000" w:themeColor="text1"/>
                <w:highlight w:val="none"/>
                <w14:textFill>
                  <w14:solidFill>
                    <w14:schemeClr w14:val="tx1"/>
                  </w14:solidFill>
                </w14:textFill>
              </w:rPr>
            </w:pPr>
          </w:p>
        </w:tc>
      </w:tr>
    </w:tbl>
    <w:p w14:paraId="019C9C76">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说明</w:t>
      </w:r>
      <w:r>
        <w:rPr>
          <w:rFonts w:hint="eastAsia" w:ascii="Times New Roman" w:hAnsi="Times New Roman"/>
          <w:smallCaps w:val="0"/>
          <w:color w:val="000000" w:themeColor="text1"/>
          <w:highlight w:val="none"/>
          <w:lang w:eastAsia="zh-CN"/>
          <w14:textFill>
            <w14:solidFill>
              <w14:schemeClr w14:val="tx1"/>
            </w14:solidFill>
          </w14:textFill>
        </w:rPr>
        <w:t>：</w:t>
      </w:r>
    </w:p>
    <w:p w14:paraId="387F429D">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1.本表由投标人编制，是投标文件的组成部分，应作为评标委员会需评审的内容。</w:t>
      </w:r>
    </w:p>
    <w:p w14:paraId="7444606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2.投标人应响应《可调整价差人工和主要材料一览表》的内容，其中列表中第1列（序号）、第2列（名称、规格 、型号）、第3列（计量单位）、第4列（数量）内容不得修改，且不得增删或改变顺序。</w:t>
      </w:r>
    </w:p>
    <w:p w14:paraId="2E154F47">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3.投标人在投标报价时，其人工费工日单价不得低于工程所在地政府发布的最低工资标准折算的工日单价。</w:t>
      </w:r>
    </w:p>
    <w:p w14:paraId="1C6AC211">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p>
    <w:p w14:paraId="10095A25">
      <w:pPr>
        <w:pageBreakBefore w:val="0"/>
        <w:kinsoku/>
        <w:wordWrap w:val="0"/>
        <w:overflowPunct/>
        <w:bidi w:val="0"/>
        <w:jc w:val="center"/>
        <w:rPr>
          <w:rFonts w:hint="eastAsia" w:ascii="Times New Roman" w:hAnsi="Times New Roman" w:cs="宋体"/>
          <w:smallCaps w:val="0"/>
          <w:color w:val="000000" w:themeColor="text1"/>
          <w:highlight w:val="none"/>
          <w14:textFill>
            <w14:solidFill>
              <w14:schemeClr w14:val="tx1"/>
            </w14:solidFill>
          </w14:textFill>
        </w:rPr>
      </w:pPr>
    </w:p>
    <w:p w14:paraId="1B6BC6F4">
      <w:pPr>
        <w:pageBreakBefore w:val="0"/>
        <w:kinsoku/>
        <w:wordWrap w:val="0"/>
        <w:overflowPunct/>
        <w:bidi w:val="0"/>
        <w:jc w:val="center"/>
        <w:outlineLvl w:val="9"/>
        <w:rPr>
          <w:rStyle w:val="73"/>
          <w:rFonts w:hint="eastAsia" w:ascii="Times New Roman" w:hAnsi="Times New Roman"/>
          <w:smallCaps w:val="0"/>
          <w:color w:val="000000" w:themeColor="text1"/>
          <w:highlight w:val="none"/>
          <w14:textFill>
            <w14:solidFill>
              <w14:schemeClr w14:val="tx1"/>
            </w14:solidFill>
          </w14:textFill>
        </w:rPr>
      </w:pPr>
      <w:bookmarkStart w:id="1885" w:name="_Toc560"/>
      <w:bookmarkStart w:id="1886" w:name="_Toc21470"/>
      <w:bookmarkStart w:id="1887" w:name="_Toc19809"/>
      <w:bookmarkStart w:id="1888" w:name="_Toc6527"/>
      <w:bookmarkStart w:id="1889" w:name="_Toc26452"/>
      <w:bookmarkStart w:id="1890" w:name="_Toc27318"/>
      <w:bookmarkStart w:id="1891" w:name="_Toc18286"/>
      <w:bookmarkStart w:id="1892" w:name="_Toc26607"/>
      <w:r>
        <w:rPr>
          <w:rStyle w:val="73"/>
          <w:rFonts w:hint="eastAsia" w:ascii="Times New Roman" w:hAnsi="Times New Roman"/>
          <w:smallCaps w:val="0"/>
          <w:color w:val="000000" w:themeColor="text1"/>
          <w:highlight w:val="none"/>
          <w14:textFill>
            <w14:solidFill>
              <w14:schemeClr w14:val="tx1"/>
            </w14:solidFill>
          </w14:textFill>
        </w:rPr>
        <w:t>（二十</w:t>
      </w:r>
      <w:r>
        <w:rPr>
          <w:rStyle w:val="73"/>
          <w:rFonts w:hint="eastAsia" w:ascii="Times New Roman" w:hAnsi="Times New Roman"/>
          <w:smallCaps w:val="0"/>
          <w:color w:val="000000" w:themeColor="text1"/>
          <w:highlight w:val="none"/>
          <w:lang w:eastAsia="zh-CN"/>
          <w14:textFill>
            <w14:solidFill>
              <w14:schemeClr w14:val="tx1"/>
            </w14:solidFill>
          </w14:textFill>
        </w:rPr>
        <w:t>一</w:t>
      </w:r>
      <w:r>
        <w:rPr>
          <w:rStyle w:val="73"/>
          <w:rFonts w:hint="eastAsia" w:ascii="Times New Roman" w:hAnsi="Times New Roman"/>
          <w:smallCaps w:val="0"/>
          <w:color w:val="000000" w:themeColor="text1"/>
          <w:highlight w:val="none"/>
          <w14:textFill>
            <w14:solidFill>
              <w14:schemeClr w14:val="tx1"/>
            </w14:solidFill>
          </w14:textFill>
        </w:rPr>
        <w:t>）投标报价需要说明的其他资料</w:t>
      </w:r>
      <w:bookmarkEnd w:id="1881"/>
      <w:bookmarkEnd w:id="1882"/>
      <w:bookmarkEnd w:id="1883"/>
      <w:bookmarkEnd w:id="1885"/>
      <w:bookmarkEnd w:id="1886"/>
      <w:bookmarkEnd w:id="1887"/>
      <w:bookmarkEnd w:id="1888"/>
      <w:bookmarkEnd w:id="1889"/>
      <w:bookmarkEnd w:id="1890"/>
      <w:bookmarkEnd w:id="1891"/>
      <w:bookmarkEnd w:id="1892"/>
    </w:p>
    <w:p w14:paraId="4801810A">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p>
    <w:p w14:paraId="61A39266">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投标人认为需对其投标报价进行其他补充说明及证明材料。</w:t>
      </w:r>
    </w:p>
    <w:p w14:paraId="5B6770E3">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投标人在制作投标文件时该页可放置在报价文件</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投标所需证明材料中。</w:t>
      </w:r>
    </w:p>
    <w:p w14:paraId="20FAA9E6">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br w:type="page"/>
      </w:r>
    </w:p>
    <w:p w14:paraId="62B77B0C">
      <w:pPr>
        <w:pStyle w:val="3"/>
        <w:pageBreakBefore w:val="0"/>
        <w:kinsoku/>
        <w:wordWrap w:val="0"/>
        <w:overflowPunct/>
        <w:bidi w:val="0"/>
        <w:jc w:val="center"/>
        <w:rPr>
          <w:rFonts w:hint="eastAsia" w:ascii="Times New Roman" w:hAnsi="Times New Roman" w:eastAsia="黑体"/>
          <w:smallCaps w:val="0"/>
          <w:color w:val="000000" w:themeColor="text1"/>
          <w:sz w:val="32"/>
          <w:szCs w:val="32"/>
          <w:highlight w:val="none"/>
          <w:lang w:eastAsia="zh-CN"/>
          <w14:textFill>
            <w14:solidFill>
              <w14:schemeClr w14:val="tx1"/>
            </w14:solidFill>
          </w14:textFill>
        </w:rPr>
      </w:pPr>
      <w:bookmarkStart w:id="1893" w:name="_Toc18346"/>
      <w:r>
        <w:rPr>
          <w:rFonts w:hint="eastAsia" w:ascii="Times New Roman" w:hAnsi="Times New Roman" w:cs="宋体"/>
          <w:smallCaps w:val="0"/>
          <w:color w:val="000000" w:themeColor="text1"/>
          <w:sz w:val="32"/>
          <w:szCs w:val="32"/>
          <w:highlight w:val="none"/>
          <w:lang w:eastAsia="zh-CN"/>
          <w14:textFill>
            <w14:solidFill>
              <w14:schemeClr w14:val="tx1"/>
            </w14:solidFill>
          </w14:textFill>
        </w:rPr>
        <w:t>三、其他资料</w:t>
      </w:r>
      <w:bookmarkEnd w:id="1893"/>
    </w:p>
    <w:p w14:paraId="582E2CF3">
      <w:pPr>
        <w:pageBreakBefore w:val="0"/>
        <w:kinsoku/>
        <w:wordWrap w:val="0"/>
        <w:overflowPunct/>
        <w:bidi w:val="0"/>
        <w:jc w:val="center"/>
        <w:rPr>
          <w:rFonts w:hint="eastAsia" w:ascii="Times New Roman" w:hAnsi="Times New Roman" w:cs="宋体"/>
          <w:smallCaps w:val="0"/>
          <w:color w:val="000000" w:themeColor="text1"/>
          <w:sz w:val="32"/>
          <w:szCs w:val="32"/>
          <w:highlight w:val="none"/>
          <w14:textFill>
            <w14:solidFill>
              <w14:schemeClr w14:val="tx1"/>
            </w14:solidFill>
          </w14:textFill>
        </w:rPr>
      </w:pPr>
      <w:r>
        <w:rPr>
          <w:rFonts w:hint="eastAsia" w:ascii="Times New Roman" w:hAnsi="Times New Roman" w:cs="宋体"/>
          <w:b/>
          <w:bCs/>
          <w:smallCaps w:val="0"/>
          <w:color w:val="000000" w:themeColor="text1"/>
          <w:kern w:val="0"/>
          <w:sz w:val="32"/>
          <w:szCs w:val="32"/>
          <w:highlight w:val="none"/>
          <w14:textFill>
            <w14:solidFill>
              <w14:schemeClr w14:val="tx1"/>
            </w14:solidFill>
          </w14:textFill>
        </w:rPr>
        <w:br w:type="page"/>
      </w:r>
    </w:p>
    <w:p w14:paraId="0A24F90C">
      <w:pPr>
        <w:pageBreakBefore w:val="0"/>
        <w:kinsoku/>
        <w:wordWrap w:val="0"/>
        <w:overflowPunct/>
        <w:autoSpaceDE w:val="0"/>
        <w:autoSpaceDN w:val="0"/>
        <w:bidi w:val="0"/>
        <w:adjustRightInd w:val="0"/>
        <w:snapToGrid w:val="0"/>
        <w:spacing w:line="360" w:lineRule="auto"/>
        <w:jc w:val="center"/>
        <w:outlineLvl w:val="0"/>
        <w:rPr>
          <w:rFonts w:hint="eastAsia" w:ascii="Times New Roman" w:hAnsi="Times New Roman" w:cs="宋体"/>
          <w:smallCaps w:val="0"/>
          <w:color w:val="000000" w:themeColor="text1"/>
          <w:kern w:val="0"/>
          <w:sz w:val="24"/>
          <w:szCs w:val="22"/>
          <w:highlight w:val="none"/>
          <w14:textFill>
            <w14:solidFill>
              <w14:schemeClr w14:val="tx1"/>
            </w14:solidFill>
          </w14:textFill>
        </w:rPr>
      </w:pPr>
    </w:p>
    <w:p w14:paraId="0BC1B608">
      <w:pPr>
        <w:pageBreakBefore w:val="0"/>
        <w:kinsoku/>
        <w:wordWrap w:val="0"/>
        <w:overflowPunct/>
        <w:autoSpaceDE w:val="0"/>
        <w:autoSpaceDN w:val="0"/>
        <w:bidi w:val="0"/>
        <w:adjustRightInd w:val="0"/>
        <w:snapToGrid w:val="0"/>
        <w:spacing w:line="360" w:lineRule="auto"/>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p w14:paraId="14838143">
      <w:pPr>
        <w:pageBreakBefore w:val="0"/>
        <w:kinsoku/>
        <w:wordWrap w:val="0"/>
        <w:overflowPunct/>
        <w:bidi w:val="0"/>
        <w:adjustRightInd/>
        <w:spacing w:line="240" w:lineRule="auto"/>
        <w:jc w:val="center"/>
        <w:rPr>
          <w:rFonts w:hint="eastAsia" w:ascii="Times New Roman" w:hAnsi="Times New Roman" w:eastAsia="黑体"/>
          <w:smallCaps w:val="0"/>
          <w:color w:val="000000" w:themeColor="text1"/>
          <w:sz w:val="28"/>
          <w:szCs w:val="28"/>
          <w:highlight w:val="none"/>
          <w14:textFill>
            <w14:solidFill>
              <w14:schemeClr w14:val="tx1"/>
            </w14:solidFill>
          </w14:textFill>
        </w:rPr>
      </w:pPr>
      <w:r>
        <w:rPr>
          <w:rFonts w:hint="eastAsia" w:ascii="Times New Roman" w:hAnsi="Times New Roman" w:eastAsia="黑体"/>
          <w:smallCaps w:val="0"/>
          <w:color w:val="000000" w:themeColor="text1"/>
          <w:sz w:val="28"/>
          <w:szCs w:val="28"/>
          <w:highlight w:val="none"/>
          <w:u w:val="single"/>
          <w14:textFill>
            <w14:solidFill>
              <w14:schemeClr w14:val="tx1"/>
            </w14:solidFill>
          </w14:textFill>
        </w:rPr>
        <w:t xml:space="preserve">             </w:t>
      </w:r>
      <w:bookmarkStart w:id="1894" w:name="_Toc18790"/>
      <w:bookmarkStart w:id="1895" w:name="_Toc15062"/>
      <w:bookmarkStart w:id="1896" w:name="_Toc31051"/>
      <w:bookmarkStart w:id="1897" w:name="_Toc1117"/>
      <w:bookmarkStart w:id="1898" w:name="_Toc29813"/>
      <w:bookmarkStart w:id="1899" w:name="_Toc21682"/>
      <w:bookmarkStart w:id="1900" w:name="_Toc19891"/>
      <w:bookmarkStart w:id="1901" w:name="_Toc18406"/>
      <w:r>
        <w:rPr>
          <w:rFonts w:hint="eastAsia" w:ascii="Times New Roman" w:hAnsi="Times New Roman" w:eastAsia="黑体"/>
          <w:smallCaps w:val="0"/>
          <w:color w:val="000000" w:themeColor="text1"/>
          <w:sz w:val="28"/>
          <w:szCs w:val="28"/>
          <w:highlight w:val="none"/>
          <w14:textFill>
            <w14:solidFill>
              <w14:schemeClr w14:val="tx1"/>
            </w14:solidFill>
          </w14:textFill>
        </w:rPr>
        <w:t>（招标项目名称</w:t>
      </w:r>
      <w:r>
        <w:rPr>
          <w:rFonts w:hint="eastAsia" w:ascii="Times New Roman" w:hAnsi="Times New Roman" w:eastAsia="黑体"/>
          <w:smallCaps w:val="0"/>
          <w:color w:val="000000" w:themeColor="text1"/>
          <w:sz w:val="28"/>
          <w:szCs w:val="28"/>
          <w:highlight w:val="none"/>
          <w:lang w:eastAsia="zh-CN"/>
          <w14:textFill>
            <w14:solidFill>
              <w14:schemeClr w14:val="tx1"/>
            </w14:solidFill>
          </w14:textFill>
        </w:rPr>
        <w:t>）</w:t>
      </w:r>
      <w:r>
        <w:rPr>
          <w:rFonts w:hint="eastAsia" w:ascii="Times New Roman" w:hAnsi="Times New Roman" w:eastAsia="黑体"/>
          <w:smallCaps w:val="0"/>
          <w:color w:val="000000" w:themeColor="text1"/>
          <w:sz w:val="28"/>
          <w:szCs w:val="28"/>
          <w:highlight w:val="none"/>
          <w:u w:val="single"/>
          <w14:textFill>
            <w14:solidFill>
              <w14:schemeClr w14:val="tx1"/>
            </w14:solidFill>
          </w14:textFill>
        </w:rPr>
        <w:t xml:space="preserve">     </w:t>
      </w:r>
      <w:r>
        <w:rPr>
          <w:rFonts w:hint="eastAsia" w:ascii="Times New Roman" w:hAnsi="Times New Roman" w:eastAsia="黑体"/>
          <w:smallCaps w:val="0"/>
          <w:color w:val="000000" w:themeColor="text1"/>
          <w:sz w:val="28"/>
          <w:szCs w:val="28"/>
          <w:highlight w:val="none"/>
          <w14:textFill>
            <w14:solidFill>
              <w14:schemeClr w14:val="tx1"/>
            </w14:solidFill>
          </w14:textFill>
        </w:rPr>
        <w:t>标段施工招标</w:t>
      </w:r>
      <w:bookmarkEnd w:id="1894"/>
      <w:bookmarkEnd w:id="1895"/>
      <w:bookmarkEnd w:id="1896"/>
      <w:bookmarkEnd w:id="1897"/>
      <w:bookmarkEnd w:id="1898"/>
      <w:bookmarkEnd w:id="1899"/>
      <w:bookmarkEnd w:id="1900"/>
      <w:bookmarkEnd w:id="1901"/>
    </w:p>
    <w:p w14:paraId="70C69DC6">
      <w:pPr>
        <w:pageBreakBefore w:val="0"/>
        <w:tabs>
          <w:tab w:val="left" w:pos="3600"/>
          <w:tab w:val="left" w:pos="4480"/>
          <w:tab w:val="left" w:pos="5360"/>
        </w:tabs>
        <w:kinsoku/>
        <w:wordWrap w:val="0"/>
        <w:overflowPunct/>
        <w:autoSpaceDE w:val="0"/>
        <w:autoSpaceDN w:val="0"/>
        <w:bidi w:val="0"/>
        <w:adjustRightInd w:val="0"/>
        <w:snapToGrid w:val="0"/>
        <w:spacing w:line="360" w:lineRule="auto"/>
        <w:jc w:val="left"/>
        <w:rPr>
          <w:rFonts w:hint="eastAsia" w:ascii="Times New Roman" w:hAnsi="Times New Roman" w:cs="宋体"/>
          <w:smallCaps w:val="0"/>
          <w:color w:val="000000" w:themeColor="text1"/>
          <w:kern w:val="0"/>
          <w:sz w:val="44"/>
          <w:szCs w:val="22"/>
          <w:highlight w:val="none"/>
          <w14:textFill>
            <w14:solidFill>
              <w14:schemeClr w14:val="tx1"/>
            </w14:solidFill>
          </w14:textFill>
        </w:rPr>
      </w:pPr>
    </w:p>
    <w:p w14:paraId="3923E4E8">
      <w:pPr>
        <w:pageBreakBefore w:val="0"/>
        <w:kinsoku/>
        <w:wordWrap w:val="0"/>
        <w:overflowPunct/>
        <w:bidi w:val="0"/>
        <w:spacing w:before="240" w:beforeLines="100"/>
        <w:jc w:val="center"/>
        <w:rPr>
          <w:rFonts w:hint="eastAsia" w:ascii="Times New Roman" w:hAnsi="Times New Roman" w:cs="宋体"/>
          <w:smallCaps w:val="0"/>
          <w:color w:val="000000" w:themeColor="text1"/>
          <w:sz w:val="44"/>
          <w:szCs w:val="44"/>
          <w:highlight w:val="none"/>
          <w14:textFill>
            <w14:solidFill>
              <w14:schemeClr w14:val="tx1"/>
            </w14:solidFill>
          </w14:textFill>
        </w:rPr>
      </w:pPr>
    </w:p>
    <w:p w14:paraId="36482A9A">
      <w:pPr>
        <w:pStyle w:val="77"/>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bookmarkStart w:id="1902" w:name="_Toc24038"/>
      <w:bookmarkStart w:id="1903" w:name="_Toc17120"/>
      <w:bookmarkStart w:id="1904" w:name="_Toc27243"/>
      <w:r>
        <w:rPr>
          <w:rFonts w:hint="eastAsia" w:ascii="Times New Roman" w:hAnsi="Times New Roman"/>
          <w:smallCaps w:val="0"/>
          <w:color w:val="000000" w:themeColor="text1"/>
          <w:highlight w:val="none"/>
          <w14:textFill>
            <w14:solidFill>
              <w14:schemeClr w14:val="tx1"/>
            </w14:solidFill>
          </w14:textFill>
        </w:rPr>
        <w:t>投  标  文  件</w:t>
      </w:r>
      <w:bookmarkEnd w:id="1902"/>
    </w:p>
    <w:p w14:paraId="0096D4FD">
      <w:pPr>
        <w:pStyle w:val="77"/>
        <w:pageBreakBefore w:val="0"/>
        <w:kinsoku/>
        <w:wordWrap w:val="0"/>
        <w:overflowPunct/>
        <w:bidi w:val="0"/>
        <w:jc w:val="center"/>
        <w:rPr>
          <w:rFonts w:hint="eastAsia" w:ascii="Times New Roman" w:hAnsi="Times New Roman"/>
          <w:smallCaps w:val="0"/>
          <w:color w:val="000000" w:themeColor="text1"/>
          <w:highlight w:val="none"/>
          <w14:textFill>
            <w14:solidFill>
              <w14:schemeClr w14:val="tx1"/>
            </w14:solidFill>
          </w14:textFill>
        </w:rPr>
      </w:pPr>
      <w:bookmarkStart w:id="1905" w:name="_Toc10889"/>
      <w:bookmarkStart w:id="1906" w:name="_Toc28030"/>
      <w:r>
        <w:rPr>
          <w:rFonts w:hint="eastAsia" w:ascii="Times New Roman" w:hAnsi="Times New Roman"/>
          <w:smallCaps w:val="0"/>
          <w:color w:val="000000" w:themeColor="text1"/>
          <w:highlight w:val="none"/>
          <w14:textFill>
            <w14:solidFill>
              <w14:schemeClr w14:val="tx1"/>
            </w14:solidFill>
          </w14:textFill>
        </w:rPr>
        <w:t>（技术文件）</w:t>
      </w:r>
      <w:bookmarkEnd w:id="1903"/>
      <w:bookmarkEnd w:id="1904"/>
      <w:bookmarkEnd w:id="1905"/>
      <w:bookmarkEnd w:id="1906"/>
    </w:p>
    <w:p w14:paraId="09C82641">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095F868">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52D4A35A">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098D5F94">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7515DAD">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112E84DB">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0C7A86AC">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0E305155">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530EA691">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4324E90D">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04AA978E">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7C9831F6">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79820A06">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b/>
          <w:bCs/>
          <w:smallCaps w:val="0"/>
          <w:color w:val="000000" w:themeColor="text1"/>
          <w:kern w:val="0"/>
          <w:sz w:val="20"/>
          <w:szCs w:val="22"/>
          <w:highlight w:val="none"/>
          <w14:textFill>
            <w14:solidFill>
              <w14:schemeClr w14:val="tx1"/>
            </w14:solidFill>
          </w14:textFill>
        </w:rPr>
      </w:pPr>
    </w:p>
    <w:p w14:paraId="6E2987C7">
      <w:pPr>
        <w:pStyle w:val="6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bookmarkStart w:id="1907" w:name="_Toc20516"/>
      <w:bookmarkStart w:id="1908" w:name="_Toc5132"/>
      <w:bookmarkStart w:id="1909" w:name="_Toc30988"/>
      <w:bookmarkStart w:id="1910" w:name="_Toc1855"/>
      <w:bookmarkStart w:id="1911" w:name="_Toc16446"/>
      <w:bookmarkStart w:id="1912" w:name="_Toc2890"/>
      <w:bookmarkStart w:id="1913" w:name="_Toc31927"/>
      <w:bookmarkStart w:id="1914" w:name="_Toc788"/>
      <w:r>
        <w:rPr>
          <w:rFonts w:hint="eastAsia" w:ascii="Times New Roman" w:hAnsi="Times New Roman"/>
          <w:smallCaps w:val="0"/>
          <w:color w:val="000000" w:themeColor="text1"/>
          <w:highlight w:val="none"/>
          <w14:textFill>
            <w14:solidFill>
              <w14:schemeClr w14:val="tx1"/>
            </w14:solidFill>
          </w14:textFill>
        </w:rPr>
        <w:t>投标人</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（盖单位章）</w:t>
      </w:r>
      <w:bookmarkEnd w:id="1907"/>
      <w:bookmarkEnd w:id="1908"/>
      <w:bookmarkEnd w:id="1909"/>
      <w:bookmarkEnd w:id="1910"/>
      <w:bookmarkEnd w:id="1911"/>
      <w:bookmarkEnd w:id="1912"/>
      <w:bookmarkEnd w:id="1913"/>
      <w:bookmarkEnd w:id="1914"/>
    </w:p>
    <w:p w14:paraId="34E2ADA7">
      <w:pPr>
        <w:pStyle w:val="6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u w:val="single"/>
          <w14:textFill>
            <w14:solidFill>
              <w14:schemeClr w14:val="tx1"/>
            </w14:solidFill>
          </w14:textFill>
        </w:rPr>
        <w:t xml:space="preserve">         </w:t>
      </w:r>
      <w:bookmarkStart w:id="1915" w:name="_Toc8285"/>
      <w:bookmarkStart w:id="1916" w:name="_Toc28408"/>
      <w:bookmarkStart w:id="1917" w:name="_Toc16152"/>
      <w:bookmarkStart w:id="1918" w:name="_Toc5870"/>
      <w:bookmarkStart w:id="1919" w:name="_Toc31253"/>
      <w:bookmarkStart w:id="1920" w:name="_Toc22323"/>
      <w:bookmarkStart w:id="1921" w:name="_Toc30654"/>
      <w:bookmarkStart w:id="1922" w:name="_Toc28150"/>
      <w:r>
        <w:rPr>
          <w:rFonts w:hint="eastAsia" w:ascii="Times New Roman" w:hAnsi="Times New Roman"/>
          <w:smallCaps w:val="0"/>
          <w:color w:val="000000" w:themeColor="text1"/>
          <w:highlight w:val="none"/>
          <w14:textFill>
            <w14:solidFill>
              <w14:schemeClr w14:val="tx1"/>
            </w14:solidFill>
          </w14:textFill>
        </w:rPr>
        <w:t>年</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月</w:t>
      </w:r>
      <w:r>
        <w:rPr>
          <w:rFonts w:hint="eastAsia" w:ascii="Times New Roman" w:hAnsi="Times New Roman"/>
          <w:smallCaps w:val="0"/>
          <w:color w:val="000000" w:themeColor="text1"/>
          <w:highlight w:val="none"/>
          <w:u w:val="single"/>
          <w14:textFill>
            <w14:solidFill>
              <w14:schemeClr w14:val="tx1"/>
            </w14:solidFill>
          </w14:textFill>
        </w:rPr>
        <w:t xml:space="preserve">         </w:t>
      </w:r>
      <w:r>
        <w:rPr>
          <w:rFonts w:hint="eastAsia" w:ascii="Times New Roman" w:hAnsi="Times New Roman"/>
          <w:smallCaps w:val="0"/>
          <w:color w:val="000000" w:themeColor="text1"/>
          <w:highlight w:val="none"/>
          <w14:textFill>
            <w14:solidFill>
              <w14:schemeClr w14:val="tx1"/>
            </w14:solidFill>
          </w14:textFill>
        </w:rPr>
        <w:t>日</w:t>
      </w:r>
      <w:bookmarkEnd w:id="1915"/>
      <w:bookmarkEnd w:id="1916"/>
      <w:bookmarkEnd w:id="1917"/>
      <w:bookmarkEnd w:id="1918"/>
      <w:bookmarkEnd w:id="1919"/>
      <w:bookmarkEnd w:id="1920"/>
      <w:bookmarkEnd w:id="1921"/>
      <w:bookmarkEnd w:id="1922"/>
    </w:p>
    <w:p w14:paraId="6C4D208A">
      <w:pPr>
        <w:pageBreakBefore w:val="0"/>
        <w:kinsoku/>
        <w:wordWrap w:val="0"/>
        <w:overflowPunct/>
        <w:bidi w:val="0"/>
        <w:rPr>
          <w:rFonts w:hint="eastAsia" w:ascii="Times New Roman" w:hAnsi="Times New Roman" w:cs="宋体"/>
          <w:b/>
          <w:bCs/>
          <w:smallCaps w:val="0"/>
          <w:color w:val="000000" w:themeColor="text1"/>
          <w:kern w:val="0"/>
          <w:sz w:val="32"/>
          <w:szCs w:val="22"/>
          <w:highlight w:val="none"/>
          <w14:textFill>
            <w14:solidFill>
              <w14:schemeClr w14:val="tx1"/>
            </w14:solidFill>
          </w14:textFill>
        </w:rPr>
      </w:pPr>
      <w:bookmarkStart w:id="1923" w:name="_Toc10003"/>
      <w:bookmarkStart w:id="1924" w:name="_Toc12756"/>
      <w:bookmarkStart w:id="1925" w:name="_Toc10489"/>
      <w:bookmarkStart w:id="1926" w:name="_Toc31366"/>
      <w:bookmarkStart w:id="1927" w:name="_Toc10197"/>
      <w:bookmarkStart w:id="1928" w:name="_Toc30166"/>
      <w:bookmarkStart w:id="1929" w:name="_Toc29394"/>
      <w:bookmarkStart w:id="1930" w:name="_Toc13093"/>
      <w:r>
        <w:rPr>
          <w:rFonts w:hint="eastAsia" w:ascii="Times New Roman" w:hAnsi="Times New Roman" w:cs="宋体"/>
          <w:b/>
          <w:bCs/>
          <w:smallCaps w:val="0"/>
          <w:color w:val="000000" w:themeColor="text1"/>
          <w:kern w:val="0"/>
          <w:sz w:val="32"/>
          <w:szCs w:val="22"/>
          <w:highlight w:val="none"/>
          <w14:textFill>
            <w14:solidFill>
              <w14:schemeClr w14:val="tx1"/>
            </w14:solidFill>
          </w14:textFill>
        </w:rPr>
        <w:br w:type="page"/>
      </w:r>
    </w:p>
    <w:p w14:paraId="69EB9CBD">
      <w:pPr>
        <w:pageBreakBefore w:val="0"/>
        <w:kinsoku/>
        <w:wordWrap w:val="0"/>
        <w:overflowPunct/>
        <w:autoSpaceDE w:val="0"/>
        <w:autoSpaceDN w:val="0"/>
        <w:bidi w:val="0"/>
        <w:adjustRightInd w:val="0"/>
        <w:snapToGrid w:val="0"/>
        <w:spacing w:line="360" w:lineRule="auto"/>
        <w:jc w:val="center"/>
        <w:outlineLvl w:val="9"/>
        <w:rPr>
          <w:rFonts w:hint="eastAsia" w:ascii="Times New Roman" w:hAnsi="Times New Roman" w:cs="宋体"/>
          <w:b/>
          <w:bCs/>
          <w:smallCaps w:val="0"/>
          <w:color w:val="000000" w:themeColor="text1"/>
          <w:kern w:val="0"/>
          <w:sz w:val="32"/>
          <w:szCs w:val="22"/>
          <w:highlight w:val="none"/>
          <w14:textFill>
            <w14:solidFill>
              <w14:schemeClr w14:val="tx1"/>
            </w14:solidFill>
          </w14:textFill>
        </w:rPr>
      </w:pPr>
      <w:r>
        <w:rPr>
          <w:rFonts w:hint="eastAsia" w:ascii="Times New Roman" w:hAnsi="Times New Roman" w:cs="宋体"/>
          <w:b/>
          <w:bCs/>
          <w:smallCaps w:val="0"/>
          <w:color w:val="000000" w:themeColor="text1"/>
          <w:kern w:val="0"/>
          <w:sz w:val="32"/>
          <w:szCs w:val="22"/>
          <w:highlight w:val="none"/>
          <w14:textFill>
            <w14:solidFill>
              <w14:schemeClr w14:val="tx1"/>
            </w14:solidFill>
          </w14:textFill>
        </w:rPr>
        <w:t>目  录</w:t>
      </w:r>
      <w:bookmarkEnd w:id="1923"/>
      <w:bookmarkEnd w:id="1924"/>
      <w:bookmarkEnd w:id="1925"/>
      <w:bookmarkEnd w:id="1926"/>
      <w:bookmarkEnd w:id="1927"/>
      <w:bookmarkEnd w:id="1928"/>
      <w:bookmarkEnd w:id="1929"/>
      <w:bookmarkEnd w:id="1930"/>
    </w:p>
    <w:p w14:paraId="141675A8">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14:textFill>
            <w14:solidFill>
              <w14:schemeClr w14:val="tx1"/>
            </w14:solidFill>
          </w14:textFill>
        </w:rPr>
      </w:pPr>
      <w:bookmarkStart w:id="1931" w:name="_Toc10586"/>
      <w:bookmarkStart w:id="1932" w:name="_Toc15882"/>
      <w:bookmarkStart w:id="1933" w:name="_Toc17249"/>
      <w:bookmarkStart w:id="1934" w:name="_Toc9969"/>
      <w:bookmarkStart w:id="1935" w:name="_Toc19579"/>
      <w:bookmarkStart w:id="1936" w:name="_Toc5877"/>
      <w:bookmarkStart w:id="1937" w:name="_Toc25625"/>
      <w:bookmarkStart w:id="1938" w:name="_Toc6709"/>
      <w:bookmarkStart w:id="1939" w:name="_Toc224103503"/>
      <w:r>
        <w:rPr>
          <w:rFonts w:hint="eastAsia" w:ascii="Times New Roman" w:hAnsi="Times New Roman"/>
          <w:smallCaps w:val="0"/>
          <w:color w:val="000000" w:themeColor="text1"/>
          <w:highlight w:val="none"/>
          <w14:textFill>
            <w14:solidFill>
              <w14:schemeClr w14:val="tx1"/>
            </w14:solidFill>
          </w14:textFill>
        </w:rPr>
        <w:t>一、施工组织设计（其内容和目录由投标人根据招标文件要求自行编制）</w:t>
      </w:r>
      <w:bookmarkEnd w:id="1931"/>
      <w:bookmarkEnd w:id="1932"/>
      <w:bookmarkEnd w:id="1933"/>
      <w:bookmarkEnd w:id="1934"/>
      <w:bookmarkEnd w:id="1935"/>
      <w:bookmarkEnd w:id="1936"/>
      <w:bookmarkEnd w:id="1937"/>
      <w:bookmarkEnd w:id="1938"/>
    </w:p>
    <w:p w14:paraId="35D92F77">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附表一  拟投入本标段的主要施工设备表</w:t>
      </w:r>
    </w:p>
    <w:p w14:paraId="0BB5842E">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附表二  拟配备本标段的试验和检测仪器设备表</w:t>
      </w:r>
    </w:p>
    <w:p w14:paraId="6DFD1D5F">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附表三  劳动力计划表</w:t>
      </w:r>
    </w:p>
    <w:p w14:paraId="573B88F0">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 xml:space="preserve">附表四  计划开、竣工日期和施工进度网络图 </w:t>
      </w:r>
    </w:p>
    <w:p w14:paraId="4E58D892">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附表五  施工总平面图</w:t>
      </w:r>
    </w:p>
    <w:p w14:paraId="40220D3B">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附表六  临时用地表</w:t>
      </w:r>
    </w:p>
    <w:p w14:paraId="5977DC84">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14:textFill>
            <w14:solidFill>
              <w14:schemeClr w14:val="tx1"/>
            </w14:solidFill>
          </w14:textFill>
        </w:rPr>
      </w:pPr>
      <w:bookmarkStart w:id="1940" w:name="_Toc11969"/>
      <w:bookmarkStart w:id="1941" w:name="_Toc14669"/>
      <w:bookmarkStart w:id="1942" w:name="_Toc25163"/>
      <w:bookmarkStart w:id="1943" w:name="_Toc26608"/>
      <w:bookmarkStart w:id="1944" w:name="_Toc23290"/>
      <w:bookmarkStart w:id="1945" w:name="_Toc31260"/>
      <w:bookmarkStart w:id="1946" w:name="_Toc29023"/>
      <w:bookmarkStart w:id="1947" w:name="_Toc27602"/>
      <w:r>
        <w:rPr>
          <w:rFonts w:hint="eastAsia" w:ascii="Times New Roman" w:hAnsi="Times New Roman"/>
          <w:smallCaps w:val="0"/>
          <w:color w:val="000000" w:themeColor="text1"/>
          <w:highlight w:val="none"/>
          <w14:textFill>
            <w14:solidFill>
              <w14:schemeClr w14:val="tx1"/>
            </w14:solidFill>
          </w14:textFill>
        </w:rPr>
        <w:t>二、新材料、新工艺、新技术应用（如有）</w:t>
      </w:r>
      <w:bookmarkEnd w:id="1940"/>
      <w:bookmarkEnd w:id="1941"/>
      <w:bookmarkEnd w:id="1942"/>
      <w:bookmarkEnd w:id="1943"/>
      <w:bookmarkEnd w:id="1944"/>
      <w:bookmarkEnd w:id="1945"/>
      <w:bookmarkEnd w:id="1946"/>
      <w:bookmarkEnd w:id="1947"/>
    </w:p>
    <w:p w14:paraId="2F1057F4">
      <w:pPr>
        <w:pStyle w:val="79"/>
        <w:pageBreakBefore w:val="0"/>
        <w:kinsoku/>
        <w:wordWrap w:val="0"/>
        <w:overflowPunct/>
        <w:bidi w:val="0"/>
        <w:ind w:left="0" w:leftChars="0" w:firstLine="0" w:firstLineChars="0"/>
        <w:outlineLvl w:val="9"/>
        <w:rPr>
          <w:rFonts w:hint="eastAsia" w:ascii="Times New Roman" w:hAnsi="Times New Roman"/>
          <w:smallCaps w:val="0"/>
          <w:color w:val="000000" w:themeColor="text1"/>
          <w:highlight w:val="none"/>
          <w:lang w:eastAsia="zh-CN"/>
          <w14:textFill>
            <w14:solidFill>
              <w14:schemeClr w14:val="tx1"/>
            </w14:solidFill>
          </w14:textFill>
        </w:rPr>
      </w:pPr>
      <w:bookmarkStart w:id="1948" w:name="_Toc8127"/>
      <w:bookmarkStart w:id="1949" w:name="_Toc27393"/>
      <w:bookmarkStart w:id="1950" w:name="_Toc3820"/>
      <w:bookmarkStart w:id="1951" w:name="_Toc4741"/>
      <w:bookmarkStart w:id="1952" w:name="_Toc10939"/>
      <w:bookmarkStart w:id="1953" w:name="_Toc21573"/>
      <w:bookmarkStart w:id="1954" w:name="_Toc8868"/>
      <w:bookmarkStart w:id="1955" w:name="_Toc11587"/>
      <w:r>
        <w:rPr>
          <w:rFonts w:hint="eastAsia" w:ascii="Times New Roman" w:hAnsi="Times New Roman"/>
          <w:smallCaps w:val="0"/>
          <w:color w:val="000000" w:themeColor="text1"/>
          <w:highlight w:val="none"/>
          <w14:textFill>
            <w14:solidFill>
              <w14:schemeClr w14:val="tx1"/>
            </w14:solidFill>
          </w14:textFill>
        </w:rPr>
        <w:t>三、其他内容</w:t>
      </w:r>
      <w:bookmarkEnd w:id="1948"/>
      <w:bookmarkEnd w:id="1949"/>
      <w:bookmarkEnd w:id="1950"/>
      <w:bookmarkEnd w:id="1951"/>
      <w:bookmarkEnd w:id="1952"/>
      <w:bookmarkEnd w:id="1953"/>
      <w:bookmarkEnd w:id="1954"/>
      <w:bookmarkEnd w:id="1955"/>
    </w:p>
    <w:p w14:paraId="43A0BAFC">
      <w:pPr>
        <w:pageBreakBefore w:val="0"/>
        <w:kinsoku/>
        <w:wordWrap w:val="0"/>
        <w:overflowPunct/>
        <w:bidi w:val="0"/>
        <w:outlineLvl w:val="9"/>
        <w:rPr>
          <w:rFonts w:hint="eastAsia" w:ascii="Times New Roman" w:hAnsi="Times New Roman" w:eastAsia="宋体" w:cs="宋体"/>
          <w:smallCaps w:val="0"/>
          <w:color w:val="000000" w:themeColor="text1"/>
          <w:sz w:val="28"/>
          <w:szCs w:val="28"/>
          <w:highlight w:val="none"/>
          <w14:textFill>
            <w14:solidFill>
              <w14:schemeClr w14:val="tx1"/>
            </w14:solidFill>
          </w14:textFill>
        </w:rPr>
      </w:pPr>
      <w:bookmarkStart w:id="1956" w:name="_Toc390411640"/>
      <w:bookmarkStart w:id="1957" w:name="_Toc535241149"/>
      <w:bookmarkStart w:id="1958" w:name="_Toc31937"/>
      <w:bookmarkStart w:id="1959" w:name="_Toc460227146"/>
      <w:bookmarkStart w:id="1960" w:name="_Toc24225"/>
      <w:bookmarkStart w:id="1961" w:name="_Toc460660261"/>
      <w:bookmarkStart w:id="1962" w:name="_Toc421917021"/>
      <w:bookmarkStart w:id="1963" w:name="_Toc460227144"/>
      <w:bookmarkStart w:id="1964" w:name="_Toc421917019"/>
      <w:bookmarkStart w:id="1965" w:name="_Toc535241147"/>
      <w:bookmarkStart w:id="1966" w:name="_Toc460660259"/>
      <w:bookmarkStart w:id="1967" w:name="_Toc390411638"/>
      <w:r>
        <w:rPr>
          <w:rFonts w:hint="eastAsia" w:ascii="Times New Roman" w:hAnsi="Times New Roman" w:eastAsia="宋体" w:cs="宋体"/>
          <w:smallCaps w:val="0"/>
          <w:color w:val="000000" w:themeColor="text1"/>
          <w:sz w:val="28"/>
          <w:szCs w:val="28"/>
          <w:highlight w:val="none"/>
          <w14:textFill>
            <w14:solidFill>
              <w14:schemeClr w14:val="tx1"/>
            </w14:solidFill>
          </w14:textFill>
        </w:rPr>
        <w:br w:type="page"/>
      </w:r>
    </w:p>
    <w:p w14:paraId="1401CD7C">
      <w:pPr>
        <w:pStyle w:val="2"/>
        <w:pageBreakBefore w:val="0"/>
        <w:kinsoku/>
        <w:wordWrap w:val="0"/>
        <w:overflowPunct/>
        <w:bidi w:val="0"/>
        <w:rPr>
          <w:rFonts w:hint="eastAsia"/>
          <w:color w:val="000000" w:themeColor="text1"/>
          <w:highlight w:val="none"/>
          <w:lang w:val="en-US" w:eastAsia="zh-CN"/>
          <w14:textFill>
            <w14:solidFill>
              <w14:schemeClr w14:val="tx1"/>
            </w14:solidFill>
          </w14:textFill>
        </w:rPr>
      </w:pPr>
      <w:bookmarkStart w:id="1968" w:name="_Toc29005"/>
      <w:r>
        <w:rPr>
          <w:rFonts w:hint="eastAsia"/>
          <w:color w:val="000000" w:themeColor="text1"/>
          <w:highlight w:val="none"/>
          <w:lang w:val="en-US" w:eastAsia="zh-CN"/>
          <w14:textFill>
            <w14:solidFill>
              <w14:schemeClr w14:val="tx1"/>
            </w14:solidFill>
          </w14:textFill>
        </w:rPr>
        <w:t>施工组织设计</w:t>
      </w:r>
      <w:bookmarkEnd w:id="1956"/>
      <w:bookmarkEnd w:id="1957"/>
      <w:bookmarkEnd w:id="1958"/>
      <w:bookmarkEnd w:id="1959"/>
      <w:bookmarkEnd w:id="1960"/>
      <w:bookmarkEnd w:id="1961"/>
      <w:bookmarkEnd w:id="1962"/>
      <w:bookmarkEnd w:id="1968"/>
    </w:p>
    <w:p w14:paraId="1F427327">
      <w:pPr>
        <w:pStyle w:val="79"/>
        <w:pageBreakBefore w:val="0"/>
        <w:kinsoku/>
        <w:wordWrap w:val="0"/>
        <w:overflowPunct/>
        <w:bidi w:val="0"/>
        <w:rPr>
          <w:rFonts w:hint="eastAsia" w:ascii="Times New Roman" w:hAnsi="Times New Roman"/>
          <w:smallCaps w:val="0"/>
          <w:color w:val="000000" w:themeColor="text1"/>
          <w:highlight w:val="none"/>
          <w:lang w:eastAsia="zh-CN"/>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 投标人应根据招标文件和对现场的</w:t>
      </w:r>
      <w:r>
        <w:rPr>
          <w:rFonts w:hint="eastAsia" w:ascii="Times New Roman" w:hAnsi="Times New Roman"/>
          <w:smallCaps w:val="0"/>
          <w:color w:val="000000" w:themeColor="text1"/>
          <w:highlight w:val="none"/>
          <w:lang w:val="en-US" w:eastAsia="zh-CN"/>
          <w14:textFill>
            <w14:solidFill>
              <w14:schemeClr w14:val="tx1"/>
            </w14:solidFill>
          </w14:textFill>
        </w:rPr>
        <w:t>踏勘</w:t>
      </w:r>
      <w:r>
        <w:rPr>
          <w:rFonts w:hint="eastAsia" w:ascii="Times New Roman" w:hAnsi="Times New Roman"/>
          <w:smallCaps w:val="0"/>
          <w:color w:val="000000" w:themeColor="text1"/>
          <w:highlight w:val="none"/>
          <w14:textFill>
            <w14:solidFill>
              <w14:schemeClr w14:val="tx1"/>
            </w14:solidFill>
          </w14:textFill>
        </w:rPr>
        <w:t>情况，采用文字并结合图表形式，参考以下要点编制本工程的施工组织设计</w:t>
      </w:r>
      <w:r>
        <w:rPr>
          <w:rFonts w:hint="eastAsia" w:ascii="Times New Roman" w:hAnsi="Times New Roman"/>
          <w:smallCaps w:val="0"/>
          <w:color w:val="000000" w:themeColor="text1"/>
          <w:highlight w:val="none"/>
          <w:lang w:eastAsia="zh-CN"/>
          <w14:textFill>
            <w14:solidFill>
              <w14:schemeClr w14:val="tx1"/>
            </w14:solidFill>
          </w14:textFill>
        </w:rPr>
        <w:t>：</w:t>
      </w:r>
    </w:p>
    <w:p w14:paraId="4944B300">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（1）工程概况；</w:t>
      </w:r>
    </w:p>
    <w:p w14:paraId="36198CA8">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（2）主要施工方案与技术措施；</w:t>
      </w:r>
    </w:p>
    <w:p w14:paraId="2C303CD6">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（3）主要物资供应计划；</w:t>
      </w:r>
    </w:p>
    <w:p w14:paraId="035A4103">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（4）主要施工机械、设备进场计划；</w:t>
      </w:r>
    </w:p>
    <w:p w14:paraId="72DFDC4A">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（5）劳动力安排计划；</w:t>
      </w:r>
    </w:p>
    <w:p w14:paraId="7CCEB643">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（6）确保工程质量的技术组织措施；</w:t>
      </w:r>
    </w:p>
    <w:p w14:paraId="572824FB">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（7）确保安全生产的技术组织措施；</w:t>
      </w:r>
    </w:p>
    <w:p w14:paraId="12ECEB4B">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（8）确保工期的技术组织措施；</w:t>
      </w:r>
    </w:p>
    <w:p w14:paraId="012BBE58">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（9）确保文明施工的技术组织措施；</w:t>
      </w:r>
    </w:p>
    <w:p w14:paraId="3A22A9CC">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（10）施工总平面布置图；</w:t>
      </w:r>
    </w:p>
    <w:p w14:paraId="06320C13">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（11）重点、难点；</w:t>
      </w:r>
    </w:p>
    <w:p w14:paraId="722A66A8">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（12）危大工程安全管理；</w:t>
      </w:r>
    </w:p>
    <w:p w14:paraId="0628A230">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（13）招标文件规定的其他内容。</w:t>
      </w:r>
    </w:p>
    <w:p w14:paraId="36F24C8E">
      <w:pPr>
        <w:pStyle w:val="79"/>
        <w:pageBreakBefore w:val="0"/>
        <w:kinsoku/>
        <w:wordWrap w:val="0"/>
        <w:overflowPunct/>
        <w:bidi w:val="0"/>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  如应用BIM技术评审的，需要进行BIM实施方案制定、模型深化、模型和场布整合、模型和进度整合、模型和清单整合等工作，参考以下要点编制工程的BIM标书：</w:t>
      </w:r>
    </w:p>
    <w:p w14:paraId="258E3EA6">
      <w:pPr>
        <w:pStyle w:val="79"/>
        <w:pageBreakBefore w:val="0"/>
        <w:kinsoku/>
        <w:wordWrap w:val="0"/>
        <w:overflowPunct/>
        <w:bidi w:val="0"/>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（1）BIM实施方案：需明确组织架构、技术标准、应用目标及流程管理，包含软硬件配置、模型质量控制规则及交付计划。</w:t>
      </w:r>
    </w:p>
    <w:p w14:paraId="13A3CD5E">
      <w:pPr>
        <w:pStyle w:val="79"/>
        <w:pageBreakBefore w:val="0"/>
        <w:kinsoku/>
        <w:wordWrap w:val="0"/>
        <w:overflowPunct/>
        <w:bidi w:val="0"/>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（2）模型深化：建模范围需覆盖招标要求，模型精度符合LOD标准，碰撞检查需覆盖机电管线及预留孔洞，确保图纸与模型一致性。</w:t>
      </w:r>
    </w:p>
    <w:p w14:paraId="5828BEC1">
      <w:pPr>
        <w:pStyle w:val="79"/>
        <w:pageBreakBefore w:val="0"/>
        <w:kinsoku/>
        <w:wordWrap w:val="0"/>
        <w:overflowPunct/>
        <w:bidi w:val="0"/>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（3）模型施工进度模拟：模型与进度计划动态关联，需通过4D施工模拟验证工序合理性，优化资源调度。</w:t>
      </w:r>
    </w:p>
    <w:p w14:paraId="704821EF">
      <w:pPr>
        <w:pStyle w:val="79"/>
        <w:pageBreakBefore w:val="0"/>
        <w:kinsoku/>
        <w:wordWrap w:val="0"/>
        <w:overflowPunct/>
        <w:bidi w:val="0"/>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（4）工艺动画&amp;视频：关键工艺（如地下室防水、钢结构安装）需提供动态模拟动画及视频，展示工艺流程与质量管控要点。</w:t>
      </w:r>
    </w:p>
    <w:p w14:paraId="39E2D3AF">
      <w:pPr>
        <w:pStyle w:val="79"/>
        <w:pageBreakBefore w:val="0"/>
        <w:kinsoku/>
        <w:wordWrap w:val="0"/>
        <w:overflowPunct/>
        <w:bidi w:val="0"/>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（5）场布布置：分阶段展示临时设施、材料堆场、施工道路等模型，包含围挡、塔吊、加工区、脚手架等核心构件。</w:t>
      </w:r>
    </w:p>
    <w:p w14:paraId="5E91ECA0">
      <w:pPr>
        <w:pStyle w:val="79"/>
        <w:pageBreakBefore w:val="0"/>
        <w:kinsoku/>
        <w:wordWrap w:val="0"/>
        <w:overflowPunct/>
        <w:bidi w:val="0"/>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（6）清单模型展示：模型和清单进行关联，展示清单关联的模型部位投标报价的合理性。</w:t>
      </w:r>
    </w:p>
    <w:p w14:paraId="7F3CB82C">
      <w:pPr>
        <w:pStyle w:val="79"/>
        <w:pageBreakBefore w:val="0"/>
        <w:kinsoku/>
        <w:wordWrap w:val="0"/>
        <w:overflowPunct/>
        <w:bidi w:val="0"/>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（7）资金资源动画：模型和清单、进度关联，展示钢筋、混凝土等主材消耗量及设备投入计划，确保成本合理性。</w:t>
      </w:r>
    </w:p>
    <w:p w14:paraId="2DA7EA2B">
      <w:pPr>
        <w:pStyle w:val="79"/>
        <w:pageBreakBefore w:val="0"/>
        <w:kinsoku/>
        <w:wordWrap w:val="0"/>
        <w:overflowPunct/>
        <w:bidi w:val="0"/>
        <w:outlineLvl w:val="9"/>
        <w:rPr>
          <w:rFonts w:hint="eastAsia" w:ascii="Times New Roman" w:hAnsi="Times New Roman"/>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（8）模型直接费：模型和清单关联，展示模型关键部位成本造价。</w:t>
      </w:r>
    </w:p>
    <w:p w14:paraId="196E1586">
      <w:pPr>
        <w:pStyle w:val="79"/>
        <w:pageBreakBefore w:val="0"/>
        <w:kinsoku/>
        <w:wordWrap w:val="0"/>
        <w:overflowPunct/>
        <w:bidi w:val="0"/>
        <w:outlineLvl w:val="9"/>
        <w:rPr>
          <w:rFonts w:hint="default" w:ascii="Times New Roman" w:hAnsi="Times New Roman" w:eastAsia="宋体"/>
          <w:smallCaps w:val="0"/>
          <w:color w:val="000000" w:themeColor="text1"/>
          <w:highlight w:val="none"/>
          <w:lang w:val="en-US" w:eastAsia="zh-CN"/>
          <w14:textFill>
            <w14:solidFill>
              <w14:schemeClr w14:val="tx1"/>
            </w14:solidFill>
          </w14:textFill>
        </w:rPr>
      </w:pPr>
      <w:r>
        <w:rPr>
          <w:rFonts w:hint="eastAsia" w:ascii="Times New Roman" w:hAnsi="Times New Roman"/>
          <w:smallCaps w:val="0"/>
          <w:color w:val="000000" w:themeColor="text1"/>
          <w:highlight w:val="none"/>
          <w:lang w:val="en-US" w:eastAsia="zh-CN"/>
          <w14:textFill>
            <w14:solidFill>
              <w14:schemeClr w14:val="tx1"/>
            </w14:solidFill>
          </w14:textFill>
        </w:rPr>
        <w:t>详细要求参照《安徽省房屋建筑和市政基础设施工程施工应用BIM技术招标投标评标办法实施导则》。</w:t>
      </w:r>
    </w:p>
    <w:p w14:paraId="72FC5F50">
      <w:pPr>
        <w:pStyle w:val="79"/>
        <w:pageBreakBefore w:val="0"/>
        <w:kinsoku/>
        <w:wordWrap w:val="0"/>
        <w:overflowPunct/>
        <w:bidi w:val="0"/>
        <w:rPr>
          <w:rFonts w:hint="eastAsia" w:ascii="Times New Roman" w:hAnsi="Times New Roman"/>
          <w:b w:val="0"/>
          <w:smallCaps w:val="0"/>
          <w:color w:val="000000" w:themeColor="text1"/>
          <w:highlight w:val="none"/>
          <w14:textFill>
            <w14:solidFill>
              <w14:schemeClr w14:val="tx1"/>
            </w14:solidFill>
          </w14:textFill>
        </w:rPr>
      </w:pPr>
      <w:r>
        <w:rPr>
          <w:rFonts w:hint="eastAsia" w:ascii="Times New Roman" w:hAnsi="Times New Roman"/>
          <w:b w:val="0"/>
          <w:smallCaps w:val="0"/>
          <w:color w:val="000000" w:themeColor="text1"/>
          <w:highlight w:val="none"/>
          <w:lang w:val="en-US" w:eastAsia="zh-CN"/>
          <w14:textFill>
            <w14:solidFill>
              <w14:schemeClr w14:val="tx1"/>
            </w14:solidFill>
          </w14:textFill>
        </w:rPr>
        <w:t>3</w:t>
      </w:r>
      <w:r>
        <w:rPr>
          <w:rFonts w:hint="eastAsia" w:ascii="Times New Roman" w:hAnsi="Times New Roman"/>
          <w:b w:val="0"/>
          <w:smallCaps w:val="0"/>
          <w:color w:val="000000" w:themeColor="text1"/>
          <w:highlight w:val="none"/>
          <w14:textFill>
            <w14:solidFill>
              <w14:schemeClr w14:val="tx1"/>
            </w14:solidFill>
          </w14:textFill>
        </w:rPr>
        <w:t>． 施工组织设计除采用文字表述外可附下列图表，图表及格式要求附后。</w:t>
      </w:r>
    </w:p>
    <w:p w14:paraId="0EC1269B">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附表一  拟投入本标段的主要施工设备表</w:t>
      </w:r>
    </w:p>
    <w:p w14:paraId="263021FE">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附表二  拟配备本标段的试验和检测仪器设备表</w:t>
      </w:r>
    </w:p>
    <w:p w14:paraId="6E9DD149">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附表三  劳动力计划表</w:t>
      </w:r>
    </w:p>
    <w:p w14:paraId="55CF286C">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附表四  计划开、竣工日期和施工进度网络图</w:t>
      </w:r>
    </w:p>
    <w:p w14:paraId="06DCEB51">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附表五  施工总平面图</w:t>
      </w:r>
    </w:p>
    <w:p w14:paraId="259E9D52">
      <w:pPr>
        <w:pStyle w:val="79"/>
        <w:pageBreakBefore w:val="0"/>
        <w:kinsoku/>
        <w:wordWrap w:val="0"/>
        <w:overflowPunct/>
        <w:bidi w:val="0"/>
        <w:outlineLvl w:val="9"/>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附表六  临时用地表</w:t>
      </w:r>
      <w:bookmarkStart w:id="1969" w:name="_Toc224103504"/>
    </w:p>
    <w:p w14:paraId="610442CC">
      <w:pPr>
        <w:pageBreakBefore w:val="0"/>
        <w:kinsoku/>
        <w:wordWrap w:val="0"/>
        <w:overflowPunct/>
        <w:bidi w:val="0"/>
        <w:spacing w:line="420" w:lineRule="exact"/>
        <w:ind w:firstLine="560" w:firstLineChars="200"/>
        <w:jc w:val="center"/>
        <w:outlineLvl w:val="9"/>
        <w:rPr>
          <w:rStyle w:val="39"/>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970" w:name="_Toc460660262"/>
      <w:bookmarkStart w:id="1971" w:name="_Toc535241150"/>
      <w:bookmarkStart w:id="1972" w:name="_Toc460227147"/>
      <w:bookmarkStart w:id="1973" w:name="_Toc18158"/>
      <w:r>
        <w:rPr>
          <w:rStyle w:val="39"/>
          <w:rFonts w:hint="eastAsia" w:ascii="Times New Roman" w:hAnsi="Times New Roman"/>
          <w:smallCaps w:val="0"/>
          <w:color w:val="000000" w:themeColor="text1"/>
          <w:highlight w:val="none"/>
          <w14:textFill>
            <w14:solidFill>
              <w14:schemeClr w14:val="tx1"/>
            </w14:solidFill>
          </w14:textFill>
        </w:rPr>
        <w:t>附表一</w:t>
      </w:r>
      <w:r>
        <w:rPr>
          <w:rStyle w:val="39"/>
          <w:rFonts w:hint="eastAsia" w:ascii="Times New Roman" w:hAnsi="Times New Roman"/>
          <w:smallCaps w:val="0"/>
          <w:color w:val="000000" w:themeColor="text1"/>
          <w:highlight w:val="none"/>
          <w:lang w:eastAsia="zh-CN"/>
          <w14:textFill>
            <w14:solidFill>
              <w14:schemeClr w14:val="tx1"/>
            </w14:solidFill>
          </w14:textFill>
        </w:rPr>
        <w:t>：</w:t>
      </w:r>
      <w:r>
        <w:rPr>
          <w:rStyle w:val="39"/>
          <w:rFonts w:hint="eastAsia" w:ascii="Times New Roman" w:hAnsi="Times New Roman"/>
          <w:smallCaps w:val="0"/>
          <w:color w:val="000000" w:themeColor="text1"/>
          <w:highlight w:val="none"/>
          <w14:textFill>
            <w14:solidFill>
              <w14:schemeClr w14:val="tx1"/>
            </w14:solidFill>
          </w14:textFill>
        </w:rPr>
        <w:t>拟投入本标段的主要施工设备表</w:t>
      </w:r>
      <w:bookmarkEnd w:id="1969"/>
      <w:bookmarkEnd w:id="1970"/>
      <w:bookmarkEnd w:id="1971"/>
      <w:bookmarkEnd w:id="1972"/>
    </w:p>
    <w:bookmarkEnd w:id="1973"/>
    <w:tbl>
      <w:tblPr>
        <w:tblStyle w:val="22"/>
        <w:tblW w:w="5005" w:type="pct"/>
        <w:jc w:val="center"/>
        <w:tblLayout w:type="autofit"/>
        <w:tblCellMar>
          <w:top w:w="0" w:type="dxa"/>
          <w:left w:w="0" w:type="dxa"/>
          <w:bottom w:w="0" w:type="dxa"/>
          <w:right w:w="0" w:type="dxa"/>
        </w:tblCellMar>
      </w:tblPr>
      <w:tblGrid>
        <w:gridCol w:w="647"/>
        <w:gridCol w:w="1058"/>
        <w:gridCol w:w="742"/>
        <w:gridCol w:w="966"/>
        <w:gridCol w:w="655"/>
        <w:gridCol w:w="720"/>
        <w:gridCol w:w="1181"/>
        <w:gridCol w:w="851"/>
        <w:gridCol w:w="1029"/>
        <w:gridCol w:w="674"/>
      </w:tblGrid>
      <w:tr w14:paraId="10BACFDB">
        <w:tblPrEx>
          <w:tblCellMar>
            <w:top w:w="0" w:type="dxa"/>
            <w:left w:w="0" w:type="dxa"/>
            <w:bottom w:w="0" w:type="dxa"/>
            <w:right w:w="0" w:type="dxa"/>
          </w:tblCellMar>
        </w:tblPrEx>
        <w:trPr>
          <w:trHeight w:val="889" w:hRule="exact"/>
          <w:jc w:val="center"/>
        </w:trPr>
        <w:tc>
          <w:tcPr>
            <w:tcW w:w="379" w:type="pct"/>
            <w:tcBorders>
              <w:top w:val="single" w:color="000000" w:sz="4" w:space="0"/>
              <w:left w:val="single" w:color="000000" w:sz="4" w:space="0"/>
              <w:bottom w:val="single" w:color="000000" w:sz="4" w:space="0"/>
              <w:right w:val="single" w:color="000000" w:sz="4" w:space="0"/>
            </w:tcBorders>
            <w:noWrap w:val="0"/>
            <w:vAlign w:val="center"/>
          </w:tcPr>
          <w:p w14:paraId="5A29EC1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620" w:type="pct"/>
            <w:tcBorders>
              <w:top w:val="single" w:color="000000" w:sz="4" w:space="0"/>
              <w:left w:val="single" w:color="000000" w:sz="4" w:space="0"/>
              <w:bottom w:val="single" w:color="000000" w:sz="4" w:space="0"/>
              <w:right w:val="single" w:color="000000" w:sz="4" w:space="0"/>
            </w:tcBorders>
            <w:noWrap w:val="0"/>
            <w:vAlign w:val="center"/>
          </w:tcPr>
          <w:p w14:paraId="713FC68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设备名称</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14:paraId="60A2230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型号</w:t>
            </w:r>
          </w:p>
          <w:p w14:paraId="0990831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规格</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597E106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230AEC6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国别 产地</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7FE596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制造 年份</w:t>
            </w:r>
          </w:p>
        </w:tc>
        <w:tc>
          <w:tcPr>
            <w:tcW w:w="692" w:type="pct"/>
            <w:tcBorders>
              <w:top w:val="single" w:color="000000" w:sz="4" w:space="0"/>
              <w:left w:val="single" w:color="000000" w:sz="4" w:space="0"/>
              <w:bottom w:val="single" w:color="000000" w:sz="4" w:space="0"/>
              <w:right w:val="single" w:color="000000" w:sz="4" w:space="0"/>
            </w:tcBorders>
            <w:noWrap w:val="0"/>
            <w:vAlign w:val="center"/>
          </w:tcPr>
          <w:p w14:paraId="4EC3D28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额定功率</w:t>
            </w:r>
          </w:p>
          <w:p w14:paraId="23FD2E4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w:t>
            </w:r>
            <w:r>
              <w:rPr>
                <w:rFonts w:hint="eastAsia" w:ascii="Times New Roman" w:hAnsi="Times New Roman"/>
                <w:smallCaps w:val="0"/>
                <w:color w:val="000000" w:themeColor="text1"/>
                <w:highlight w:val="none"/>
                <w:lang w:val="en-US" w:eastAsia="zh-CN"/>
                <w14:textFill>
                  <w14:solidFill>
                    <w14:schemeClr w14:val="tx1"/>
                  </w14:solidFill>
                </w14:textFill>
              </w:rPr>
              <w:t>k</w:t>
            </w:r>
            <w:r>
              <w:rPr>
                <w:rFonts w:hint="eastAsia" w:ascii="Times New Roman" w:hAnsi="Times New Roman"/>
                <w:smallCaps w:val="0"/>
                <w:color w:val="000000" w:themeColor="text1"/>
                <w:highlight w:val="none"/>
                <w14:textFill>
                  <w14:solidFill>
                    <w14:schemeClr w14:val="tx1"/>
                  </w14:solidFill>
                </w14:textFill>
              </w:rPr>
              <w:t>W）</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0950267">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生产</w:t>
            </w:r>
          </w:p>
          <w:p w14:paraId="0A6C9AB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能力</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62765C1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用于施</w:t>
            </w:r>
          </w:p>
          <w:p w14:paraId="54BDD43B">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工部位</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5F36395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31E52E24">
        <w:tblPrEx>
          <w:tblCellMar>
            <w:top w:w="0" w:type="dxa"/>
            <w:left w:w="0" w:type="dxa"/>
            <w:bottom w:w="0" w:type="dxa"/>
            <w:right w:w="0" w:type="dxa"/>
          </w:tblCellMar>
        </w:tblPrEx>
        <w:trPr>
          <w:trHeight w:val="450" w:hRule="exact"/>
          <w:jc w:val="center"/>
        </w:trPr>
        <w:tc>
          <w:tcPr>
            <w:tcW w:w="379" w:type="pct"/>
            <w:tcBorders>
              <w:top w:val="single" w:color="000000" w:sz="4" w:space="0"/>
              <w:left w:val="single" w:color="000000" w:sz="4" w:space="0"/>
              <w:bottom w:val="single" w:color="000000" w:sz="4" w:space="0"/>
              <w:right w:val="single" w:color="000000" w:sz="4" w:space="0"/>
            </w:tcBorders>
            <w:noWrap w:val="0"/>
            <w:vAlign w:val="top"/>
          </w:tcPr>
          <w:p w14:paraId="3380CE1A">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0" w:type="pct"/>
            <w:tcBorders>
              <w:top w:val="single" w:color="000000" w:sz="4" w:space="0"/>
              <w:left w:val="single" w:color="000000" w:sz="4" w:space="0"/>
              <w:bottom w:val="single" w:color="000000" w:sz="4" w:space="0"/>
              <w:right w:val="single" w:color="000000" w:sz="4" w:space="0"/>
            </w:tcBorders>
            <w:noWrap w:val="0"/>
            <w:vAlign w:val="top"/>
          </w:tcPr>
          <w:p w14:paraId="06D030A0">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435" w:type="pct"/>
            <w:tcBorders>
              <w:top w:val="single" w:color="000000" w:sz="4" w:space="0"/>
              <w:left w:val="single" w:color="000000" w:sz="4" w:space="0"/>
              <w:bottom w:val="single" w:color="000000" w:sz="4" w:space="0"/>
              <w:right w:val="single" w:color="000000" w:sz="4" w:space="0"/>
            </w:tcBorders>
            <w:noWrap w:val="0"/>
            <w:vAlign w:val="top"/>
          </w:tcPr>
          <w:p w14:paraId="02EB1A20">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566" w:type="pct"/>
            <w:tcBorders>
              <w:top w:val="single" w:color="000000" w:sz="4" w:space="0"/>
              <w:left w:val="single" w:color="000000" w:sz="4" w:space="0"/>
              <w:bottom w:val="single" w:color="000000" w:sz="4" w:space="0"/>
              <w:right w:val="single" w:color="000000" w:sz="4" w:space="0"/>
            </w:tcBorders>
            <w:noWrap w:val="0"/>
            <w:vAlign w:val="top"/>
          </w:tcPr>
          <w:p w14:paraId="31D3462C">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384" w:type="pct"/>
            <w:tcBorders>
              <w:top w:val="single" w:color="000000" w:sz="4" w:space="0"/>
              <w:left w:val="single" w:color="000000" w:sz="4" w:space="0"/>
              <w:bottom w:val="single" w:color="000000" w:sz="4" w:space="0"/>
              <w:right w:val="single" w:color="000000" w:sz="4" w:space="0"/>
            </w:tcBorders>
            <w:noWrap w:val="0"/>
            <w:vAlign w:val="top"/>
          </w:tcPr>
          <w:p w14:paraId="37714F8B">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422" w:type="pct"/>
            <w:tcBorders>
              <w:top w:val="single" w:color="000000" w:sz="4" w:space="0"/>
              <w:left w:val="single" w:color="000000" w:sz="4" w:space="0"/>
              <w:bottom w:val="single" w:color="000000" w:sz="4" w:space="0"/>
              <w:right w:val="single" w:color="000000" w:sz="4" w:space="0"/>
            </w:tcBorders>
            <w:noWrap w:val="0"/>
            <w:vAlign w:val="top"/>
          </w:tcPr>
          <w:p w14:paraId="1CBC08D7">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92" w:type="pct"/>
            <w:tcBorders>
              <w:top w:val="single" w:color="000000" w:sz="4" w:space="0"/>
              <w:left w:val="single" w:color="000000" w:sz="4" w:space="0"/>
              <w:bottom w:val="single" w:color="000000" w:sz="4" w:space="0"/>
              <w:right w:val="single" w:color="000000" w:sz="4" w:space="0"/>
            </w:tcBorders>
            <w:noWrap w:val="0"/>
            <w:vAlign w:val="top"/>
          </w:tcPr>
          <w:p w14:paraId="617F6631">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644DF00C">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noWrap w:val="0"/>
            <w:vAlign w:val="top"/>
          </w:tcPr>
          <w:p w14:paraId="463C281F">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395" w:type="pct"/>
            <w:tcBorders>
              <w:top w:val="single" w:color="000000" w:sz="4" w:space="0"/>
              <w:left w:val="single" w:color="000000" w:sz="4" w:space="0"/>
              <w:bottom w:val="single" w:color="000000" w:sz="4" w:space="0"/>
              <w:right w:val="single" w:color="000000" w:sz="4" w:space="0"/>
            </w:tcBorders>
            <w:noWrap w:val="0"/>
            <w:vAlign w:val="top"/>
          </w:tcPr>
          <w:p w14:paraId="7E40A18A">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r w14:paraId="4263919E">
        <w:tblPrEx>
          <w:tblCellMar>
            <w:top w:w="0" w:type="dxa"/>
            <w:left w:w="0" w:type="dxa"/>
            <w:bottom w:w="0" w:type="dxa"/>
            <w:right w:w="0" w:type="dxa"/>
          </w:tblCellMar>
        </w:tblPrEx>
        <w:trPr>
          <w:trHeight w:val="450" w:hRule="exact"/>
          <w:jc w:val="center"/>
        </w:trPr>
        <w:tc>
          <w:tcPr>
            <w:tcW w:w="379" w:type="pct"/>
            <w:tcBorders>
              <w:top w:val="single" w:color="000000" w:sz="4" w:space="0"/>
              <w:left w:val="single" w:color="000000" w:sz="4" w:space="0"/>
              <w:bottom w:val="single" w:color="000000" w:sz="4" w:space="0"/>
              <w:right w:val="single" w:color="000000" w:sz="4" w:space="0"/>
            </w:tcBorders>
            <w:noWrap w:val="0"/>
            <w:vAlign w:val="top"/>
          </w:tcPr>
          <w:p w14:paraId="4CBCAF63">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0" w:type="pct"/>
            <w:tcBorders>
              <w:top w:val="single" w:color="000000" w:sz="4" w:space="0"/>
              <w:left w:val="single" w:color="000000" w:sz="4" w:space="0"/>
              <w:bottom w:val="single" w:color="000000" w:sz="4" w:space="0"/>
              <w:right w:val="single" w:color="000000" w:sz="4" w:space="0"/>
            </w:tcBorders>
            <w:noWrap w:val="0"/>
            <w:vAlign w:val="top"/>
          </w:tcPr>
          <w:p w14:paraId="473AE85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435" w:type="pct"/>
            <w:tcBorders>
              <w:top w:val="single" w:color="000000" w:sz="4" w:space="0"/>
              <w:left w:val="single" w:color="000000" w:sz="4" w:space="0"/>
              <w:bottom w:val="single" w:color="000000" w:sz="4" w:space="0"/>
              <w:right w:val="single" w:color="000000" w:sz="4" w:space="0"/>
            </w:tcBorders>
            <w:noWrap w:val="0"/>
            <w:vAlign w:val="top"/>
          </w:tcPr>
          <w:p w14:paraId="123022CC">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566" w:type="pct"/>
            <w:tcBorders>
              <w:top w:val="single" w:color="000000" w:sz="4" w:space="0"/>
              <w:left w:val="single" w:color="000000" w:sz="4" w:space="0"/>
              <w:bottom w:val="single" w:color="000000" w:sz="4" w:space="0"/>
              <w:right w:val="single" w:color="000000" w:sz="4" w:space="0"/>
            </w:tcBorders>
            <w:noWrap w:val="0"/>
            <w:vAlign w:val="top"/>
          </w:tcPr>
          <w:p w14:paraId="399C991A">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384" w:type="pct"/>
            <w:tcBorders>
              <w:top w:val="single" w:color="000000" w:sz="4" w:space="0"/>
              <w:left w:val="single" w:color="000000" w:sz="4" w:space="0"/>
              <w:bottom w:val="single" w:color="000000" w:sz="4" w:space="0"/>
              <w:right w:val="single" w:color="000000" w:sz="4" w:space="0"/>
            </w:tcBorders>
            <w:noWrap w:val="0"/>
            <w:vAlign w:val="top"/>
          </w:tcPr>
          <w:p w14:paraId="6665AE63">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422" w:type="pct"/>
            <w:tcBorders>
              <w:top w:val="single" w:color="000000" w:sz="4" w:space="0"/>
              <w:left w:val="single" w:color="000000" w:sz="4" w:space="0"/>
              <w:bottom w:val="single" w:color="000000" w:sz="4" w:space="0"/>
              <w:right w:val="single" w:color="000000" w:sz="4" w:space="0"/>
            </w:tcBorders>
            <w:noWrap w:val="0"/>
            <w:vAlign w:val="top"/>
          </w:tcPr>
          <w:p w14:paraId="7D51BC1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92" w:type="pct"/>
            <w:tcBorders>
              <w:top w:val="single" w:color="000000" w:sz="4" w:space="0"/>
              <w:left w:val="single" w:color="000000" w:sz="4" w:space="0"/>
              <w:bottom w:val="single" w:color="000000" w:sz="4" w:space="0"/>
              <w:right w:val="single" w:color="000000" w:sz="4" w:space="0"/>
            </w:tcBorders>
            <w:noWrap w:val="0"/>
            <w:vAlign w:val="top"/>
          </w:tcPr>
          <w:p w14:paraId="027253FE">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62DCC89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noWrap w:val="0"/>
            <w:vAlign w:val="top"/>
          </w:tcPr>
          <w:p w14:paraId="30BDC55E">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395" w:type="pct"/>
            <w:tcBorders>
              <w:top w:val="single" w:color="000000" w:sz="4" w:space="0"/>
              <w:left w:val="single" w:color="000000" w:sz="4" w:space="0"/>
              <w:bottom w:val="single" w:color="000000" w:sz="4" w:space="0"/>
              <w:right w:val="single" w:color="000000" w:sz="4" w:space="0"/>
            </w:tcBorders>
            <w:noWrap w:val="0"/>
            <w:vAlign w:val="top"/>
          </w:tcPr>
          <w:p w14:paraId="2C777ED7">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r w14:paraId="3197D7E3">
        <w:tblPrEx>
          <w:tblCellMar>
            <w:top w:w="0" w:type="dxa"/>
            <w:left w:w="0" w:type="dxa"/>
            <w:bottom w:w="0" w:type="dxa"/>
            <w:right w:w="0" w:type="dxa"/>
          </w:tblCellMar>
        </w:tblPrEx>
        <w:trPr>
          <w:trHeight w:val="450" w:hRule="exact"/>
          <w:jc w:val="center"/>
        </w:trPr>
        <w:tc>
          <w:tcPr>
            <w:tcW w:w="379" w:type="pct"/>
            <w:tcBorders>
              <w:top w:val="single" w:color="000000" w:sz="4" w:space="0"/>
              <w:left w:val="single" w:color="000000" w:sz="4" w:space="0"/>
              <w:bottom w:val="single" w:color="000000" w:sz="4" w:space="0"/>
              <w:right w:val="single" w:color="000000" w:sz="4" w:space="0"/>
            </w:tcBorders>
            <w:noWrap w:val="0"/>
            <w:vAlign w:val="top"/>
          </w:tcPr>
          <w:p w14:paraId="1FD328C4">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0" w:type="pct"/>
            <w:tcBorders>
              <w:top w:val="single" w:color="000000" w:sz="4" w:space="0"/>
              <w:left w:val="single" w:color="000000" w:sz="4" w:space="0"/>
              <w:bottom w:val="single" w:color="000000" w:sz="4" w:space="0"/>
              <w:right w:val="single" w:color="000000" w:sz="4" w:space="0"/>
            </w:tcBorders>
            <w:noWrap w:val="0"/>
            <w:vAlign w:val="top"/>
          </w:tcPr>
          <w:p w14:paraId="54F9E511">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435" w:type="pct"/>
            <w:tcBorders>
              <w:top w:val="single" w:color="000000" w:sz="4" w:space="0"/>
              <w:left w:val="single" w:color="000000" w:sz="4" w:space="0"/>
              <w:bottom w:val="single" w:color="000000" w:sz="4" w:space="0"/>
              <w:right w:val="single" w:color="000000" w:sz="4" w:space="0"/>
            </w:tcBorders>
            <w:noWrap w:val="0"/>
            <w:vAlign w:val="top"/>
          </w:tcPr>
          <w:p w14:paraId="717AAB3C">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566" w:type="pct"/>
            <w:tcBorders>
              <w:top w:val="single" w:color="000000" w:sz="4" w:space="0"/>
              <w:left w:val="single" w:color="000000" w:sz="4" w:space="0"/>
              <w:bottom w:val="single" w:color="000000" w:sz="4" w:space="0"/>
              <w:right w:val="single" w:color="000000" w:sz="4" w:space="0"/>
            </w:tcBorders>
            <w:noWrap w:val="0"/>
            <w:vAlign w:val="top"/>
          </w:tcPr>
          <w:p w14:paraId="0069484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384" w:type="pct"/>
            <w:tcBorders>
              <w:top w:val="single" w:color="000000" w:sz="4" w:space="0"/>
              <w:left w:val="single" w:color="000000" w:sz="4" w:space="0"/>
              <w:bottom w:val="single" w:color="000000" w:sz="4" w:space="0"/>
              <w:right w:val="single" w:color="000000" w:sz="4" w:space="0"/>
            </w:tcBorders>
            <w:noWrap w:val="0"/>
            <w:vAlign w:val="top"/>
          </w:tcPr>
          <w:p w14:paraId="2E3EC990">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422" w:type="pct"/>
            <w:tcBorders>
              <w:top w:val="single" w:color="000000" w:sz="4" w:space="0"/>
              <w:left w:val="single" w:color="000000" w:sz="4" w:space="0"/>
              <w:bottom w:val="single" w:color="000000" w:sz="4" w:space="0"/>
              <w:right w:val="single" w:color="000000" w:sz="4" w:space="0"/>
            </w:tcBorders>
            <w:noWrap w:val="0"/>
            <w:vAlign w:val="top"/>
          </w:tcPr>
          <w:p w14:paraId="7A7F0744">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92" w:type="pct"/>
            <w:tcBorders>
              <w:top w:val="single" w:color="000000" w:sz="4" w:space="0"/>
              <w:left w:val="single" w:color="000000" w:sz="4" w:space="0"/>
              <w:bottom w:val="single" w:color="000000" w:sz="4" w:space="0"/>
              <w:right w:val="single" w:color="000000" w:sz="4" w:space="0"/>
            </w:tcBorders>
            <w:noWrap w:val="0"/>
            <w:vAlign w:val="top"/>
          </w:tcPr>
          <w:p w14:paraId="11D5C143">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675F206F">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noWrap w:val="0"/>
            <w:vAlign w:val="top"/>
          </w:tcPr>
          <w:p w14:paraId="64A4EA4B">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395" w:type="pct"/>
            <w:tcBorders>
              <w:top w:val="single" w:color="000000" w:sz="4" w:space="0"/>
              <w:left w:val="single" w:color="000000" w:sz="4" w:space="0"/>
              <w:bottom w:val="single" w:color="000000" w:sz="4" w:space="0"/>
              <w:right w:val="single" w:color="000000" w:sz="4" w:space="0"/>
            </w:tcBorders>
            <w:noWrap w:val="0"/>
            <w:vAlign w:val="top"/>
          </w:tcPr>
          <w:p w14:paraId="43C8880F">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bl>
    <w:p w14:paraId="15EE4A3C">
      <w:pPr>
        <w:pageBreakBefore w:val="0"/>
        <w:kinsoku/>
        <w:wordWrap w:val="0"/>
        <w:overflowPunct/>
        <w:bidi w:val="0"/>
        <w:spacing w:after="120" w:afterLines="50"/>
        <w:jc w:val="center"/>
        <w:rPr>
          <w:rFonts w:hint="eastAsia" w:ascii="Times New Roman" w:hAnsi="Times New Roman" w:cs="宋体"/>
          <w:smallCaps w:val="0"/>
          <w:color w:val="000000" w:themeColor="text1"/>
          <w:sz w:val="28"/>
          <w:szCs w:val="28"/>
          <w:highlight w:val="none"/>
          <w14:textFill>
            <w14:solidFill>
              <w14:schemeClr w14:val="tx1"/>
            </w14:solidFill>
          </w14:textFill>
        </w:rPr>
      </w:pPr>
      <w:bookmarkStart w:id="1974" w:name="_Toc460660263"/>
      <w:bookmarkStart w:id="1975" w:name="_Toc224103505"/>
      <w:bookmarkStart w:id="1976" w:name="_Toc535241151"/>
      <w:bookmarkStart w:id="1977" w:name="_Toc460227148"/>
    </w:p>
    <w:p w14:paraId="3BC4AD74">
      <w:pPr>
        <w:pStyle w:val="40"/>
        <w:pageBreakBefore w:val="0"/>
        <w:kinsoku/>
        <w:wordWrap w:val="0"/>
        <w:overflowPunct/>
        <w:bidi w:val="0"/>
        <w:outlineLvl w:val="9"/>
        <w:rPr>
          <w:rStyle w:val="39"/>
          <w:rFonts w:hint="eastAsia" w:ascii="Times New Roman" w:hAnsi="Times New Roman"/>
          <w:bCs/>
          <w:smallCaps w:val="0"/>
          <w:color w:val="000000" w:themeColor="text1"/>
          <w:kern w:val="2"/>
          <w:highlight w:val="none"/>
          <w:lang w:val="en-US" w:eastAsia="zh-CN" w:bidi="ar-SA"/>
          <w14:textFill>
            <w14:solidFill>
              <w14:schemeClr w14:val="tx1"/>
            </w14:solidFill>
          </w14:textFill>
        </w:rPr>
      </w:pPr>
      <w:bookmarkStart w:id="1978" w:name="_Toc30830"/>
      <w:r>
        <w:rPr>
          <w:rStyle w:val="39"/>
          <w:rFonts w:hint="eastAsia" w:ascii="Times New Roman" w:hAnsi="Times New Roman"/>
          <w:bCs/>
          <w:smallCaps w:val="0"/>
          <w:color w:val="000000" w:themeColor="text1"/>
          <w:kern w:val="2"/>
          <w:highlight w:val="none"/>
          <w:lang w:val="en-US" w:eastAsia="zh-CN" w:bidi="ar-SA"/>
          <w14:textFill>
            <w14:solidFill>
              <w14:schemeClr w14:val="tx1"/>
            </w14:solidFill>
          </w14:textFill>
        </w:rPr>
        <w:t>附表二：拟配备本标段的试验和检测仪器设备表</w:t>
      </w:r>
      <w:bookmarkEnd w:id="1974"/>
      <w:bookmarkEnd w:id="1975"/>
      <w:bookmarkEnd w:id="1976"/>
      <w:bookmarkEnd w:id="1977"/>
    </w:p>
    <w:bookmarkEnd w:id="1978"/>
    <w:tbl>
      <w:tblPr>
        <w:tblStyle w:val="22"/>
        <w:tblW w:w="8467" w:type="dxa"/>
        <w:jc w:val="center"/>
        <w:tblLayout w:type="fixed"/>
        <w:tblCellMar>
          <w:top w:w="0" w:type="dxa"/>
          <w:left w:w="0" w:type="dxa"/>
          <w:bottom w:w="0" w:type="dxa"/>
          <w:right w:w="0" w:type="dxa"/>
        </w:tblCellMar>
      </w:tblPr>
      <w:tblGrid>
        <w:gridCol w:w="666"/>
        <w:gridCol w:w="1087"/>
        <w:gridCol w:w="760"/>
        <w:gridCol w:w="991"/>
        <w:gridCol w:w="672"/>
        <w:gridCol w:w="738"/>
        <w:gridCol w:w="1212"/>
        <w:gridCol w:w="1654"/>
        <w:gridCol w:w="687"/>
      </w:tblGrid>
      <w:tr w14:paraId="5E34E403">
        <w:tblPrEx>
          <w:tblCellMar>
            <w:top w:w="0" w:type="dxa"/>
            <w:left w:w="0" w:type="dxa"/>
            <w:bottom w:w="0" w:type="dxa"/>
            <w:right w:w="0" w:type="dxa"/>
          </w:tblCellMar>
        </w:tblPrEx>
        <w:trPr>
          <w:trHeight w:val="889" w:hRule="exact"/>
          <w:jc w:val="center"/>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6C3BDFE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序号</w:t>
            </w:r>
          </w:p>
        </w:tc>
        <w:tc>
          <w:tcPr>
            <w:tcW w:w="1087" w:type="dxa"/>
            <w:tcBorders>
              <w:top w:val="single" w:color="000000" w:sz="4" w:space="0"/>
              <w:left w:val="single" w:color="000000" w:sz="4" w:space="0"/>
              <w:bottom w:val="single" w:color="000000" w:sz="4" w:space="0"/>
              <w:right w:val="single" w:color="000000" w:sz="4" w:space="0"/>
            </w:tcBorders>
            <w:noWrap w:val="0"/>
            <w:vAlign w:val="center"/>
          </w:tcPr>
          <w:p w14:paraId="2D068E3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仪器设备　 名　　称</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14:paraId="035C7D3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型号 　规格</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1545394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数量</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5B0BC1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国别 产地</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14:paraId="44BB9F0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制造 年份</w:t>
            </w:r>
          </w:p>
        </w:tc>
        <w:tc>
          <w:tcPr>
            <w:tcW w:w="1212" w:type="dxa"/>
            <w:tcBorders>
              <w:top w:val="single" w:color="000000" w:sz="4" w:space="0"/>
              <w:left w:val="single" w:color="000000" w:sz="4" w:space="0"/>
              <w:bottom w:val="single" w:color="000000" w:sz="4" w:space="0"/>
              <w:right w:val="single" w:color="000000" w:sz="4" w:space="0"/>
            </w:tcBorders>
            <w:noWrap w:val="0"/>
            <w:vAlign w:val="center"/>
          </w:tcPr>
          <w:p w14:paraId="7B83109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已使用</w:t>
            </w:r>
          </w:p>
          <w:p w14:paraId="65594B4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台时数</w:t>
            </w:r>
          </w:p>
        </w:tc>
        <w:tc>
          <w:tcPr>
            <w:tcW w:w="1654" w:type="dxa"/>
            <w:tcBorders>
              <w:top w:val="single" w:color="000000" w:sz="4" w:space="0"/>
              <w:left w:val="single" w:color="000000" w:sz="4" w:space="0"/>
              <w:bottom w:val="single" w:color="000000" w:sz="4" w:space="0"/>
              <w:right w:val="single" w:color="000000" w:sz="4" w:space="0"/>
            </w:tcBorders>
            <w:noWrap w:val="0"/>
            <w:vAlign w:val="center"/>
          </w:tcPr>
          <w:p w14:paraId="718A73F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用途</w:t>
            </w:r>
          </w:p>
        </w:tc>
        <w:tc>
          <w:tcPr>
            <w:tcW w:w="687" w:type="dxa"/>
            <w:tcBorders>
              <w:top w:val="single" w:color="000000" w:sz="4" w:space="0"/>
              <w:left w:val="single" w:color="000000" w:sz="4" w:space="0"/>
              <w:bottom w:val="single" w:color="000000" w:sz="4" w:space="0"/>
              <w:right w:val="single" w:color="000000" w:sz="4" w:space="0"/>
            </w:tcBorders>
            <w:noWrap w:val="0"/>
            <w:vAlign w:val="center"/>
          </w:tcPr>
          <w:p w14:paraId="445EE822">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备注</w:t>
            </w:r>
          </w:p>
        </w:tc>
      </w:tr>
      <w:tr w14:paraId="0E3A3EF1">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000000" w:sz="4" w:space="0"/>
              <w:bottom w:val="single" w:color="000000" w:sz="4" w:space="0"/>
              <w:right w:val="single" w:color="000000" w:sz="4" w:space="0"/>
            </w:tcBorders>
            <w:noWrap w:val="0"/>
            <w:vAlign w:val="top"/>
          </w:tcPr>
          <w:p w14:paraId="0BB14914">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1087" w:type="dxa"/>
            <w:tcBorders>
              <w:top w:val="single" w:color="000000" w:sz="4" w:space="0"/>
              <w:left w:val="single" w:color="000000" w:sz="4" w:space="0"/>
              <w:bottom w:val="single" w:color="000000" w:sz="4" w:space="0"/>
              <w:right w:val="single" w:color="000000" w:sz="4" w:space="0"/>
            </w:tcBorders>
            <w:noWrap w:val="0"/>
            <w:vAlign w:val="top"/>
          </w:tcPr>
          <w:p w14:paraId="033C97F5">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14:paraId="2589E660">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991" w:type="dxa"/>
            <w:tcBorders>
              <w:top w:val="single" w:color="000000" w:sz="4" w:space="0"/>
              <w:left w:val="single" w:color="000000" w:sz="4" w:space="0"/>
              <w:bottom w:val="single" w:color="000000" w:sz="4" w:space="0"/>
              <w:right w:val="single" w:color="000000" w:sz="4" w:space="0"/>
            </w:tcBorders>
            <w:noWrap w:val="0"/>
            <w:vAlign w:val="top"/>
          </w:tcPr>
          <w:p w14:paraId="3B4912DC">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14:paraId="3BD87869">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738" w:type="dxa"/>
            <w:tcBorders>
              <w:top w:val="single" w:color="000000" w:sz="4" w:space="0"/>
              <w:left w:val="single" w:color="000000" w:sz="4" w:space="0"/>
              <w:bottom w:val="single" w:color="000000" w:sz="4" w:space="0"/>
              <w:right w:val="single" w:color="000000" w:sz="4" w:space="0"/>
            </w:tcBorders>
            <w:noWrap w:val="0"/>
            <w:vAlign w:val="top"/>
          </w:tcPr>
          <w:p w14:paraId="16F69D0A">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1212" w:type="dxa"/>
            <w:tcBorders>
              <w:top w:val="single" w:color="000000" w:sz="4" w:space="0"/>
              <w:left w:val="single" w:color="000000" w:sz="4" w:space="0"/>
              <w:bottom w:val="single" w:color="000000" w:sz="4" w:space="0"/>
              <w:right w:val="single" w:color="000000" w:sz="4" w:space="0"/>
            </w:tcBorders>
            <w:noWrap w:val="0"/>
            <w:vAlign w:val="top"/>
          </w:tcPr>
          <w:p w14:paraId="11AD1ABC">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1654" w:type="dxa"/>
            <w:tcBorders>
              <w:top w:val="single" w:color="000000" w:sz="4" w:space="0"/>
              <w:left w:val="single" w:color="000000" w:sz="4" w:space="0"/>
              <w:bottom w:val="single" w:color="000000" w:sz="4" w:space="0"/>
              <w:right w:val="single" w:color="000000" w:sz="4" w:space="0"/>
            </w:tcBorders>
            <w:noWrap w:val="0"/>
            <w:vAlign w:val="top"/>
          </w:tcPr>
          <w:p w14:paraId="12245F40">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87" w:type="dxa"/>
            <w:tcBorders>
              <w:top w:val="single" w:color="000000" w:sz="4" w:space="0"/>
              <w:left w:val="single" w:color="000000" w:sz="4" w:space="0"/>
              <w:bottom w:val="single" w:color="000000" w:sz="4" w:space="0"/>
              <w:right w:val="single" w:color="000000" w:sz="4" w:space="0"/>
            </w:tcBorders>
            <w:noWrap w:val="0"/>
            <w:vAlign w:val="top"/>
          </w:tcPr>
          <w:p w14:paraId="3230DA1B">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r w14:paraId="1545DDEA">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000000" w:sz="4" w:space="0"/>
              <w:bottom w:val="single" w:color="000000" w:sz="4" w:space="0"/>
              <w:right w:val="single" w:color="000000" w:sz="4" w:space="0"/>
            </w:tcBorders>
            <w:noWrap w:val="0"/>
            <w:vAlign w:val="top"/>
          </w:tcPr>
          <w:p w14:paraId="52C6AF68">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1087" w:type="dxa"/>
            <w:tcBorders>
              <w:top w:val="single" w:color="000000" w:sz="4" w:space="0"/>
              <w:left w:val="single" w:color="000000" w:sz="4" w:space="0"/>
              <w:bottom w:val="single" w:color="000000" w:sz="4" w:space="0"/>
              <w:right w:val="single" w:color="000000" w:sz="4" w:space="0"/>
            </w:tcBorders>
            <w:noWrap w:val="0"/>
            <w:vAlign w:val="top"/>
          </w:tcPr>
          <w:p w14:paraId="530A6389">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14:paraId="1EB87F48">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991" w:type="dxa"/>
            <w:tcBorders>
              <w:top w:val="single" w:color="000000" w:sz="4" w:space="0"/>
              <w:left w:val="single" w:color="000000" w:sz="4" w:space="0"/>
              <w:bottom w:val="single" w:color="000000" w:sz="4" w:space="0"/>
              <w:right w:val="single" w:color="000000" w:sz="4" w:space="0"/>
            </w:tcBorders>
            <w:noWrap w:val="0"/>
            <w:vAlign w:val="top"/>
          </w:tcPr>
          <w:p w14:paraId="5479E2CF">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14:paraId="7917FB93">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738" w:type="dxa"/>
            <w:tcBorders>
              <w:top w:val="single" w:color="000000" w:sz="4" w:space="0"/>
              <w:left w:val="single" w:color="000000" w:sz="4" w:space="0"/>
              <w:bottom w:val="single" w:color="000000" w:sz="4" w:space="0"/>
              <w:right w:val="single" w:color="000000" w:sz="4" w:space="0"/>
            </w:tcBorders>
            <w:noWrap w:val="0"/>
            <w:vAlign w:val="top"/>
          </w:tcPr>
          <w:p w14:paraId="05E5454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1212" w:type="dxa"/>
            <w:tcBorders>
              <w:top w:val="single" w:color="000000" w:sz="4" w:space="0"/>
              <w:left w:val="single" w:color="000000" w:sz="4" w:space="0"/>
              <w:bottom w:val="single" w:color="000000" w:sz="4" w:space="0"/>
              <w:right w:val="single" w:color="000000" w:sz="4" w:space="0"/>
            </w:tcBorders>
            <w:noWrap w:val="0"/>
            <w:vAlign w:val="top"/>
          </w:tcPr>
          <w:p w14:paraId="55B51779">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1654" w:type="dxa"/>
            <w:tcBorders>
              <w:top w:val="single" w:color="000000" w:sz="4" w:space="0"/>
              <w:left w:val="single" w:color="000000" w:sz="4" w:space="0"/>
              <w:bottom w:val="single" w:color="000000" w:sz="4" w:space="0"/>
              <w:right w:val="single" w:color="000000" w:sz="4" w:space="0"/>
            </w:tcBorders>
            <w:noWrap w:val="0"/>
            <w:vAlign w:val="top"/>
          </w:tcPr>
          <w:p w14:paraId="157855AC">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87" w:type="dxa"/>
            <w:tcBorders>
              <w:top w:val="single" w:color="000000" w:sz="4" w:space="0"/>
              <w:left w:val="single" w:color="000000" w:sz="4" w:space="0"/>
              <w:bottom w:val="single" w:color="000000" w:sz="4" w:space="0"/>
              <w:right w:val="single" w:color="000000" w:sz="4" w:space="0"/>
            </w:tcBorders>
            <w:noWrap w:val="0"/>
            <w:vAlign w:val="top"/>
          </w:tcPr>
          <w:p w14:paraId="45D33E72">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r w14:paraId="21998581">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000000" w:sz="4" w:space="0"/>
              <w:bottom w:val="single" w:color="000000" w:sz="4" w:space="0"/>
              <w:right w:val="single" w:color="000000" w:sz="4" w:space="0"/>
            </w:tcBorders>
            <w:noWrap w:val="0"/>
            <w:vAlign w:val="top"/>
          </w:tcPr>
          <w:p w14:paraId="3EC3FBF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1087" w:type="dxa"/>
            <w:tcBorders>
              <w:top w:val="single" w:color="000000" w:sz="4" w:space="0"/>
              <w:left w:val="single" w:color="000000" w:sz="4" w:space="0"/>
              <w:bottom w:val="single" w:color="000000" w:sz="4" w:space="0"/>
              <w:right w:val="single" w:color="000000" w:sz="4" w:space="0"/>
            </w:tcBorders>
            <w:noWrap w:val="0"/>
            <w:vAlign w:val="top"/>
          </w:tcPr>
          <w:p w14:paraId="755F2F9B">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14:paraId="7CBC6050">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991" w:type="dxa"/>
            <w:tcBorders>
              <w:top w:val="single" w:color="000000" w:sz="4" w:space="0"/>
              <w:left w:val="single" w:color="000000" w:sz="4" w:space="0"/>
              <w:bottom w:val="single" w:color="000000" w:sz="4" w:space="0"/>
              <w:right w:val="single" w:color="000000" w:sz="4" w:space="0"/>
            </w:tcBorders>
            <w:noWrap w:val="0"/>
            <w:vAlign w:val="top"/>
          </w:tcPr>
          <w:p w14:paraId="2CF6B7C1">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14:paraId="650A566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738" w:type="dxa"/>
            <w:tcBorders>
              <w:top w:val="single" w:color="000000" w:sz="4" w:space="0"/>
              <w:left w:val="single" w:color="000000" w:sz="4" w:space="0"/>
              <w:bottom w:val="single" w:color="000000" w:sz="4" w:space="0"/>
              <w:right w:val="single" w:color="000000" w:sz="4" w:space="0"/>
            </w:tcBorders>
            <w:noWrap w:val="0"/>
            <w:vAlign w:val="top"/>
          </w:tcPr>
          <w:p w14:paraId="4C4286AD">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1212" w:type="dxa"/>
            <w:tcBorders>
              <w:top w:val="single" w:color="000000" w:sz="4" w:space="0"/>
              <w:left w:val="single" w:color="000000" w:sz="4" w:space="0"/>
              <w:bottom w:val="single" w:color="000000" w:sz="4" w:space="0"/>
              <w:right w:val="single" w:color="000000" w:sz="4" w:space="0"/>
            </w:tcBorders>
            <w:noWrap w:val="0"/>
            <w:vAlign w:val="top"/>
          </w:tcPr>
          <w:p w14:paraId="24D15C32">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1654" w:type="dxa"/>
            <w:tcBorders>
              <w:top w:val="single" w:color="000000" w:sz="4" w:space="0"/>
              <w:left w:val="single" w:color="000000" w:sz="4" w:space="0"/>
              <w:bottom w:val="single" w:color="000000" w:sz="4" w:space="0"/>
              <w:right w:val="single" w:color="000000" w:sz="4" w:space="0"/>
            </w:tcBorders>
            <w:noWrap w:val="0"/>
            <w:vAlign w:val="top"/>
          </w:tcPr>
          <w:p w14:paraId="5CC58FD4">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87" w:type="dxa"/>
            <w:tcBorders>
              <w:top w:val="single" w:color="000000" w:sz="4" w:space="0"/>
              <w:left w:val="single" w:color="000000" w:sz="4" w:space="0"/>
              <w:bottom w:val="single" w:color="000000" w:sz="4" w:space="0"/>
              <w:right w:val="single" w:color="000000" w:sz="4" w:space="0"/>
            </w:tcBorders>
            <w:noWrap w:val="0"/>
            <w:vAlign w:val="top"/>
          </w:tcPr>
          <w:p w14:paraId="59CF5032">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center"/>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bl>
    <w:p w14:paraId="7B4937A9">
      <w:pPr>
        <w:pageBreakBefore w:val="0"/>
        <w:kinsoku/>
        <w:wordWrap w:val="0"/>
        <w:overflowPunct/>
        <w:bidi w:val="0"/>
        <w:rPr>
          <w:rFonts w:hint="eastAsia" w:ascii="Times New Roman" w:hAnsi="Times New Roman" w:cs="宋体"/>
          <w:smallCaps w:val="0"/>
          <w:color w:val="000000" w:themeColor="text1"/>
          <w:szCs w:val="22"/>
          <w:highlight w:val="none"/>
          <w14:textFill>
            <w14:solidFill>
              <w14:schemeClr w14:val="tx1"/>
            </w14:solidFill>
          </w14:textFill>
        </w:rPr>
      </w:pPr>
    </w:p>
    <w:p w14:paraId="50F5871E">
      <w:pPr>
        <w:pStyle w:val="40"/>
        <w:pageBreakBefore w:val="0"/>
        <w:kinsoku/>
        <w:wordWrap w:val="0"/>
        <w:overflowPunct/>
        <w:bidi w:val="0"/>
        <w:outlineLvl w:val="9"/>
        <w:rPr>
          <w:rStyle w:val="39"/>
          <w:rFonts w:hint="eastAsia" w:ascii="Times New Roman" w:hAnsi="Times New Roman"/>
          <w:bCs/>
          <w:smallCaps w:val="0"/>
          <w:color w:val="000000" w:themeColor="text1"/>
          <w:kern w:val="2"/>
          <w:highlight w:val="none"/>
          <w:lang w:val="en-US" w:eastAsia="zh-CN" w:bidi="ar-SA"/>
          <w14:textFill>
            <w14:solidFill>
              <w14:schemeClr w14:val="tx1"/>
            </w14:solidFill>
          </w14:textFill>
        </w:rPr>
      </w:pPr>
      <w:bookmarkStart w:id="1979" w:name="_Toc224103506"/>
      <w:bookmarkStart w:id="1980" w:name="_Toc535241152"/>
      <w:bookmarkStart w:id="1981" w:name="_Toc460660264"/>
      <w:bookmarkStart w:id="1982" w:name="_Toc460227149"/>
      <w:bookmarkStart w:id="1983" w:name="_Toc31791"/>
      <w:r>
        <w:rPr>
          <w:rStyle w:val="39"/>
          <w:rFonts w:hint="eastAsia" w:ascii="Times New Roman" w:hAnsi="Times New Roman"/>
          <w:bCs/>
          <w:smallCaps w:val="0"/>
          <w:color w:val="000000" w:themeColor="text1"/>
          <w:kern w:val="2"/>
          <w:highlight w:val="none"/>
          <w:lang w:val="en-US" w:eastAsia="zh-CN" w:bidi="ar-SA"/>
          <w14:textFill>
            <w14:solidFill>
              <w14:schemeClr w14:val="tx1"/>
            </w14:solidFill>
          </w14:textFill>
        </w:rPr>
        <w:t>附表三：劳动力计划表</w:t>
      </w:r>
      <w:bookmarkEnd w:id="1979"/>
      <w:bookmarkEnd w:id="1980"/>
      <w:bookmarkEnd w:id="1981"/>
      <w:bookmarkEnd w:id="1982"/>
    </w:p>
    <w:bookmarkEnd w:id="1983"/>
    <w:p w14:paraId="553B0443">
      <w:pPr>
        <w:pStyle w:val="79"/>
        <w:pageBreakBefore w:val="0"/>
        <w:kinsoku/>
        <w:wordWrap w:val="0"/>
        <w:overflowPunct/>
        <w:bidi w:val="0"/>
        <w:jc w:val="right"/>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单位</w:t>
      </w:r>
      <w:r>
        <w:rPr>
          <w:rFonts w:hint="eastAsia" w:ascii="Times New Roman" w:hAnsi="Times New Roman"/>
          <w:smallCaps w:val="0"/>
          <w:color w:val="000000" w:themeColor="text1"/>
          <w:highlight w:val="none"/>
          <w:lang w:eastAsia="zh-CN"/>
          <w14:textFill>
            <w14:solidFill>
              <w14:schemeClr w14:val="tx1"/>
            </w14:solidFill>
          </w14:textFill>
        </w:rPr>
        <w:t>：</w:t>
      </w:r>
      <w:r>
        <w:rPr>
          <w:rFonts w:hint="eastAsia" w:ascii="Times New Roman" w:hAnsi="Times New Roman"/>
          <w:smallCaps w:val="0"/>
          <w:color w:val="000000" w:themeColor="text1"/>
          <w:highlight w:val="none"/>
          <w14:textFill>
            <w14:solidFill>
              <w14:schemeClr w14:val="tx1"/>
            </w14:solidFill>
          </w14:textFill>
        </w:rPr>
        <w:t>人</w:t>
      </w:r>
    </w:p>
    <w:tbl>
      <w:tblPr>
        <w:tblStyle w:val="22"/>
        <w:tblW w:w="5000" w:type="pct"/>
        <w:jc w:val="center"/>
        <w:tblLayout w:type="autofit"/>
        <w:tblCellMar>
          <w:top w:w="0" w:type="dxa"/>
          <w:left w:w="0" w:type="dxa"/>
          <w:bottom w:w="0" w:type="dxa"/>
          <w:right w:w="0" w:type="dxa"/>
        </w:tblCellMar>
      </w:tblPr>
      <w:tblGrid>
        <w:gridCol w:w="827"/>
        <w:gridCol w:w="1304"/>
        <w:gridCol w:w="1063"/>
        <w:gridCol w:w="1064"/>
        <w:gridCol w:w="1063"/>
        <w:gridCol w:w="1064"/>
        <w:gridCol w:w="1063"/>
        <w:gridCol w:w="1066"/>
      </w:tblGrid>
      <w:tr w14:paraId="4B05C7A7">
        <w:tblPrEx>
          <w:tblCellMar>
            <w:top w:w="0" w:type="dxa"/>
            <w:left w:w="0" w:type="dxa"/>
            <w:bottom w:w="0" w:type="dxa"/>
            <w:right w:w="0" w:type="dxa"/>
          </w:tblCellMar>
        </w:tblPrEx>
        <w:trPr>
          <w:trHeight w:val="450" w:hRule="exact"/>
          <w:jc w:val="center"/>
        </w:trPr>
        <w:tc>
          <w:tcPr>
            <w:tcW w:w="486" w:type="pct"/>
            <w:vMerge w:val="restart"/>
            <w:tcBorders>
              <w:top w:val="single" w:color="000000" w:sz="4" w:space="0"/>
              <w:left w:val="single" w:color="000000" w:sz="4" w:space="0"/>
              <w:bottom w:val="single" w:color="000000" w:sz="4" w:space="0"/>
              <w:right w:val="single" w:color="000000" w:sz="4" w:space="0"/>
            </w:tcBorders>
            <w:noWrap w:val="0"/>
            <w:vAlign w:val="center"/>
          </w:tcPr>
          <w:p w14:paraId="0957E24A">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工种</w:t>
            </w:r>
          </w:p>
        </w:tc>
        <w:tc>
          <w:tcPr>
            <w:tcW w:w="4514" w:type="pct"/>
            <w:gridSpan w:val="7"/>
            <w:tcBorders>
              <w:top w:val="single" w:color="000000" w:sz="4" w:space="0"/>
              <w:left w:val="single" w:color="000000" w:sz="4" w:space="0"/>
              <w:bottom w:val="single" w:color="000000" w:sz="4" w:space="0"/>
              <w:right w:val="single" w:color="000000" w:sz="4" w:space="0"/>
            </w:tcBorders>
            <w:noWrap w:val="0"/>
            <w:vAlign w:val="center"/>
          </w:tcPr>
          <w:p w14:paraId="4B7545AC">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按工程施工阶段投入劳动力情况</w:t>
            </w:r>
          </w:p>
        </w:tc>
      </w:tr>
      <w:tr w14:paraId="2C68E555">
        <w:tblPrEx>
          <w:tblCellMar>
            <w:top w:w="0" w:type="dxa"/>
            <w:left w:w="0" w:type="dxa"/>
            <w:bottom w:w="0" w:type="dxa"/>
            <w:right w:w="0" w:type="dxa"/>
          </w:tblCellMar>
        </w:tblPrEx>
        <w:trPr>
          <w:trHeight w:val="450" w:hRule="exact"/>
          <w:jc w:val="center"/>
        </w:trPr>
        <w:tc>
          <w:tcPr>
            <w:tcW w:w="4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DF6076">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766" w:type="pct"/>
            <w:tcBorders>
              <w:top w:val="single" w:color="000000" w:sz="4" w:space="0"/>
              <w:left w:val="single" w:color="000000" w:sz="4" w:space="0"/>
              <w:bottom w:val="single" w:color="000000" w:sz="4" w:space="0"/>
              <w:right w:val="single" w:color="000000" w:sz="4" w:space="0"/>
            </w:tcBorders>
            <w:noWrap w:val="0"/>
            <w:vAlign w:val="top"/>
          </w:tcPr>
          <w:p w14:paraId="3AA93B4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5356AED3">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noWrap w:val="0"/>
            <w:vAlign w:val="top"/>
          </w:tcPr>
          <w:p w14:paraId="2E8F50C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22CF0F8F">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noWrap w:val="0"/>
            <w:vAlign w:val="top"/>
          </w:tcPr>
          <w:p w14:paraId="271A35A9">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17AE5001">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c>
          <w:tcPr>
            <w:tcW w:w="626" w:type="pct"/>
            <w:tcBorders>
              <w:top w:val="single" w:color="000000" w:sz="4" w:space="0"/>
              <w:left w:val="single" w:color="000000" w:sz="4" w:space="0"/>
              <w:bottom w:val="single" w:color="000000" w:sz="4" w:space="0"/>
              <w:right w:val="single" w:color="000000" w:sz="4" w:space="0"/>
            </w:tcBorders>
            <w:noWrap w:val="0"/>
            <w:vAlign w:val="top"/>
          </w:tcPr>
          <w:p w14:paraId="72F89A4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p>
        </w:tc>
      </w:tr>
      <w:tr w14:paraId="688C6399">
        <w:tblPrEx>
          <w:tblCellMar>
            <w:top w:w="0" w:type="dxa"/>
            <w:left w:w="0" w:type="dxa"/>
            <w:bottom w:w="0" w:type="dxa"/>
            <w:right w:w="0" w:type="dxa"/>
          </w:tblCellMar>
        </w:tblPrEx>
        <w:trPr>
          <w:trHeight w:val="450" w:hRule="exact"/>
          <w:jc w:val="center"/>
        </w:trPr>
        <w:tc>
          <w:tcPr>
            <w:tcW w:w="486" w:type="pct"/>
            <w:tcBorders>
              <w:top w:val="single" w:color="000000" w:sz="4" w:space="0"/>
              <w:left w:val="single" w:color="000000" w:sz="4" w:space="0"/>
              <w:bottom w:val="single" w:color="000000" w:sz="4" w:space="0"/>
              <w:right w:val="single" w:color="000000" w:sz="4" w:space="0"/>
            </w:tcBorders>
            <w:noWrap w:val="0"/>
            <w:vAlign w:val="top"/>
          </w:tcPr>
          <w:p w14:paraId="53EFD36F">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766" w:type="pct"/>
            <w:tcBorders>
              <w:top w:val="single" w:color="000000" w:sz="4" w:space="0"/>
              <w:left w:val="single" w:color="000000" w:sz="4" w:space="0"/>
              <w:bottom w:val="single" w:color="000000" w:sz="4" w:space="0"/>
              <w:right w:val="single" w:color="000000" w:sz="4" w:space="0"/>
            </w:tcBorders>
            <w:noWrap w:val="0"/>
            <w:vAlign w:val="top"/>
          </w:tcPr>
          <w:p w14:paraId="55D231A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63A24C7C">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noWrap w:val="0"/>
            <w:vAlign w:val="top"/>
          </w:tcPr>
          <w:p w14:paraId="1800591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55CBAD9B">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noWrap w:val="0"/>
            <w:vAlign w:val="top"/>
          </w:tcPr>
          <w:p w14:paraId="1FAD1E0A">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0AD11BB0">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6" w:type="pct"/>
            <w:tcBorders>
              <w:top w:val="single" w:color="000000" w:sz="4" w:space="0"/>
              <w:left w:val="single" w:color="000000" w:sz="4" w:space="0"/>
              <w:bottom w:val="single" w:color="000000" w:sz="4" w:space="0"/>
              <w:right w:val="single" w:color="000000" w:sz="4" w:space="0"/>
            </w:tcBorders>
            <w:noWrap w:val="0"/>
            <w:vAlign w:val="top"/>
          </w:tcPr>
          <w:p w14:paraId="780BFD6D">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r w14:paraId="1E79A491">
        <w:tblPrEx>
          <w:tblCellMar>
            <w:top w:w="0" w:type="dxa"/>
            <w:left w:w="0" w:type="dxa"/>
            <w:bottom w:w="0" w:type="dxa"/>
            <w:right w:w="0" w:type="dxa"/>
          </w:tblCellMar>
        </w:tblPrEx>
        <w:trPr>
          <w:trHeight w:val="450" w:hRule="exact"/>
          <w:jc w:val="center"/>
        </w:trPr>
        <w:tc>
          <w:tcPr>
            <w:tcW w:w="486" w:type="pct"/>
            <w:tcBorders>
              <w:top w:val="single" w:color="000000" w:sz="4" w:space="0"/>
              <w:left w:val="single" w:color="000000" w:sz="4" w:space="0"/>
              <w:bottom w:val="single" w:color="000000" w:sz="4" w:space="0"/>
              <w:right w:val="single" w:color="000000" w:sz="4" w:space="0"/>
            </w:tcBorders>
            <w:noWrap w:val="0"/>
            <w:vAlign w:val="top"/>
          </w:tcPr>
          <w:p w14:paraId="38689B37">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766" w:type="pct"/>
            <w:tcBorders>
              <w:top w:val="single" w:color="000000" w:sz="4" w:space="0"/>
              <w:left w:val="single" w:color="000000" w:sz="4" w:space="0"/>
              <w:bottom w:val="single" w:color="000000" w:sz="4" w:space="0"/>
              <w:right w:val="single" w:color="000000" w:sz="4" w:space="0"/>
            </w:tcBorders>
            <w:noWrap w:val="0"/>
            <w:vAlign w:val="top"/>
          </w:tcPr>
          <w:p w14:paraId="122C2110">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7913D939">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noWrap w:val="0"/>
            <w:vAlign w:val="top"/>
          </w:tcPr>
          <w:p w14:paraId="39F1A9F5">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63ED0F93">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noWrap w:val="0"/>
            <w:vAlign w:val="top"/>
          </w:tcPr>
          <w:p w14:paraId="62F6004B">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6D9B9E7D">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6" w:type="pct"/>
            <w:tcBorders>
              <w:top w:val="single" w:color="000000" w:sz="4" w:space="0"/>
              <w:left w:val="single" w:color="000000" w:sz="4" w:space="0"/>
              <w:bottom w:val="single" w:color="000000" w:sz="4" w:space="0"/>
              <w:right w:val="single" w:color="000000" w:sz="4" w:space="0"/>
            </w:tcBorders>
            <w:noWrap w:val="0"/>
            <w:vAlign w:val="top"/>
          </w:tcPr>
          <w:p w14:paraId="7222A0E9">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r w14:paraId="36643DBB">
        <w:tblPrEx>
          <w:tblCellMar>
            <w:top w:w="0" w:type="dxa"/>
            <w:left w:w="0" w:type="dxa"/>
            <w:bottom w:w="0" w:type="dxa"/>
            <w:right w:w="0" w:type="dxa"/>
          </w:tblCellMar>
        </w:tblPrEx>
        <w:trPr>
          <w:trHeight w:val="450" w:hRule="exact"/>
          <w:jc w:val="center"/>
        </w:trPr>
        <w:tc>
          <w:tcPr>
            <w:tcW w:w="486" w:type="pct"/>
            <w:tcBorders>
              <w:top w:val="single" w:color="000000" w:sz="4" w:space="0"/>
              <w:left w:val="single" w:color="000000" w:sz="4" w:space="0"/>
              <w:bottom w:val="single" w:color="000000" w:sz="4" w:space="0"/>
              <w:right w:val="single" w:color="000000" w:sz="4" w:space="0"/>
            </w:tcBorders>
            <w:noWrap w:val="0"/>
            <w:vAlign w:val="top"/>
          </w:tcPr>
          <w:p w14:paraId="4625098A">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766" w:type="pct"/>
            <w:tcBorders>
              <w:top w:val="single" w:color="000000" w:sz="4" w:space="0"/>
              <w:left w:val="single" w:color="000000" w:sz="4" w:space="0"/>
              <w:bottom w:val="single" w:color="000000" w:sz="4" w:space="0"/>
              <w:right w:val="single" w:color="000000" w:sz="4" w:space="0"/>
            </w:tcBorders>
            <w:noWrap w:val="0"/>
            <w:vAlign w:val="top"/>
          </w:tcPr>
          <w:p w14:paraId="39F4E3C8">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03AB5457">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noWrap w:val="0"/>
            <w:vAlign w:val="top"/>
          </w:tcPr>
          <w:p w14:paraId="3942445E">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273A0129">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noWrap w:val="0"/>
            <w:vAlign w:val="top"/>
          </w:tcPr>
          <w:p w14:paraId="016006C8">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noWrap w:val="0"/>
            <w:vAlign w:val="top"/>
          </w:tcPr>
          <w:p w14:paraId="404EE853">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626" w:type="pct"/>
            <w:tcBorders>
              <w:top w:val="single" w:color="000000" w:sz="4" w:space="0"/>
              <w:left w:val="single" w:color="000000" w:sz="4" w:space="0"/>
              <w:bottom w:val="single" w:color="000000" w:sz="4" w:space="0"/>
              <w:right w:val="single" w:color="000000" w:sz="4" w:space="0"/>
            </w:tcBorders>
            <w:noWrap w:val="0"/>
            <w:vAlign w:val="top"/>
          </w:tcPr>
          <w:p w14:paraId="417EFCC2">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bl>
    <w:p w14:paraId="4E820BF2">
      <w:pPr>
        <w:pageBreakBefore w:val="0"/>
        <w:kinsoku/>
        <w:wordWrap w:val="0"/>
        <w:overflowPunct/>
        <w:bidi w:val="0"/>
        <w:jc w:val="center"/>
        <w:rPr>
          <w:rFonts w:hint="eastAsia" w:ascii="Times New Roman" w:hAnsi="Times New Roman" w:cs="宋体"/>
          <w:smallCaps w:val="0"/>
          <w:color w:val="000000" w:themeColor="text1"/>
          <w:sz w:val="28"/>
          <w:szCs w:val="28"/>
          <w:highlight w:val="none"/>
          <w14:textFill>
            <w14:solidFill>
              <w14:schemeClr w14:val="tx1"/>
            </w14:solidFill>
          </w14:textFill>
        </w:rPr>
      </w:pPr>
      <w:bookmarkStart w:id="1984" w:name="_Toc460227150"/>
      <w:bookmarkStart w:id="1985" w:name="_Toc535241153"/>
      <w:bookmarkStart w:id="1986" w:name="_Toc224103507"/>
      <w:bookmarkStart w:id="1987" w:name="_Toc460660265"/>
    </w:p>
    <w:p w14:paraId="3695862E">
      <w:pPr>
        <w:pageBreakBefore w:val="0"/>
        <w:kinsoku/>
        <w:wordWrap w:val="0"/>
        <w:overflowPunct/>
        <w:bidi w:val="0"/>
        <w:jc w:val="center"/>
        <w:rPr>
          <w:rStyle w:val="39"/>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cs="宋体"/>
          <w:smallCaps w:val="0"/>
          <w:color w:val="000000" w:themeColor="text1"/>
          <w:sz w:val="28"/>
          <w:szCs w:val="28"/>
          <w:highlight w:val="none"/>
          <w14:textFill>
            <w14:solidFill>
              <w14:schemeClr w14:val="tx1"/>
            </w14:solidFill>
          </w14:textFill>
        </w:rPr>
        <w:br w:type="page"/>
      </w:r>
      <w:bookmarkStart w:id="1988" w:name="_Toc23002"/>
      <w:r>
        <w:rPr>
          <w:rStyle w:val="39"/>
          <w:rFonts w:hint="eastAsia" w:ascii="Times New Roman" w:hAnsi="Times New Roman"/>
          <w:smallCaps w:val="0"/>
          <w:color w:val="000000" w:themeColor="text1"/>
          <w:kern w:val="2"/>
          <w:highlight w:val="none"/>
          <w:lang w:val="en-US" w:eastAsia="zh-CN" w:bidi="ar-SA"/>
          <w14:textFill>
            <w14:solidFill>
              <w14:schemeClr w14:val="tx1"/>
            </w14:solidFill>
          </w14:textFill>
        </w:rPr>
        <w:t>附表四：计划开、竣工日期和施工进度网络图</w:t>
      </w:r>
      <w:bookmarkEnd w:id="1984"/>
      <w:bookmarkEnd w:id="1985"/>
      <w:bookmarkEnd w:id="1986"/>
      <w:bookmarkEnd w:id="1987"/>
    </w:p>
    <w:bookmarkEnd w:id="1988"/>
    <w:p w14:paraId="296EE79D">
      <w:pPr>
        <w:pageBreakBefore w:val="0"/>
        <w:kinsoku/>
        <w:wordWrap w:val="0"/>
        <w:overflowPunct/>
        <w:autoSpaceDE w:val="0"/>
        <w:autoSpaceDN w:val="0"/>
        <w:bidi w:val="0"/>
        <w:adjustRightInd w:val="0"/>
        <w:snapToGrid w:val="0"/>
        <w:spacing w:line="360" w:lineRule="auto"/>
        <w:jc w:val="center"/>
        <w:rPr>
          <w:rFonts w:hint="eastAsia" w:ascii="Times New Roman" w:hAnsi="Times New Roman" w:cs="宋体"/>
          <w:smallCaps w:val="0"/>
          <w:color w:val="000000" w:themeColor="text1"/>
          <w:kern w:val="0"/>
          <w:sz w:val="20"/>
          <w:szCs w:val="22"/>
          <w:highlight w:val="none"/>
          <w14:textFill>
            <w14:solidFill>
              <w14:schemeClr w14:val="tx1"/>
            </w14:solidFill>
          </w14:textFill>
        </w:rPr>
      </w:pPr>
    </w:p>
    <w:p w14:paraId="564CED08">
      <w:pPr>
        <w:pStyle w:val="79"/>
        <w:pageBreakBefore w:val="0"/>
        <w:kinsoku/>
        <w:wordWrap w:val="0"/>
        <w:overflowPunct/>
        <w:bidi w:val="0"/>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1. 投标人应</w:t>
      </w:r>
      <w:r>
        <w:rPr>
          <w:rFonts w:hint="eastAsia" w:ascii="Times New Roman" w:hAnsi="Times New Roman"/>
          <w:smallCaps w:val="0"/>
          <w:color w:val="000000" w:themeColor="text1"/>
          <w:sz w:val="24"/>
          <w:szCs w:val="24"/>
          <w:highlight w:val="none"/>
          <w:lang w:eastAsia="zh"/>
          <w14:textFill>
            <w14:solidFill>
              <w14:schemeClr w14:val="tx1"/>
            </w14:solidFill>
          </w14:textFill>
        </w:rPr>
        <w:t>提交</w:t>
      </w:r>
      <w:r>
        <w:rPr>
          <w:rFonts w:hint="eastAsia" w:ascii="Times New Roman" w:hAnsi="Times New Roman"/>
          <w:smallCaps w:val="0"/>
          <w:color w:val="000000" w:themeColor="text1"/>
          <w:sz w:val="24"/>
          <w:szCs w:val="24"/>
          <w:highlight w:val="none"/>
          <w14:textFill>
            <w14:solidFill>
              <w14:schemeClr w14:val="tx1"/>
            </w14:solidFill>
          </w14:textFill>
        </w:rPr>
        <w:t>施工进度网络图或施工进度表，说明按招标文件要求的计划工期进行施工的各个关键日期。</w:t>
      </w:r>
    </w:p>
    <w:p w14:paraId="3A2A7B54">
      <w:pPr>
        <w:pStyle w:val="79"/>
        <w:pageBreakBefore w:val="0"/>
        <w:kinsoku/>
        <w:wordWrap w:val="0"/>
        <w:overflowPunct/>
        <w:bidi w:val="0"/>
        <w:rPr>
          <w:rFonts w:hint="eastAsia" w:ascii="Times New Roman" w:hAnsi="Times New Roman"/>
          <w:smallCaps w:val="0"/>
          <w:color w:val="000000" w:themeColor="text1"/>
          <w:sz w:val="24"/>
          <w:szCs w:val="24"/>
          <w:highlight w:val="none"/>
          <w14:textFill>
            <w14:solidFill>
              <w14:schemeClr w14:val="tx1"/>
            </w14:solidFill>
          </w14:textFill>
        </w:rPr>
      </w:pPr>
      <w:r>
        <w:rPr>
          <w:rFonts w:hint="eastAsia" w:ascii="Times New Roman" w:hAnsi="Times New Roman"/>
          <w:smallCaps w:val="0"/>
          <w:color w:val="000000" w:themeColor="text1"/>
          <w:sz w:val="24"/>
          <w:szCs w:val="24"/>
          <w:highlight w:val="none"/>
          <w14:textFill>
            <w14:solidFill>
              <w14:schemeClr w14:val="tx1"/>
            </w14:solidFill>
          </w14:textFill>
        </w:rPr>
        <w:t>2. 施工进度表可采用网络图（或横道图）表示。</w:t>
      </w:r>
    </w:p>
    <w:p w14:paraId="659E2996">
      <w:pPr>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p>
    <w:p w14:paraId="578CCF48">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p w14:paraId="72AA88BE">
      <w:pPr>
        <w:pageBreakBefore w:val="0"/>
        <w:kinsoku/>
        <w:wordWrap w:val="0"/>
        <w:overflowPunct/>
        <w:bidi w:val="0"/>
        <w:rPr>
          <w:rStyle w:val="39"/>
          <w:rFonts w:hint="eastAsia" w:ascii="Times New Roman" w:hAnsi="Times New Roman"/>
          <w:smallCaps w:val="0"/>
          <w:color w:val="000000" w:themeColor="text1"/>
          <w:highlight w:val="none"/>
          <w14:textFill>
            <w14:solidFill>
              <w14:schemeClr w14:val="tx1"/>
            </w14:solidFill>
          </w14:textFill>
        </w:rPr>
      </w:pPr>
      <w:bookmarkStart w:id="1989" w:name="_Toc460660266"/>
      <w:bookmarkStart w:id="1990" w:name="_Toc460227151"/>
      <w:bookmarkStart w:id="1991" w:name="_Toc535241154"/>
      <w:bookmarkStart w:id="1992" w:name="_Toc224103508"/>
      <w:r>
        <w:rPr>
          <w:rStyle w:val="39"/>
          <w:rFonts w:hint="eastAsia" w:ascii="Times New Roman" w:hAnsi="Times New Roman"/>
          <w:smallCaps w:val="0"/>
          <w:color w:val="000000" w:themeColor="text1"/>
          <w:highlight w:val="none"/>
          <w14:textFill>
            <w14:solidFill>
              <w14:schemeClr w14:val="tx1"/>
            </w14:solidFill>
          </w14:textFill>
        </w:rPr>
        <w:br w:type="page"/>
      </w:r>
    </w:p>
    <w:p w14:paraId="381DB8F5">
      <w:pPr>
        <w:pageBreakBefore w:val="0"/>
        <w:kinsoku/>
        <w:wordWrap w:val="0"/>
        <w:overflowPunct/>
        <w:bidi w:val="0"/>
        <w:jc w:val="center"/>
        <w:rPr>
          <w:rStyle w:val="39"/>
          <w:rFonts w:hint="eastAsia" w:ascii="Times New Roman" w:hAnsi="Times New Roman"/>
          <w:smallCaps w:val="0"/>
          <w:color w:val="000000" w:themeColor="text1"/>
          <w:kern w:val="2"/>
          <w:highlight w:val="none"/>
          <w:lang w:val="en-US" w:eastAsia="zh-CN" w:bidi="ar-SA"/>
          <w14:textFill>
            <w14:solidFill>
              <w14:schemeClr w14:val="tx1"/>
            </w14:solidFill>
          </w14:textFill>
        </w:rPr>
      </w:pPr>
      <w:bookmarkStart w:id="1993" w:name="_Toc12544"/>
      <w:r>
        <w:rPr>
          <w:rStyle w:val="39"/>
          <w:rFonts w:hint="eastAsia" w:ascii="Times New Roman" w:hAnsi="Times New Roman"/>
          <w:smallCaps w:val="0"/>
          <w:color w:val="000000" w:themeColor="text1"/>
          <w:kern w:val="2"/>
          <w:highlight w:val="none"/>
          <w:lang w:val="en-US" w:eastAsia="zh-CN" w:bidi="ar-SA"/>
          <w14:textFill>
            <w14:solidFill>
              <w14:schemeClr w14:val="tx1"/>
            </w14:solidFill>
          </w14:textFill>
        </w:rPr>
        <w:t>附表五：施工总平面图</w:t>
      </w:r>
      <w:bookmarkEnd w:id="1989"/>
      <w:bookmarkEnd w:id="1990"/>
      <w:bookmarkEnd w:id="1991"/>
      <w:bookmarkEnd w:id="1992"/>
    </w:p>
    <w:bookmarkEnd w:id="1993"/>
    <w:p w14:paraId="38B17884">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smallCaps w:val="0"/>
          <w:color w:val="000000" w:themeColor="text1"/>
          <w:kern w:val="0"/>
          <w:szCs w:val="22"/>
          <w:highlight w:val="none"/>
          <w14:textFill>
            <w14:solidFill>
              <w14:schemeClr w14:val="tx1"/>
            </w14:solidFill>
          </w14:textFill>
        </w:rPr>
      </w:pPr>
    </w:p>
    <w:p w14:paraId="2118F939">
      <w:pPr>
        <w:pageBreakBefore w:val="0"/>
        <w:kinsoku/>
        <w:wordWrap w:val="0"/>
        <w:overflowPunct/>
        <w:autoSpaceDE w:val="0"/>
        <w:autoSpaceDN w:val="0"/>
        <w:bidi w:val="0"/>
        <w:adjustRightInd w:val="0"/>
        <w:snapToGrid w:val="0"/>
        <w:spacing w:line="360" w:lineRule="auto"/>
        <w:ind w:firstLine="484" w:firstLineChars="202"/>
        <w:jc w:val="left"/>
        <w:rPr>
          <w:rFonts w:hint="eastAsia" w:ascii="Times New Roman" w:hAnsi="Times New Roman" w:cs="宋体"/>
          <w:smallCaps w:val="0"/>
          <w:color w:val="000000" w:themeColor="text1"/>
          <w:kern w:val="0"/>
          <w:szCs w:val="22"/>
          <w:highlight w:val="none"/>
          <w14:textFill>
            <w14:solidFill>
              <w14:schemeClr w14:val="tx1"/>
            </w14:solidFill>
          </w14:textFill>
        </w:rPr>
      </w:pPr>
      <w:r>
        <w:rPr>
          <w:rFonts w:hint="eastAsia" w:ascii="Times New Roman" w:hAnsi="Times New Roman" w:cs="宋体"/>
          <w:smallCaps w:val="0"/>
          <w:color w:val="000000" w:themeColor="text1"/>
          <w:kern w:val="0"/>
          <w:szCs w:val="22"/>
          <w:highlight w:val="none"/>
          <w14:textFill>
            <w14:solidFill>
              <w14:schemeClr w14:val="tx1"/>
            </w14:solidFill>
          </w14:textFill>
        </w:rPr>
        <w:t>投标人应</w:t>
      </w:r>
      <w:r>
        <w:rPr>
          <w:rFonts w:hint="eastAsia" w:ascii="Times New Roman" w:hAnsi="Times New Roman" w:cs="宋体"/>
          <w:smallCaps w:val="0"/>
          <w:color w:val="000000" w:themeColor="text1"/>
          <w:kern w:val="0"/>
          <w:szCs w:val="22"/>
          <w:highlight w:val="none"/>
          <w:lang w:eastAsia="zh"/>
          <w14:textFill>
            <w14:solidFill>
              <w14:schemeClr w14:val="tx1"/>
            </w14:solidFill>
          </w14:textFill>
        </w:rPr>
        <w:t>提交</w:t>
      </w:r>
      <w:r>
        <w:rPr>
          <w:rFonts w:hint="eastAsia" w:ascii="Times New Roman" w:hAnsi="Times New Roman" w:cs="宋体"/>
          <w:smallCaps w:val="0"/>
          <w:color w:val="000000" w:themeColor="text1"/>
          <w:kern w:val="0"/>
          <w:szCs w:val="22"/>
          <w:highlight w:val="none"/>
          <w14:textFill>
            <w14:solidFill>
              <w14:schemeClr w14:val="tx1"/>
            </w14:solidFill>
          </w14:textFill>
        </w:rPr>
        <w:t>一份施工总平面图</w:t>
      </w:r>
      <w:r>
        <w:rPr>
          <w:rFonts w:hint="eastAsia" w:ascii="Times New Roman" w:hAnsi="Times New Roman" w:cs="宋体"/>
          <w:smallCaps w:val="0"/>
          <w:color w:val="000000" w:themeColor="text1"/>
          <w:spacing w:val="-47"/>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绘出现场临时设施布置图表并附文字说明</w:t>
      </w:r>
      <w:r>
        <w:rPr>
          <w:rFonts w:hint="eastAsia" w:ascii="Times New Roman" w:hAnsi="Times New Roman" w:cs="宋体"/>
          <w:smallCaps w:val="0"/>
          <w:color w:val="000000" w:themeColor="text1"/>
          <w:spacing w:val="-47"/>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说明临时设施</w:t>
      </w:r>
      <w:r>
        <w:rPr>
          <w:rFonts w:hint="eastAsia" w:ascii="Times New Roman" w:hAnsi="Times New Roman" w:cs="宋体"/>
          <w:smallCaps w:val="0"/>
          <w:color w:val="000000" w:themeColor="text1"/>
          <w:spacing w:val="-11"/>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加工车间</w:t>
      </w:r>
      <w:r>
        <w:rPr>
          <w:rFonts w:hint="eastAsia" w:ascii="Times New Roman" w:hAnsi="Times New Roman" w:cs="宋体"/>
          <w:smallCaps w:val="0"/>
          <w:color w:val="000000" w:themeColor="text1"/>
          <w:spacing w:val="-11"/>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现场办公</w:t>
      </w:r>
      <w:r>
        <w:rPr>
          <w:rFonts w:hint="eastAsia" w:ascii="Times New Roman" w:hAnsi="Times New Roman" w:cs="宋体"/>
          <w:smallCaps w:val="0"/>
          <w:color w:val="000000" w:themeColor="text1"/>
          <w:spacing w:val="-11"/>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设备及仓储</w:t>
      </w:r>
      <w:r>
        <w:rPr>
          <w:rFonts w:hint="eastAsia" w:ascii="Times New Roman" w:hAnsi="Times New Roman" w:cs="宋体"/>
          <w:smallCaps w:val="0"/>
          <w:color w:val="000000" w:themeColor="text1"/>
          <w:spacing w:val="-11"/>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供电</w:t>
      </w:r>
      <w:r>
        <w:rPr>
          <w:rFonts w:hint="eastAsia" w:ascii="Times New Roman" w:hAnsi="Times New Roman" w:cs="宋体"/>
          <w:smallCaps w:val="0"/>
          <w:color w:val="000000" w:themeColor="text1"/>
          <w:spacing w:val="-11"/>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供水</w:t>
      </w:r>
      <w:r>
        <w:rPr>
          <w:rFonts w:hint="eastAsia" w:ascii="Times New Roman" w:hAnsi="Times New Roman" w:cs="宋体"/>
          <w:smallCaps w:val="0"/>
          <w:color w:val="000000" w:themeColor="text1"/>
          <w:spacing w:val="-10"/>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卫生</w:t>
      </w:r>
      <w:r>
        <w:rPr>
          <w:rFonts w:hint="eastAsia" w:ascii="Times New Roman" w:hAnsi="Times New Roman" w:cs="宋体"/>
          <w:smallCaps w:val="0"/>
          <w:color w:val="000000" w:themeColor="text1"/>
          <w:spacing w:val="-11"/>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生活</w:t>
      </w:r>
      <w:r>
        <w:rPr>
          <w:rFonts w:hint="eastAsia" w:ascii="Times New Roman" w:hAnsi="Times New Roman" w:cs="宋体"/>
          <w:smallCaps w:val="0"/>
          <w:color w:val="000000" w:themeColor="text1"/>
          <w:spacing w:val="-11"/>
          <w:kern w:val="0"/>
          <w:szCs w:val="22"/>
          <w:highlight w:val="none"/>
          <w14:textFill>
            <w14:solidFill>
              <w14:schemeClr w14:val="tx1"/>
            </w14:solidFill>
          </w14:textFill>
        </w:rPr>
        <w:t>、</w:t>
      </w:r>
      <w:r>
        <w:rPr>
          <w:rFonts w:hint="eastAsia" w:ascii="Times New Roman" w:hAnsi="Times New Roman" w:cs="宋体"/>
          <w:smallCaps w:val="0"/>
          <w:color w:val="000000" w:themeColor="text1"/>
          <w:kern w:val="0"/>
          <w:szCs w:val="22"/>
          <w:highlight w:val="none"/>
          <w14:textFill>
            <w14:solidFill>
              <w14:schemeClr w14:val="tx1"/>
            </w14:solidFill>
          </w14:textFill>
        </w:rPr>
        <w:t>道路</w:t>
      </w:r>
      <w:r>
        <w:rPr>
          <w:rFonts w:hint="eastAsia" w:ascii="Times New Roman" w:hAnsi="Times New Roman" w:cs="宋体"/>
          <w:smallCaps w:val="0"/>
          <w:color w:val="000000" w:themeColor="text1"/>
          <w:spacing w:val="-11"/>
          <w:kern w:val="0"/>
          <w:szCs w:val="22"/>
          <w:highlight w:val="none"/>
          <w14:textFill>
            <w14:solidFill>
              <w14:schemeClr w14:val="tx1"/>
            </w14:solidFill>
          </w14:textFill>
        </w:rPr>
        <w:t>、</w:t>
      </w:r>
      <w:r>
        <w:rPr>
          <w:rFonts w:hint="eastAsia" w:ascii="Times New Roman" w:hAnsi="Times New Roman" w:cs="宋体"/>
          <w:smallCaps w:val="0"/>
          <w:color w:val="000000" w:themeColor="text1"/>
          <w:spacing w:val="1"/>
          <w:kern w:val="0"/>
          <w:szCs w:val="22"/>
          <w:highlight w:val="none"/>
          <w14:textFill>
            <w14:solidFill>
              <w14:schemeClr w14:val="tx1"/>
            </w14:solidFill>
          </w14:textFill>
        </w:rPr>
        <w:t>消</w:t>
      </w:r>
      <w:r>
        <w:rPr>
          <w:rFonts w:hint="eastAsia" w:ascii="Times New Roman" w:hAnsi="Times New Roman" w:cs="宋体"/>
          <w:smallCaps w:val="0"/>
          <w:color w:val="000000" w:themeColor="text1"/>
          <w:kern w:val="0"/>
          <w:szCs w:val="22"/>
          <w:highlight w:val="none"/>
          <w14:textFill>
            <w14:solidFill>
              <w14:schemeClr w14:val="tx1"/>
            </w14:solidFill>
          </w14:textFill>
        </w:rPr>
        <w:t>防等设施的 情况和布置。</w:t>
      </w:r>
    </w:p>
    <w:p w14:paraId="063774FE">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smallCaps w:val="0"/>
          <w:color w:val="000000" w:themeColor="text1"/>
          <w:kern w:val="0"/>
          <w:szCs w:val="22"/>
          <w:highlight w:val="none"/>
          <w14:textFill>
            <w14:solidFill>
              <w14:schemeClr w14:val="tx1"/>
            </w14:solidFill>
          </w14:textFill>
        </w:rPr>
      </w:pPr>
    </w:p>
    <w:p w14:paraId="55ABF112">
      <w:pPr>
        <w:pageBreakBefore w:val="0"/>
        <w:kinsoku/>
        <w:wordWrap w:val="0"/>
        <w:overflowPunct/>
        <w:bidi w:val="0"/>
        <w:rPr>
          <w:rStyle w:val="39"/>
          <w:rFonts w:hint="eastAsia" w:ascii="Times New Roman" w:hAnsi="Times New Roman"/>
          <w:smallCaps w:val="0"/>
          <w:color w:val="000000" w:themeColor="text1"/>
          <w:highlight w:val="none"/>
          <w14:textFill>
            <w14:solidFill>
              <w14:schemeClr w14:val="tx1"/>
            </w14:solidFill>
          </w14:textFill>
        </w:rPr>
      </w:pPr>
      <w:bookmarkStart w:id="1994" w:name="_Toc224103509"/>
      <w:bookmarkStart w:id="1995" w:name="_Toc535241155"/>
      <w:bookmarkStart w:id="1996" w:name="_Toc460660267"/>
      <w:bookmarkStart w:id="1997" w:name="_Toc460227152"/>
      <w:r>
        <w:rPr>
          <w:rStyle w:val="39"/>
          <w:rFonts w:hint="eastAsia" w:ascii="Times New Roman" w:hAnsi="Times New Roman"/>
          <w:smallCaps w:val="0"/>
          <w:color w:val="000000" w:themeColor="text1"/>
          <w:highlight w:val="none"/>
          <w14:textFill>
            <w14:solidFill>
              <w14:schemeClr w14:val="tx1"/>
            </w14:solidFill>
          </w14:textFill>
        </w:rPr>
        <w:br w:type="page"/>
      </w:r>
    </w:p>
    <w:p w14:paraId="08CAE09C">
      <w:pPr>
        <w:pageBreakBefore w:val="0"/>
        <w:kinsoku/>
        <w:wordWrap w:val="0"/>
        <w:overflowPunct/>
        <w:bidi w:val="0"/>
        <w:jc w:val="center"/>
        <w:rPr>
          <w:rStyle w:val="39"/>
          <w:rFonts w:hint="eastAsia" w:ascii="Times New Roman" w:hAnsi="Times New Roman"/>
          <w:smallCaps w:val="0"/>
          <w:color w:val="000000" w:themeColor="text1"/>
          <w:highlight w:val="none"/>
          <w14:textFill>
            <w14:solidFill>
              <w14:schemeClr w14:val="tx1"/>
            </w14:solidFill>
          </w14:textFill>
        </w:rPr>
      </w:pPr>
      <w:bookmarkStart w:id="1998" w:name="_Toc6733"/>
      <w:r>
        <w:rPr>
          <w:rStyle w:val="39"/>
          <w:rFonts w:hint="eastAsia" w:ascii="Times New Roman" w:hAnsi="Times New Roman"/>
          <w:smallCaps w:val="0"/>
          <w:color w:val="000000" w:themeColor="text1"/>
          <w:highlight w:val="none"/>
          <w14:textFill>
            <w14:solidFill>
              <w14:schemeClr w14:val="tx1"/>
            </w14:solidFill>
          </w14:textFill>
        </w:rPr>
        <w:t>附表六</w:t>
      </w:r>
      <w:r>
        <w:rPr>
          <w:rStyle w:val="39"/>
          <w:rFonts w:hint="eastAsia" w:ascii="Times New Roman" w:hAnsi="Times New Roman"/>
          <w:smallCaps w:val="0"/>
          <w:color w:val="000000" w:themeColor="text1"/>
          <w:highlight w:val="none"/>
          <w:lang w:eastAsia="zh-CN"/>
          <w14:textFill>
            <w14:solidFill>
              <w14:schemeClr w14:val="tx1"/>
            </w14:solidFill>
          </w14:textFill>
        </w:rPr>
        <w:t>：</w:t>
      </w:r>
      <w:r>
        <w:rPr>
          <w:rStyle w:val="39"/>
          <w:rFonts w:hint="eastAsia" w:ascii="Times New Roman" w:hAnsi="Times New Roman"/>
          <w:smallCaps w:val="0"/>
          <w:color w:val="000000" w:themeColor="text1"/>
          <w:highlight w:val="none"/>
          <w14:textFill>
            <w14:solidFill>
              <w14:schemeClr w14:val="tx1"/>
            </w14:solidFill>
          </w14:textFill>
        </w:rPr>
        <w:t>临时用地表</w:t>
      </w:r>
      <w:bookmarkEnd w:id="1994"/>
      <w:bookmarkEnd w:id="1995"/>
      <w:bookmarkEnd w:id="1996"/>
      <w:bookmarkEnd w:id="1997"/>
    </w:p>
    <w:bookmarkEnd w:id="1998"/>
    <w:tbl>
      <w:tblPr>
        <w:tblStyle w:val="22"/>
        <w:tblW w:w="8523" w:type="dxa"/>
        <w:jc w:val="center"/>
        <w:tblLayout w:type="fixed"/>
        <w:tblCellMar>
          <w:top w:w="0" w:type="dxa"/>
          <w:left w:w="0" w:type="dxa"/>
          <w:bottom w:w="0" w:type="dxa"/>
          <w:right w:w="0" w:type="dxa"/>
        </w:tblCellMar>
      </w:tblPr>
      <w:tblGrid>
        <w:gridCol w:w="2130"/>
        <w:gridCol w:w="2130"/>
        <w:gridCol w:w="2131"/>
        <w:gridCol w:w="2132"/>
      </w:tblGrid>
      <w:tr w14:paraId="408B7F7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401493E">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用  途</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D934304">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面  积（平方米）</w:t>
            </w:r>
          </w:p>
        </w:tc>
        <w:tc>
          <w:tcPr>
            <w:tcW w:w="2131" w:type="dxa"/>
            <w:tcBorders>
              <w:top w:val="single" w:color="000000" w:sz="4" w:space="0"/>
              <w:left w:val="single" w:color="000000" w:sz="4" w:space="0"/>
              <w:bottom w:val="single" w:color="000000" w:sz="4" w:space="0"/>
              <w:right w:val="single" w:color="000000" w:sz="4" w:space="0"/>
            </w:tcBorders>
            <w:noWrap w:val="0"/>
            <w:vAlign w:val="center"/>
          </w:tcPr>
          <w:p w14:paraId="5E6662FD">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位  置</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14:paraId="0A8F82D0">
            <w:pPr>
              <w:pStyle w:val="81"/>
              <w:keepNext w:val="0"/>
              <w:keepLines w:val="0"/>
              <w:pageBreakBefore w:val="0"/>
              <w:suppressLineNumbers w:val="0"/>
              <w:kinsoku/>
              <w:wordWrap w:val="0"/>
              <w:overflowPunct/>
              <w:bidi w:val="0"/>
              <w:spacing w:before="0" w:beforeAutospacing="0" w:after="0" w:afterAutospacing="0"/>
              <w:ind w:left="0" w:right="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需用时间</w:t>
            </w:r>
          </w:p>
        </w:tc>
      </w:tr>
      <w:tr w14:paraId="51E04848">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000000" w:sz="4" w:space="0"/>
              <w:bottom w:val="single" w:color="000000" w:sz="4" w:space="0"/>
              <w:right w:val="single" w:color="000000" w:sz="4" w:space="0"/>
            </w:tcBorders>
            <w:noWrap w:val="0"/>
            <w:vAlign w:val="top"/>
          </w:tcPr>
          <w:p w14:paraId="6BD21098">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2130" w:type="dxa"/>
            <w:tcBorders>
              <w:top w:val="single" w:color="000000" w:sz="4" w:space="0"/>
              <w:left w:val="single" w:color="000000" w:sz="4" w:space="0"/>
              <w:bottom w:val="single" w:color="000000" w:sz="4" w:space="0"/>
              <w:right w:val="single" w:color="000000" w:sz="4" w:space="0"/>
            </w:tcBorders>
            <w:noWrap w:val="0"/>
            <w:vAlign w:val="top"/>
          </w:tcPr>
          <w:p w14:paraId="4C1F2720">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0"/>
            <w:vAlign w:val="top"/>
          </w:tcPr>
          <w:p w14:paraId="46B09317">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2132" w:type="dxa"/>
            <w:tcBorders>
              <w:top w:val="single" w:color="000000" w:sz="4" w:space="0"/>
              <w:left w:val="single" w:color="000000" w:sz="4" w:space="0"/>
              <w:bottom w:val="single" w:color="000000" w:sz="4" w:space="0"/>
              <w:right w:val="single" w:color="000000" w:sz="4" w:space="0"/>
            </w:tcBorders>
            <w:noWrap w:val="0"/>
            <w:vAlign w:val="top"/>
          </w:tcPr>
          <w:p w14:paraId="1EE65C4F">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r w14:paraId="5A7F2C04">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000000" w:sz="4" w:space="0"/>
              <w:bottom w:val="single" w:color="000000" w:sz="4" w:space="0"/>
              <w:right w:val="single" w:color="000000" w:sz="4" w:space="0"/>
            </w:tcBorders>
            <w:noWrap w:val="0"/>
            <w:vAlign w:val="top"/>
          </w:tcPr>
          <w:p w14:paraId="3D952135">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2130" w:type="dxa"/>
            <w:tcBorders>
              <w:top w:val="single" w:color="000000" w:sz="4" w:space="0"/>
              <w:left w:val="single" w:color="000000" w:sz="4" w:space="0"/>
              <w:bottom w:val="single" w:color="000000" w:sz="4" w:space="0"/>
              <w:right w:val="single" w:color="000000" w:sz="4" w:space="0"/>
            </w:tcBorders>
            <w:noWrap w:val="0"/>
            <w:vAlign w:val="top"/>
          </w:tcPr>
          <w:p w14:paraId="4E519286">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0"/>
            <w:vAlign w:val="top"/>
          </w:tcPr>
          <w:p w14:paraId="15927E4B">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2132" w:type="dxa"/>
            <w:tcBorders>
              <w:top w:val="single" w:color="000000" w:sz="4" w:space="0"/>
              <w:left w:val="single" w:color="000000" w:sz="4" w:space="0"/>
              <w:bottom w:val="single" w:color="000000" w:sz="4" w:space="0"/>
              <w:right w:val="single" w:color="000000" w:sz="4" w:space="0"/>
            </w:tcBorders>
            <w:noWrap w:val="0"/>
            <w:vAlign w:val="top"/>
          </w:tcPr>
          <w:p w14:paraId="5207BDAE">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r w14:paraId="05B15651">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000000" w:sz="4" w:space="0"/>
              <w:bottom w:val="single" w:color="000000" w:sz="4" w:space="0"/>
              <w:right w:val="single" w:color="000000" w:sz="4" w:space="0"/>
            </w:tcBorders>
            <w:noWrap w:val="0"/>
            <w:vAlign w:val="top"/>
          </w:tcPr>
          <w:p w14:paraId="0D25B5D2">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2130" w:type="dxa"/>
            <w:tcBorders>
              <w:top w:val="single" w:color="000000" w:sz="4" w:space="0"/>
              <w:left w:val="single" w:color="000000" w:sz="4" w:space="0"/>
              <w:bottom w:val="single" w:color="000000" w:sz="4" w:space="0"/>
              <w:right w:val="single" w:color="000000" w:sz="4" w:space="0"/>
            </w:tcBorders>
            <w:noWrap w:val="0"/>
            <w:vAlign w:val="top"/>
          </w:tcPr>
          <w:p w14:paraId="71C9CFC8">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0"/>
            <w:vAlign w:val="top"/>
          </w:tcPr>
          <w:p w14:paraId="27982528">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c>
          <w:tcPr>
            <w:tcW w:w="2132" w:type="dxa"/>
            <w:tcBorders>
              <w:top w:val="single" w:color="000000" w:sz="4" w:space="0"/>
              <w:left w:val="single" w:color="000000" w:sz="4" w:space="0"/>
              <w:bottom w:val="single" w:color="000000" w:sz="4" w:space="0"/>
              <w:right w:val="single" w:color="000000" w:sz="4" w:space="0"/>
            </w:tcBorders>
            <w:noWrap w:val="0"/>
            <w:vAlign w:val="top"/>
          </w:tcPr>
          <w:p w14:paraId="032BF5FC">
            <w:pPr>
              <w:keepNext w:val="0"/>
              <w:keepLines w:val="0"/>
              <w:pageBreakBefore w:val="0"/>
              <w:suppressLineNumbers w:val="0"/>
              <w:kinsoku/>
              <w:wordWrap w:val="0"/>
              <w:overflowPunct/>
              <w:autoSpaceDE w:val="0"/>
              <w:autoSpaceDN w:val="0"/>
              <w:bidi w:val="0"/>
              <w:adjustRightInd w:val="0"/>
              <w:snapToGrid w:val="0"/>
              <w:spacing w:before="0" w:beforeAutospacing="0" w:after="0" w:afterAutospacing="0" w:line="360" w:lineRule="auto"/>
              <w:ind w:left="0" w:right="0"/>
              <w:jc w:val="left"/>
              <w:rPr>
                <w:rFonts w:hint="eastAsia" w:ascii="Times New Roman" w:hAnsi="Times New Roman" w:cs="宋体"/>
                <w:smallCaps w:val="0"/>
                <w:color w:val="000000" w:themeColor="text1"/>
                <w:kern w:val="0"/>
                <w:sz w:val="24"/>
                <w:szCs w:val="22"/>
                <w:highlight w:val="none"/>
                <w14:textFill>
                  <w14:solidFill>
                    <w14:schemeClr w14:val="tx1"/>
                  </w14:solidFill>
                </w14:textFill>
              </w:rPr>
            </w:pPr>
          </w:p>
        </w:tc>
      </w:tr>
    </w:tbl>
    <w:p w14:paraId="560B8A05">
      <w:pPr>
        <w:pageBreakBefore w:val="0"/>
        <w:kinsoku/>
        <w:wordWrap w:val="0"/>
        <w:overflowPunct/>
        <w:autoSpaceDE w:val="0"/>
        <w:autoSpaceDN w:val="0"/>
        <w:bidi w:val="0"/>
        <w:adjustRightInd w:val="0"/>
        <w:snapToGrid w:val="0"/>
        <w:spacing w:line="360" w:lineRule="auto"/>
        <w:jc w:val="left"/>
        <w:rPr>
          <w:rFonts w:hint="eastAsia" w:ascii="Times New Roman" w:hAnsi="Times New Roman" w:cs="宋体"/>
          <w:smallCaps w:val="0"/>
          <w:color w:val="000000" w:themeColor="text1"/>
          <w:kern w:val="0"/>
          <w:szCs w:val="22"/>
          <w:highlight w:val="none"/>
          <w14:textFill>
            <w14:solidFill>
              <w14:schemeClr w14:val="tx1"/>
            </w14:solidFill>
          </w14:textFill>
        </w:rPr>
      </w:pPr>
    </w:p>
    <w:p w14:paraId="6C1AD967">
      <w:pPr>
        <w:pStyle w:val="2"/>
        <w:pageBreakBefore w:val="0"/>
        <w:numPr>
          <w:ilvl w:val="0"/>
          <w:numId w:val="0"/>
        </w:numPr>
        <w:kinsoku/>
        <w:wordWrap w:val="0"/>
        <w:overflowPunct/>
        <w:bidi w:val="0"/>
        <w:ind w:leftChars="0"/>
        <w:jc w:val="center"/>
        <w:rPr>
          <w:rStyle w:val="39"/>
          <w:rFonts w:hint="eastAsia" w:ascii="Times New Roman" w:hAnsi="Times New Roman"/>
          <w:bCs/>
          <w:smallCaps w:val="0"/>
          <w:color w:val="000000" w:themeColor="text1"/>
          <w:highlight w:val="none"/>
          <w14:textFill>
            <w14:solidFill>
              <w14:schemeClr w14:val="tx1"/>
            </w14:solidFill>
          </w14:textFill>
        </w:rPr>
      </w:pPr>
      <w:r>
        <w:rPr>
          <w:rFonts w:hint="eastAsia" w:ascii="Times New Roman" w:hAnsi="Times New Roman" w:eastAsia="宋体" w:cs="宋体"/>
          <w:bCs w:val="0"/>
          <w:smallCaps w:val="0"/>
          <w:color w:val="000000" w:themeColor="text1"/>
          <w:sz w:val="28"/>
          <w:szCs w:val="28"/>
          <w:highlight w:val="none"/>
          <w14:textFill>
            <w14:solidFill>
              <w14:schemeClr w14:val="tx1"/>
            </w14:solidFill>
          </w14:textFill>
        </w:rPr>
        <w:br w:type="page"/>
      </w:r>
      <w:bookmarkEnd w:id="1963"/>
      <w:bookmarkEnd w:id="1964"/>
      <w:bookmarkEnd w:id="1965"/>
      <w:bookmarkEnd w:id="1966"/>
      <w:bookmarkEnd w:id="1967"/>
      <w:bookmarkStart w:id="1999" w:name="_Toc18807"/>
      <w:bookmarkStart w:id="2000" w:name="_Toc535241148"/>
      <w:bookmarkStart w:id="2001" w:name="_Toc28507"/>
      <w:bookmarkStart w:id="2002" w:name="_Toc460660260"/>
      <w:bookmarkStart w:id="2003" w:name="_Toc460227145"/>
      <w:bookmarkStart w:id="2004" w:name="_Toc5275"/>
      <w:bookmarkStart w:id="2005" w:name="_Toc421917020"/>
      <w:bookmarkStart w:id="2006" w:name="_Toc390411639"/>
      <w:r>
        <w:rPr>
          <w:rFonts w:hint="eastAsia"/>
          <w:color w:val="000000" w:themeColor="text1"/>
          <w:highlight w:val="none"/>
          <w:lang w:val="en-US" w:eastAsia="zh-CN"/>
          <w14:textFill>
            <w14:solidFill>
              <w14:schemeClr w14:val="tx1"/>
            </w14:solidFill>
          </w14:textFill>
        </w:rPr>
        <w:t>二、新材料、新工艺、新技术应用（如有）</w:t>
      </w:r>
      <w:bookmarkEnd w:id="1999"/>
      <w:bookmarkEnd w:id="2000"/>
      <w:bookmarkEnd w:id="2001"/>
      <w:bookmarkEnd w:id="2002"/>
      <w:bookmarkEnd w:id="2003"/>
      <w:bookmarkEnd w:id="2004"/>
      <w:bookmarkEnd w:id="2005"/>
      <w:bookmarkEnd w:id="2006"/>
    </w:p>
    <w:p w14:paraId="6A6568F4">
      <w:pPr>
        <w:pageBreakBefore w:val="0"/>
        <w:tabs>
          <w:tab w:val="left" w:pos="2580"/>
          <w:tab w:val="left" w:pos="5940"/>
        </w:tabs>
        <w:kinsoku/>
        <w:wordWrap w:val="0"/>
        <w:overflowPunct/>
        <w:autoSpaceDE w:val="0"/>
        <w:autoSpaceDN w:val="0"/>
        <w:bidi w:val="0"/>
        <w:adjustRightInd w:val="0"/>
        <w:snapToGrid w:val="0"/>
        <w:spacing w:line="400" w:lineRule="exact"/>
        <w:rPr>
          <w:rFonts w:hint="eastAsia" w:ascii="Times New Roman" w:hAnsi="Times New Roman" w:cs="宋体"/>
          <w:b/>
          <w:bCs/>
          <w:smallCaps w:val="0"/>
          <w:color w:val="000000" w:themeColor="text1"/>
          <w:sz w:val="32"/>
          <w:szCs w:val="32"/>
          <w:highlight w:val="none"/>
          <w14:textFill>
            <w14:solidFill>
              <w14:schemeClr w14:val="tx1"/>
            </w14:solidFill>
          </w14:textFill>
        </w:rPr>
      </w:pPr>
    </w:p>
    <w:p w14:paraId="1134BB9A">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格式自拟（如有）。</w:t>
      </w:r>
    </w:p>
    <w:p w14:paraId="569E487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如投标人未提供</w:t>
      </w:r>
      <w:r>
        <w:rPr>
          <w:rFonts w:hint="eastAsia" w:ascii="Times New Roman" w:hAnsi="Times New Roman"/>
          <w:smallCaps w:val="0"/>
          <w:color w:val="000000" w:themeColor="text1"/>
          <w:highlight w:val="none"/>
          <w:lang w:val="en-US" w:eastAsia="zh-CN"/>
          <w14:textFill>
            <w14:solidFill>
              <w14:schemeClr w14:val="tx1"/>
            </w14:solidFill>
          </w14:textFill>
        </w:rPr>
        <w:t>该项内容</w:t>
      </w:r>
      <w:r>
        <w:rPr>
          <w:rFonts w:hint="eastAsia" w:ascii="Times New Roman" w:hAnsi="Times New Roman"/>
          <w:smallCaps w:val="0"/>
          <w:color w:val="000000" w:themeColor="text1"/>
          <w:highlight w:val="none"/>
          <w14:textFill>
            <w14:solidFill>
              <w14:schemeClr w14:val="tx1"/>
            </w14:solidFill>
          </w14:textFill>
        </w:rPr>
        <w:t>，视同投标人本项目无上述情况。</w:t>
      </w:r>
    </w:p>
    <w:p w14:paraId="1CA6E0D3">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1236DB35">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5498E626">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1EE44BAB">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1079BF02">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3653AF7A">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69E01CF9">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2327347A">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18C57B3B">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7E38A41A">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50F5ADAE">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53C981C0">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75169148">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57C79603">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2C2C730B">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0D893E24">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04B0E230">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7C1382CD">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3F1FC86C">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60CA41E5">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6877BEBD">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7911B079">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16DE0E63">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2610738B">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p>
    <w:p w14:paraId="3621033A">
      <w:pPr>
        <w:pageBreakBefore w:val="0"/>
        <w:tabs>
          <w:tab w:val="left" w:pos="2580"/>
          <w:tab w:val="left" w:pos="5940"/>
        </w:tabs>
        <w:kinsoku/>
        <w:wordWrap w:val="0"/>
        <w:overflowPunct/>
        <w:autoSpaceDE w:val="0"/>
        <w:autoSpaceDN w:val="0"/>
        <w:bidi w:val="0"/>
        <w:adjustRightInd w:val="0"/>
        <w:snapToGrid w:val="0"/>
        <w:spacing w:line="400" w:lineRule="exact"/>
        <w:jc w:val="center"/>
        <w:rPr>
          <w:rFonts w:hint="eastAsia" w:ascii="Times New Roman" w:hAnsi="Times New Roman" w:cs="宋体"/>
          <w:b/>
          <w:bCs/>
          <w:smallCaps w:val="0"/>
          <w:color w:val="000000" w:themeColor="text1"/>
          <w:sz w:val="28"/>
          <w:szCs w:val="22"/>
          <w:highlight w:val="none"/>
          <w14:textFill>
            <w14:solidFill>
              <w14:schemeClr w14:val="tx1"/>
            </w14:solidFill>
          </w14:textFill>
        </w:rPr>
      </w:pPr>
      <w:r>
        <w:rPr>
          <w:rFonts w:hint="eastAsia" w:ascii="Times New Roman" w:hAnsi="Times New Roman" w:cs="宋体"/>
          <w:b/>
          <w:bCs/>
          <w:smallCaps w:val="0"/>
          <w:color w:val="000000" w:themeColor="text1"/>
          <w:sz w:val="28"/>
          <w:szCs w:val="22"/>
          <w:highlight w:val="none"/>
          <w14:textFill>
            <w14:solidFill>
              <w14:schemeClr w14:val="tx1"/>
            </w14:solidFill>
          </w14:textFill>
        </w:rPr>
        <w:br w:type="page"/>
      </w:r>
    </w:p>
    <w:bookmarkEnd w:id="1939"/>
    <w:p w14:paraId="7EB37A4C">
      <w:pPr>
        <w:pStyle w:val="2"/>
        <w:pageBreakBefore w:val="0"/>
        <w:numPr>
          <w:ilvl w:val="0"/>
          <w:numId w:val="0"/>
        </w:numPr>
        <w:kinsoku/>
        <w:wordWrap w:val="0"/>
        <w:overflowPunct/>
        <w:bidi w:val="0"/>
        <w:ind w:leftChars="0"/>
        <w:jc w:val="center"/>
        <w:rPr>
          <w:rFonts w:hint="eastAsia"/>
          <w:color w:val="000000" w:themeColor="text1"/>
          <w:highlight w:val="none"/>
          <w:lang w:val="en-US" w:eastAsia="zh-CN"/>
          <w14:textFill>
            <w14:solidFill>
              <w14:schemeClr w14:val="tx1"/>
            </w14:solidFill>
          </w14:textFill>
        </w:rPr>
      </w:pPr>
      <w:bookmarkStart w:id="2007" w:name="_Toc535241090"/>
      <w:bookmarkStart w:id="2008" w:name="_Toc535241233"/>
      <w:bookmarkStart w:id="2009" w:name="_Toc2734"/>
      <w:bookmarkStart w:id="2010" w:name="_Toc17222"/>
      <w:bookmarkStart w:id="2011" w:name="_Toc390411641"/>
      <w:bookmarkStart w:id="2012" w:name="_Toc460227153"/>
      <w:bookmarkStart w:id="2013" w:name="_Toc460660268"/>
      <w:bookmarkStart w:id="2014" w:name="_Toc15293"/>
      <w:bookmarkStart w:id="2015" w:name="_Toc421917022"/>
      <w:bookmarkStart w:id="2016" w:name="_Toc535241156"/>
      <w:r>
        <w:rPr>
          <w:rFonts w:hint="eastAsia"/>
          <w:color w:val="000000" w:themeColor="text1"/>
          <w:highlight w:val="none"/>
          <w:lang w:val="en-US" w:eastAsia="zh-CN"/>
          <w14:textFill>
            <w14:solidFill>
              <w14:schemeClr w14:val="tx1"/>
            </w14:solidFill>
          </w14:textFill>
        </w:rPr>
        <w:t>三、其他内容</w:t>
      </w:r>
      <w:bookmarkEnd w:id="2007"/>
      <w:bookmarkEnd w:id="2008"/>
      <w:bookmarkEnd w:id="2009"/>
      <w:bookmarkEnd w:id="2010"/>
      <w:bookmarkEnd w:id="2011"/>
      <w:bookmarkEnd w:id="2012"/>
      <w:bookmarkEnd w:id="2013"/>
      <w:bookmarkEnd w:id="2014"/>
      <w:bookmarkEnd w:id="2015"/>
      <w:bookmarkEnd w:id="2016"/>
    </w:p>
    <w:p w14:paraId="2B81A701">
      <w:pPr>
        <w:pStyle w:val="79"/>
        <w:pageBreakBefore w:val="0"/>
        <w:kinsoku/>
        <w:wordWrap w:val="0"/>
        <w:overflowPunct/>
        <w:bidi w:val="0"/>
        <w:rPr>
          <w:rFonts w:hint="eastAsia" w:ascii="Times New Roman" w:hAnsi="Times New Roman"/>
          <w:smallCaps w:val="0"/>
          <w:color w:val="000000" w:themeColor="text1"/>
          <w:highlight w:val="none"/>
          <w14:textFill>
            <w14:solidFill>
              <w14:schemeClr w14:val="tx1"/>
            </w14:solidFill>
          </w14:textFill>
        </w:rPr>
      </w:pPr>
      <w:r>
        <w:rPr>
          <w:rFonts w:hint="eastAsia" w:ascii="Times New Roman" w:hAnsi="Times New Roman"/>
          <w:smallCaps w:val="0"/>
          <w:color w:val="000000" w:themeColor="text1"/>
          <w:highlight w:val="none"/>
          <w14:textFill>
            <w14:solidFill>
              <w14:schemeClr w14:val="tx1"/>
            </w14:solidFill>
          </w14:textFill>
        </w:rPr>
        <w:t>投标人根据自身情况可以自行增加相关内容，如无，本节可以不附。</w:t>
      </w:r>
    </w:p>
    <w:p w14:paraId="63294903">
      <w:pPr>
        <w:pageBreakBefore w:val="0"/>
        <w:kinsoku/>
        <w:wordWrap w:val="0"/>
        <w:overflowPunct/>
        <w:bidi w:val="0"/>
        <w:rPr>
          <w:rFonts w:hint="eastAsia" w:ascii="Times New Roman" w:hAnsi="Times New Roman" w:cs="宋体"/>
          <w:smallCaps w:val="0"/>
          <w:color w:val="000000" w:themeColor="text1"/>
          <w:highlight w:val="none"/>
          <w14:textFill>
            <w14:solidFill>
              <w14:schemeClr w14:val="tx1"/>
            </w14:solidFill>
          </w14:textFill>
        </w:rPr>
      </w:pPr>
    </w:p>
    <w:p w14:paraId="445C07CD">
      <w:pPr>
        <w:pageBreakBefore w:val="0"/>
        <w:kinsoku/>
        <w:wordWrap w:val="0"/>
        <w:overflowPunct/>
        <w:bidi w:val="0"/>
        <w:rPr>
          <w:rFonts w:ascii="Times New Roman" w:hAnsi="Times New Roman"/>
          <w:smallCaps w:val="0"/>
          <w:color w:val="000000" w:themeColor="text1"/>
          <w:highlight w:val="none"/>
          <w14:textFill>
            <w14:solidFill>
              <w14:schemeClr w14:val="tx1"/>
            </w14:solidFill>
          </w14:textFill>
        </w:rPr>
      </w:pPr>
    </w:p>
    <w:sectPr>
      <w:footerReference r:id="rId21" w:type="default"/>
      <w:footerReference r:id="rId22" w:type="even"/>
      <w:footnotePr>
        <w:numFmt w:val="decimalEnclosedCircleChinese"/>
        <w:numRestart w:val="eachPage"/>
      </w:footnotePr>
      <w:pgSz w:w="11906" w:h="16838"/>
      <w:pgMar w:top="1588" w:right="1701" w:bottom="1418" w:left="1701" w:header="851" w:footer="851" w:gutter="0"/>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F48311-A018-4A7D-AF31-31D6319C9866}"/>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28D49A8F-926E-49C9-8ACD-C85C4F9B5B2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2383B1FE-02B8-4F7B-9D77-28773954D7A7}"/>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78EE07A9-5970-439D-AA45-9EA4F8F0DBB2}"/>
  </w:font>
  <w:font w:name="楷体_GB2312">
    <w:panose1 w:val="02010609030101010101"/>
    <w:charset w:val="86"/>
    <w:family w:val="modern"/>
    <w:pitch w:val="default"/>
    <w:sig w:usb0="00000001" w:usb1="080E0000" w:usb2="00000000" w:usb3="00000000" w:csb0="00040000" w:csb1="00000000"/>
    <w:embedRegular r:id="rId5" w:fontKey="{EB5AB90B-87EA-4313-B4E4-21C7D1A83D37}"/>
  </w:font>
  <w:font w:name="仿宋_GB2312">
    <w:panose1 w:val="02010609030101010101"/>
    <w:charset w:val="86"/>
    <w:family w:val="auto"/>
    <w:pitch w:val="default"/>
    <w:sig w:usb0="00000001" w:usb1="080E0000" w:usb2="00000000" w:usb3="00000000" w:csb0="00040000" w:csb1="00000000"/>
    <w:embedRegular r:id="rId6" w:fontKey="{F8E17498-A464-47FD-BAFA-34C74B9B0B98}"/>
  </w:font>
  <w:font w:name="Sylfaen">
    <w:panose1 w:val="010A0502050306030303"/>
    <w:charset w:val="00"/>
    <w:family w:val="roman"/>
    <w:pitch w:val="default"/>
    <w:sig w:usb0="04000687" w:usb1="00000000" w:usb2="00000000" w:usb3="00000000" w:csb0="2000009F" w:csb1="00000000"/>
  </w:font>
  <w:font w:name="MingLiU">
    <w:panose1 w:val="02020509000000000000"/>
    <w:charset w:val="88"/>
    <w:family w:val="modern"/>
    <w:pitch w:val="default"/>
    <w:sig w:usb0="A00002FF" w:usb1="28CFFCFA" w:usb2="00000016" w:usb3="00000000" w:csb0="00100001" w:csb1="00000000"/>
  </w:font>
  <w:font w:name="方正公文小标宋">
    <w:panose1 w:val="02000500000000000000"/>
    <w:charset w:val="86"/>
    <w:family w:val="auto"/>
    <w:pitch w:val="default"/>
    <w:sig w:usb0="A00002BF" w:usb1="38CF7CFA" w:usb2="00000016" w:usb3="00000000" w:csb0="00040001" w:csb1="00000000"/>
    <w:embedRegular r:id="rId7" w:fontKey="{5A9E8118-EB00-4DDE-A875-FC0E9E942718}"/>
  </w:font>
  <w:font w:name="方正公文黑体">
    <w:panose1 w:val="02000500000000000000"/>
    <w:charset w:val="86"/>
    <w:family w:val="auto"/>
    <w:pitch w:val="default"/>
    <w:sig w:usb0="A00002BF" w:usb1="38CF7CFA" w:usb2="00000016" w:usb3="00000000" w:csb0="00040001" w:csb1="00000000"/>
    <w:embedRegular r:id="rId8" w:fontKey="{E8E3FF17-C8EC-4A0D-84C5-44DB76E47C97}"/>
  </w:font>
  <w:font w:name="Wingdings 2">
    <w:panose1 w:val="05020102010507070707"/>
    <w:charset w:val="02"/>
    <w:family w:val="auto"/>
    <w:pitch w:val="default"/>
    <w:sig w:usb0="00000000" w:usb1="00000000" w:usb2="00000000" w:usb3="00000000" w:csb0="80000000" w:csb1="00000000"/>
    <w:embedRegular r:id="rId9" w:fontKey="{3415F08D-786F-4E8A-B824-68657AF9A59B}"/>
  </w:font>
  <w:font w:name="国标仿宋">
    <w:altName w:val="仿宋"/>
    <w:panose1 w:val="02000500000000000000"/>
    <w:charset w:val="86"/>
    <w:family w:val="auto"/>
    <w:pitch w:val="default"/>
    <w:sig w:usb0="00000000" w:usb1="00000000" w:usb2="00000016" w:usb3="00000000" w:csb0="00060007" w:csb1="00000000"/>
    <w:embedRegular r:id="rId10" w:fontKey="{C61FF81F-85AA-4E83-BF14-254D2CE34813}"/>
  </w:font>
  <w:font w:name="国标宋体">
    <w:altName w:val="宋体"/>
    <w:panose1 w:val="02000500000000000000"/>
    <w:charset w:val="86"/>
    <w:family w:val="auto"/>
    <w:pitch w:val="default"/>
    <w:sig w:usb0="00000000" w:usb1="00000000" w:usb2="00000000" w:usb3="00000000" w:csb0="00060007" w:csb1="00000000"/>
    <w:embedRegular r:id="rId11" w:fontKey="{DF49EBF6-D9ED-464A-A227-3D69465A3EE6}"/>
  </w:font>
  <w:font w:name="Cambria Math">
    <w:panose1 w:val="02040503050406030204"/>
    <w:charset w:val="00"/>
    <w:family w:val="auto"/>
    <w:pitch w:val="default"/>
    <w:sig w:usb0="E00002FF" w:usb1="420024FF" w:usb2="00000000" w:usb3="00000000" w:csb0="2000019F" w:csb1="00000000"/>
    <w:embedRegular r:id="rId12" w:fontKey="{F5335E89-6988-40FB-A421-EADB6CB9DA50}"/>
  </w:font>
  <w:font w:name="方正小标宋简体">
    <w:panose1 w:val="03000509000000000000"/>
    <w:charset w:val="86"/>
    <w:family w:val="auto"/>
    <w:pitch w:val="default"/>
    <w:sig w:usb0="00000001" w:usb1="080E0000" w:usb2="00000000" w:usb3="00000000" w:csb0="00040000" w:csb1="00000000"/>
    <w:embedRegular r:id="rId13" w:fontKey="{02798C15-8978-49C5-9040-342B2928B4B8}"/>
  </w:font>
  <w:font w:name="华文中宋">
    <w:panose1 w:val="02010600040101010101"/>
    <w:charset w:val="86"/>
    <w:family w:val="auto"/>
    <w:pitch w:val="default"/>
    <w:sig w:usb0="00000287" w:usb1="080F0000" w:usb2="00000000" w:usb3="00000000" w:csb0="0004009F" w:csb1="DFD70000"/>
    <w:embedRegular r:id="rId14" w:fontKey="{2756C058-CD17-4E88-9D3E-1DC7F2364FC5}"/>
  </w:font>
  <w:font w:name="@仿宋_GB2312">
    <w:panose1 w:val="02010609030101010101"/>
    <w:charset w:val="86"/>
    <w:family w:val="modern"/>
    <w:pitch w:val="default"/>
    <w:sig w:usb0="00000001" w:usb1="080E0000" w:usb2="00000000" w:usb3="00000000" w:csb0="00040000" w:csb1="00000000"/>
    <w:embedRegular r:id="rId15" w:fontKey="{99647F0E-60CD-46F9-8A44-F35A4F80B84A}"/>
  </w:font>
  <w:font w:name="WPSEMBED7">
    <w:panose1 w:val="02000500000000000000"/>
    <w:charset w:val="86"/>
    <w:family w:val="auto"/>
    <w:pitch w:val="default"/>
    <w:sig w:usb0="A00002BF" w:usb1="38CF7CFA" w:usb2="00000016" w:usb3="00000000" w:csb0="00040001" w:csb1="00000000"/>
  </w:font>
  <w:font w:name="WPSEMBED8">
    <w:panose1 w:val="02000500000000000000"/>
    <w:charset w:val="86"/>
    <w:family w:val="auto"/>
    <w:pitch w:val="default"/>
    <w:sig w:usb0="A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CAD84">
    <w:pPr>
      <w:pStyle w:val="13"/>
      <w:rPr>
        <w:rFonts w:hint="eastAsia"/>
      </w:rPr>
    </w:pPr>
  </w:p>
  <w:p w14:paraId="087032EF"/>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A3391">
    <w:pPr>
      <w:pStyle w:val="13"/>
      <w:framePr w:wrap="around" w:vAnchor="text" w:hAnchor="margin" w:xAlign="center" w:y="1"/>
      <w:rPr>
        <w:rStyle w:val="25"/>
      </w:rPr>
    </w:pPr>
    <w:r>
      <w:fldChar w:fldCharType="begin"/>
    </w:r>
    <w:r>
      <w:rPr>
        <w:rStyle w:val="25"/>
        <w:highlight w:val="white"/>
      </w:rPr>
      <w:instrText xml:space="preserve">PAGE  </w:instrText>
    </w:r>
    <w:r>
      <w:fldChar w:fldCharType="separate"/>
    </w:r>
    <w:r>
      <w:rPr>
        <w:rStyle w:val="25"/>
        <w:highlight w:val="white"/>
      </w:rPr>
      <w:t>1</w:t>
    </w:r>
    <w:r>
      <w:fldChar w:fldCharType="end"/>
    </w:r>
  </w:p>
  <w:p w14:paraId="6682F622">
    <w:pPr>
      <w:pStyle w:val="13"/>
    </w:pPr>
  </w:p>
  <w:p w14:paraId="539D64D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8CA05">
    <w:pPr>
      <w:pStyle w:val="13"/>
      <w:framePr w:wrap="around" w:vAnchor="text" w:hAnchor="margin" w:xAlign="center" w:y="1"/>
      <w:rPr>
        <w:rStyle w:val="25"/>
      </w:rPr>
    </w:pPr>
    <w:r>
      <w:fldChar w:fldCharType="begin"/>
    </w:r>
    <w:r>
      <w:rPr>
        <w:rStyle w:val="25"/>
        <w:highlight w:val="white"/>
      </w:rPr>
      <w:instrText xml:space="preserve">PAGE  </w:instrText>
    </w:r>
    <w:r>
      <w:fldChar w:fldCharType="separate"/>
    </w:r>
    <w:r>
      <w:rPr>
        <w:rStyle w:val="25"/>
        <w:highlight w:val="white"/>
      </w:rPr>
      <w:t>1</w:t>
    </w:r>
    <w:r>
      <w:fldChar w:fldCharType="end"/>
    </w:r>
  </w:p>
  <w:p w14:paraId="2DBEDD6C">
    <w:pPr>
      <w:pStyle w:val="1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B74FB">
    <w:pPr>
      <w:pStyle w:val="1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1AD3B">
    <w:pPr>
      <w:pStyle w:val="13"/>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23813">
                          <w:pPr>
                            <w:pStyle w:val="13"/>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F23813">
                    <w:pPr>
                      <w:pStyle w:val="13"/>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C27B6">
    <w:pPr>
      <w:pStyle w:val="13"/>
      <w:framePr w:wrap="around" w:vAnchor="text" w:hAnchor="margin" w:xAlign="center" w:y="1"/>
      <w:rPr>
        <w:rStyle w:val="25"/>
      </w:rPr>
    </w:pPr>
    <w:r>
      <w:fldChar w:fldCharType="begin"/>
    </w:r>
    <w:r>
      <w:rPr>
        <w:rStyle w:val="25"/>
      </w:rPr>
      <w:instrText xml:space="preserve">PAGE  </w:instrText>
    </w:r>
    <w:r>
      <w:fldChar w:fldCharType="separate"/>
    </w:r>
    <w:r>
      <w:fldChar w:fldCharType="end"/>
    </w:r>
  </w:p>
  <w:p w14:paraId="74D4BCE2">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0FE44">
    <w:pPr>
      <w:pStyle w:val="13"/>
      <w:framePr w:wrap="around" w:vAnchor="text" w:hAnchor="margin" w:xAlign="center" w:y="1"/>
      <w:rPr>
        <w:rStyle w:val="25"/>
      </w:rPr>
    </w:pPr>
    <w:r>
      <w:fldChar w:fldCharType="begin"/>
    </w:r>
    <w:r>
      <w:rPr>
        <w:rStyle w:val="25"/>
      </w:rPr>
      <w:instrText xml:space="preserve">PAGE  </w:instrText>
    </w:r>
    <w:r>
      <w:fldChar w:fldCharType="separate"/>
    </w:r>
    <w:r>
      <w:rPr>
        <w:rStyle w:val="25"/>
      </w:rPr>
      <w:t>1</w:t>
    </w:r>
    <w:r>
      <w:fldChar w:fldCharType="end"/>
    </w:r>
  </w:p>
  <w:p w14:paraId="49098133">
    <w:pPr>
      <w:pStyle w:val="13"/>
    </w:pPr>
  </w:p>
  <w:p w14:paraId="523B9AF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7DFDF">
    <w:pPr>
      <w:pStyle w:val="13"/>
      <w:rPr>
        <w:rFonts w:hint="eastAsia"/>
      </w:rPr>
    </w:pPr>
  </w:p>
  <w:p w14:paraId="1EB4161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EF5ED">
    <w:pPr>
      <w:pStyle w:val="13"/>
      <w:rPr>
        <w:rFonts w:hint="eastAsia"/>
      </w:rPr>
    </w:pPr>
  </w:p>
  <w:p w14:paraId="408A631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CD064">
    <w:pPr>
      <w:pStyle w:val="13"/>
      <w:rPr>
        <w:rFonts w:hint="eastAsia"/>
      </w:rPr>
    </w:pPr>
  </w:p>
  <w:p w14:paraId="5600A59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5D2B6">
    <w:pPr>
      <w:pStyle w:val="13"/>
      <w:rPr>
        <w:rFonts w:hint="eastAsia"/>
      </w:rPr>
    </w:pPr>
  </w:p>
  <w:p w14:paraId="440BC32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1E160">
    <w:pPr>
      <w:pStyle w:val="13"/>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DB2C1">
                          <w:pPr>
                            <w:pStyle w:val="1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09DB2C1">
                    <w:pPr>
                      <w:pStyle w:val="13"/>
                    </w:pPr>
                    <w:r>
                      <w:fldChar w:fldCharType="begin"/>
                    </w:r>
                    <w:r>
                      <w:instrText xml:space="preserve"> PAGE  \* MERGEFORMAT </w:instrText>
                    </w:r>
                    <w:r>
                      <w:fldChar w:fldCharType="separate"/>
                    </w:r>
                    <w:r>
                      <w:t>8</w:t>
                    </w:r>
                    <w:r>
                      <w:fldChar w:fldCharType="end"/>
                    </w:r>
                  </w:p>
                </w:txbxContent>
              </v:textbox>
            </v:shape>
          </w:pict>
        </mc:Fallback>
      </mc:AlternateContent>
    </w:r>
  </w:p>
  <w:p w14:paraId="68C9AE0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F4987">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01A2C">
                          <w:pPr>
                            <w:pStyle w:val="1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CB01A2C">
                    <w:pPr>
                      <w:pStyle w:val="1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1F811">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ACA79">
                          <w:pPr>
                            <w:pStyle w:val="13"/>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9DACA79">
                    <w:pPr>
                      <w:pStyle w:val="13"/>
                    </w:pPr>
                    <w:r>
                      <w:fldChar w:fldCharType="begin"/>
                    </w:r>
                    <w:r>
                      <w:instrText xml:space="preserve"> PAGE  \* MERGEFORMAT </w:instrText>
                    </w:r>
                    <w:r>
                      <w:fldChar w:fldCharType="separate"/>
                    </w:r>
                    <w:r>
                      <w:t>188</w:t>
                    </w:r>
                    <w:r>
                      <w:fldChar w:fldCharType="end"/>
                    </w:r>
                  </w:p>
                </w:txbxContent>
              </v:textbox>
            </v:shape>
          </w:pict>
        </mc:Fallback>
      </mc:AlternateContent>
    </w:r>
  </w:p>
  <w:p w14:paraId="061252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2">
    <w:p>
      <w:pPr>
        <w:spacing w:line="240" w:lineRule="auto"/>
      </w:pPr>
      <w:r>
        <w:separator/>
      </w:r>
    </w:p>
  </w:footnote>
  <w:footnote w:type="continuationSeparator" w:id="143">
    <w:p>
      <w:pPr>
        <w:spacing w:line="240" w:lineRule="auto"/>
      </w:pPr>
      <w:r>
        <w:continuationSeparator/>
      </w:r>
    </w:p>
  </w:footnote>
  <w:footnote w:id="0">
    <w:p w14:paraId="3B11CD98">
      <w:pPr>
        <w:pStyle w:val="16"/>
        <w:keepNext w:val="0"/>
        <w:keepLines w:val="0"/>
        <w:pageBreakBefore w:val="0"/>
        <w:widowControl w:val="0"/>
        <w:kinsoku/>
        <w:wordWrap/>
        <w:overflowPunct/>
        <w:topLinePunct w:val="0"/>
        <w:bidi w:val="0"/>
        <w:adjustRightInd/>
        <w:snapToGrid/>
        <w:spacing w:line="300" w:lineRule="exact"/>
        <w:textAlignment w:val="auto"/>
        <w:rPr>
          <w:rFonts w:hint="default" w:eastAsia="宋体"/>
          <w:sz w:val="24"/>
          <w:szCs w:val="24"/>
          <w:highlight w:val="green"/>
          <w:vertAlign w:val="superscript"/>
          <w:lang w:val="en-US" w:eastAsia="zh-CN"/>
        </w:rPr>
      </w:pPr>
      <w:r>
        <w:rPr>
          <w:rStyle w:val="28"/>
          <w:sz w:val="18"/>
          <w:szCs w:val="18"/>
          <w:highlight w:val="green"/>
          <w:vertAlign w:val="superscript"/>
        </w:rPr>
        <w:footnoteRef/>
      </w:r>
      <w:r>
        <w:rPr>
          <w:sz w:val="24"/>
          <w:szCs w:val="24"/>
          <w:highlight w:val="green"/>
          <w:vertAlign w:val="superscript"/>
        </w:rPr>
        <w:t xml:space="preserve"> </w:t>
      </w:r>
      <w:r>
        <w:rPr>
          <w:rFonts w:hint="eastAsia"/>
          <w:sz w:val="24"/>
          <w:szCs w:val="24"/>
          <w:highlight w:val="green"/>
          <w:vertAlign w:val="superscript"/>
          <w:lang w:val="en-US" w:eastAsia="zh-CN"/>
        </w:rPr>
        <w:t>建设规模中需要明示与资质条件设定相关的重要规模指标（如建筑面积、建筑高度、单跨跨度等）。</w:t>
      </w:r>
    </w:p>
  </w:footnote>
  <w:footnote w:id="1">
    <w:p w14:paraId="77D60279">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ascii="宋体" w:hAnsi="宋体" w:eastAsia="宋体" w:cs="宋体"/>
          <w:bCs/>
          <w:snapToGrid w:val="0"/>
          <w:color w:val="000000"/>
          <w:kern w:val="0"/>
          <w:sz w:val="24"/>
          <w:szCs w:val="24"/>
          <w:highlight w:val="green"/>
          <w:vertAlign w:val="superscript"/>
        </w:rPr>
      </w:pPr>
      <w:r>
        <w:rPr>
          <w:rStyle w:val="28"/>
          <w:rFonts w:ascii="宋体" w:hAnsi="宋体" w:eastAsia="宋体" w:cs="宋体"/>
          <w:bCs/>
          <w:snapToGrid w:val="0"/>
          <w:color w:val="000000"/>
          <w:kern w:val="0"/>
          <w:sz w:val="24"/>
          <w:szCs w:val="24"/>
          <w:highlight w:val="green"/>
          <w:vertAlign w:val="superscript"/>
        </w:rPr>
        <w:footnoteRef/>
      </w:r>
      <w:r>
        <w:rPr>
          <w:rStyle w:val="28"/>
          <w:rFonts w:ascii="宋体" w:hAnsi="宋体" w:eastAsia="宋体" w:cs="宋体"/>
          <w:bCs/>
          <w:snapToGrid w:val="0"/>
          <w:color w:val="000000"/>
          <w:kern w:val="0"/>
          <w:sz w:val="24"/>
          <w:szCs w:val="24"/>
          <w:highlight w:val="green"/>
          <w:vertAlign w:val="superscript"/>
        </w:rPr>
        <w:t>依据工期定额标准确定合理工期</w:t>
      </w:r>
      <w:r>
        <w:rPr>
          <w:rFonts w:hint="eastAsia" w:ascii="宋体" w:hAnsi="宋体" w:cs="宋体"/>
          <w:bCs/>
          <w:snapToGrid w:val="0"/>
          <w:color w:val="000000"/>
          <w:kern w:val="0"/>
          <w:sz w:val="24"/>
          <w:szCs w:val="24"/>
          <w:highlight w:val="green"/>
          <w:vertAlign w:val="superscript"/>
          <w:lang w:eastAsia="zh-CN"/>
        </w:rPr>
        <w:t>（《</w:t>
      </w:r>
      <w:r>
        <w:rPr>
          <w:rFonts w:hint="eastAsia" w:ascii="宋体" w:hAnsi="宋体" w:cs="宋体"/>
          <w:bCs/>
          <w:snapToGrid w:val="0"/>
          <w:color w:val="000000"/>
          <w:kern w:val="0"/>
          <w:sz w:val="24"/>
          <w:szCs w:val="24"/>
          <w:highlight w:val="green"/>
          <w:vertAlign w:val="superscript"/>
          <w:lang w:val="en-US" w:eastAsia="zh-CN"/>
        </w:rPr>
        <w:t>安徽省建设工程工期定额</w:t>
      </w:r>
      <w:r>
        <w:rPr>
          <w:rFonts w:hint="eastAsia" w:ascii="宋体" w:hAnsi="宋体" w:cs="宋体"/>
          <w:bCs/>
          <w:snapToGrid w:val="0"/>
          <w:color w:val="000000"/>
          <w:kern w:val="0"/>
          <w:sz w:val="24"/>
          <w:szCs w:val="24"/>
          <w:highlight w:val="green"/>
          <w:vertAlign w:val="superscript"/>
          <w:lang w:eastAsia="zh-CN"/>
        </w:rPr>
        <w:t>》</w:t>
      </w:r>
      <w:r>
        <w:rPr>
          <w:rFonts w:hint="eastAsia" w:ascii="宋体" w:hAnsi="宋体" w:cs="宋体"/>
          <w:bCs/>
          <w:snapToGrid w:val="0"/>
          <w:color w:val="000000"/>
          <w:kern w:val="0"/>
          <w:sz w:val="24"/>
          <w:szCs w:val="24"/>
          <w:highlight w:val="green"/>
          <w:vertAlign w:val="superscript"/>
          <w:lang w:val="en-US" w:eastAsia="zh-CN"/>
        </w:rPr>
        <w:t>2012版，或《建筑安装工程工期定额》（TY 01-89-2016）</w:t>
      </w:r>
      <w:r>
        <w:rPr>
          <w:rFonts w:hint="eastAsia" w:ascii="宋体" w:hAnsi="宋体" w:cs="宋体"/>
          <w:bCs/>
          <w:snapToGrid w:val="0"/>
          <w:color w:val="000000"/>
          <w:kern w:val="0"/>
          <w:sz w:val="24"/>
          <w:szCs w:val="24"/>
          <w:highlight w:val="green"/>
          <w:vertAlign w:val="superscript"/>
          <w:lang w:eastAsia="zh-CN"/>
        </w:rPr>
        <w:t>）（</w:t>
      </w:r>
      <w:r>
        <w:rPr>
          <w:rFonts w:hint="eastAsia" w:ascii="宋体" w:hAnsi="宋体" w:cs="宋体"/>
          <w:bCs/>
          <w:snapToGrid w:val="0"/>
          <w:color w:val="000000"/>
          <w:kern w:val="0"/>
          <w:sz w:val="24"/>
          <w:szCs w:val="24"/>
          <w:highlight w:val="green"/>
          <w:vertAlign w:val="superscript"/>
          <w:lang w:val="en-US" w:eastAsia="zh-CN"/>
        </w:rPr>
        <w:t>如有新版文件按照最新版文件执行</w:t>
      </w:r>
      <w:r>
        <w:rPr>
          <w:rFonts w:hint="eastAsia" w:ascii="宋体" w:hAnsi="宋体" w:cs="宋体"/>
          <w:bCs/>
          <w:snapToGrid w:val="0"/>
          <w:color w:val="000000"/>
          <w:kern w:val="0"/>
          <w:sz w:val="24"/>
          <w:szCs w:val="24"/>
          <w:highlight w:val="green"/>
          <w:vertAlign w:val="superscript"/>
          <w:lang w:eastAsia="zh-CN"/>
        </w:rPr>
        <w:t>）</w:t>
      </w:r>
      <w:r>
        <w:rPr>
          <w:rStyle w:val="28"/>
          <w:rFonts w:ascii="宋体" w:hAnsi="宋体" w:eastAsia="宋体" w:cs="宋体"/>
          <w:bCs/>
          <w:snapToGrid w:val="0"/>
          <w:color w:val="000000"/>
          <w:kern w:val="0"/>
          <w:sz w:val="24"/>
          <w:szCs w:val="24"/>
          <w:highlight w:val="green"/>
          <w:vertAlign w:val="superscript"/>
        </w:rPr>
        <w:t>，确保工期与造价适配，不得在招标文件中设置不合理条件或系数，干预或引导投标人缩短工期、以异常低价竞标。</w:t>
      </w:r>
    </w:p>
  </w:footnote>
  <w:footnote w:id="2">
    <w:p w14:paraId="2B780922">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ascii="宋体" w:hAnsi="宋体" w:eastAsia="宋体" w:cs="宋体"/>
          <w:bCs/>
          <w:snapToGrid w:val="0"/>
          <w:color w:val="000000"/>
          <w:kern w:val="0"/>
          <w:sz w:val="24"/>
          <w:szCs w:val="24"/>
          <w:vertAlign w:val="superscript"/>
        </w:rPr>
      </w:pPr>
      <w:r>
        <w:rPr>
          <w:rStyle w:val="28"/>
          <w:rFonts w:ascii="宋体" w:hAnsi="宋体" w:eastAsia="宋体" w:cs="宋体"/>
          <w:bCs/>
          <w:snapToGrid w:val="0"/>
          <w:color w:val="000000"/>
          <w:kern w:val="0"/>
          <w:sz w:val="24"/>
          <w:szCs w:val="24"/>
          <w:vertAlign w:val="superscript"/>
        </w:rPr>
        <w:footnoteRef/>
      </w:r>
      <w:r>
        <w:rPr>
          <w:rStyle w:val="28"/>
          <w:rFonts w:ascii="宋体" w:hAnsi="宋体" w:eastAsia="宋体" w:cs="宋体"/>
          <w:bCs/>
          <w:snapToGrid w:val="0"/>
          <w:color w:val="000000"/>
          <w:kern w:val="0"/>
          <w:sz w:val="24"/>
          <w:szCs w:val="24"/>
          <w:vertAlign w:val="superscript"/>
        </w:rPr>
        <w:t>依据全国建筑市场监管公共服务平台工程项目信息数据标准的项目分类字典表，分为房屋建筑工程、市政基础设施工程。</w:t>
      </w:r>
    </w:p>
  </w:footnote>
  <w:footnote w:id="3">
    <w:p w14:paraId="3A21065B">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hint="default" w:ascii="宋体" w:hAnsi="宋体" w:eastAsia="宋体" w:cs="宋体"/>
          <w:bCs/>
          <w:snapToGrid w:val="0"/>
          <w:color w:val="000000"/>
          <w:kern w:val="0"/>
          <w:sz w:val="24"/>
          <w:szCs w:val="24"/>
          <w:highlight w:val="red"/>
          <w:vertAlign w:val="superscript"/>
          <w:lang w:val="en-US" w:eastAsia="zh-CN"/>
        </w:rPr>
      </w:pPr>
      <w:r>
        <w:rPr>
          <w:rStyle w:val="28"/>
          <w:rFonts w:ascii="宋体" w:hAnsi="宋体" w:cs="宋体"/>
          <w:bCs/>
          <w:snapToGrid w:val="0"/>
          <w:color w:val="000000"/>
          <w:kern w:val="0"/>
          <w:sz w:val="24"/>
          <w:szCs w:val="24"/>
          <w:highlight w:val="red"/>
          <w:vertAlign w:val="superscript"/>
        </w:rPr>
        <w:footnoteRef/>
      </w:r>
      <w:r>
        <w:rPr>
          <w:rStyle w:val="28"/>
          <w:rFonts w:ascii="宋体" w:hAnsi="宋体" w:cs="宋体"/>
          <w:bCs/>
          <w:snapToGrid w:val="0"/>
          <w:color w:val="000000"/>
          <w:kern w:val="0"/>
          <w:sz w:val="24"/>
          <w:szCs w:val="24"/>
          <w:highlight w:val="red"/>
          <w:vertAlign w:val="superscript"/>
        </w:rPr>
        <w:t>对除特大型或技术特别复杂以外的房屋建筑和市政基础设施工程，不得以企业业绩和奖项作为资格、加分或中标条件。特大型或技术特别复杂的房屋建筑和市政基础设施工程</w:t>
      </w:r>
      <w:r>
        <w:rPr>
          <w:rFonts w:hint="eastAsia" w:ascii="宋体" w:hAnsi="宋体" w:cs="宋体"/>
          <w:bCs/>
          <w:snapToGrid w:val="0"/>
          <w:color w:val="000000"/>
          <w:kern w:val="0"/>
          <w:sz w:val="24"/>
          <w:szCs w:val="24"/>
          <w:highlight w:val="red"/>
          <w:vertAlign w:val="superscript"/>
          <w:lang w:eastAsia="zh-CN"/>
        </w:rPr>
        <w:t>。</w:t>
      </w:r>
      <w:r>
        <w:rPr>
          <w:rStyle w:val="28"/>
          <w:rFonts w:ascii="宋体" w:hAnsi="宋体" w:cs="宋体"/>
          <w:bCs/>
          <w:snapToGrid w:val="0"/>
          <w:color w:val="000000"/>
          <w:kern w:val="0"/>
          <w:sz w:val="24"/>
          <w:szCs w:val="24"/>
          <w:highlight w:val="red"/>
          <w:vertAlign w:val="superscript"/>
        </w:rPr>
        <w:t>界定范围</w:t>
      </w:r>
      <w:r>
        <w:rPr>
          <w:rFonts w:hint="eastAsia" w:ascii="宋体" w:hAnsi="宋体" w:cs="宋体"/>
          <w:bCs/>
          <w:snapToGrid w:val="0"/>
          <w:color w:val="000000"/>
          <w:kern w:val="0"/>
          <w:sz w:val="24"/>
          <w:szCs w:val="24"/>
          <w:highlight w:val="red"/>
          <w:vertAlign w:val="superscript"/>
          <w:lang w:eastAsia="zh-CN"/>
        </w:rPr>
        <w:t>：</w:t>
      </w:r>
      <w:r>
        <w:rPr>
          <w:rFonts w:hint="eastAsia" w:ascii="宋体" w:hAnsi="宋体" w:cs="宋体"/>
          <w:bCs/>
          <w:snapToGrid w:val="0"/>
          <w:color w:val="000000"/>
          <w:kern w:val="0"/>
          <w:sz w:val="24"/>
          <w:szCs w:val="24"/>
          <w:highlight w:val="red"/>
          <w:vertAlign w:val="superscript"/>
          <w:lang w:val="en-US" w:eastAsia="zh-CN"/>
        </w:rPr>
        <w:t>结合淮南市实际，我市特大型项目为项目招标预算在5000万元以上的项目；</w:t>
      </w:r>
      <w:r>
        <w:rPr>
          <w:rStyle w:val="28"/>
          <w:rFonts w:ascii="宋体" w:hAnsi="宋体" w:cs="宋体"/>
          <w:bCs/>
          <w:snapToGrid w:val="0"/>
          <w:color w:val="000000"/>
          <w:kern w:val="0"/>
          <w:sz w:val="24"/>
          <w:szCs w:val="24"/>
          <w:highlight w:val="red"/>
          <w:vertAlign w:val="superscript"/>
        </w:rPr>
        <w:t>技术特别复杂的房屋建筑和市政基础设施</w:t>
      </w:r>
      <w:r>
        <w:rPr>
          <w:rFonts w:hint="eastAsia" w:ascii="宋体" w:hAnsi="宋体" w:cs="宋体"/>
          <w:bCs/>
          <w:snapToGrid w:val="0"/>
          <w:color w:val="000000"/>
          <w:kern w:val="0"/>
          <w:sz w:val="24"/>
          <w:szCs w:val="24"/>
          <w:highlight w:val="red"/>
          <w:vertAlign w:val="superscript"/>
          <w:lang w:val="en-US" w:eastAsia="zh-CN"/>
        </w:rPr>
        <w:t>执行安徽省建设厅《关于特大型或技术特别复杂房屋建筑和市政基础设施工程如何定义的答复》中所列的标准。</w:t>
      </w:r>
    </w:p>
  </w:footnote>
  <w:footnote w:id="4">
    <w:p w14:paraId="7D93CD76">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ascii="宋体" w:hAnsi="宋体" w:cs="宋体"/>
          <w:bCs/>
          <w:snapToGrid w:val="0"/>
          <w:color w:val="000000"/>
          <w:kern w:val="0"/>
          <w:sz w:val="24"/>
          <w:szCs w:val="24"/>
          <w:vertAlign w:val="superscript"/>
        </w:rPr>
      </w:pPr>
      <w:r>
        <w:rPr>
          <w:rStyle w:val="28"/>
          <w:rFonts w:ascii="宋体" w:hAnsi="宋体" w:cs="宋体"/>
          <w:bCs/>
          <w:snapToGrid w:val="0"/>
          <w:color w:val="000000"/>
          <w:kern w:val="0"/>
          <w:sz w:val="24"/>
          <w:szCs w:val="24"/>
          <w:vertAlign w:val="superscript"/>
        </w:rPr>
        <w:footnoteRef/>
      </w:r>
      <w:r>
        <w:rPr>
          <w:rStyle w:val="28"/>
          <w:rFonts w:ascii="宋体" w:hAnsi="宋体" w:cs="宋体"/>
          <w:bCs/>
          <w:snapToGrid w:val="0"/>
          <w:color w:val="000000"/>
          <w:kern w:val="0"/>
          <w:sz w:val="24"/>
          <w:szCs w:val="24"/>
          <w:vertAlign w:val="superscript"/>
        </w:rPr>
        <w:t>对于未实施安全生产许可证的，可以不要求。</w:t>
      </w:r>
    </w:p>
  </w:footnote>
  <w:footnote w:id="5">
    <w:p w14:paraId="63F21521">
      <w:pPr>
        <w:pStyle w:val="16"/>
        <w:snapToGrid w:val="0"/>
        <w:spacing w:line="300" w:lineRule="exact"/>
        <w:rPr>
          <w:rStyle w:val="28"/>
          <w:rFonts w:hint="eastAsia" w:ascii="宋体" w:hAnsi="宋体" w:eastAsia="宋体" w:cs="宋体"/>
          <w:bCs/>
          <w:snapToGrid w:val="0"/>
          <w:color w:val="000000"/>
          <w:kern w:val="0"/>
          <w:sz w:val="24"/>
          <w:szCs w:val="24"/>
          <w:vertAlign w:val="superscript"/>
        </w:rPr>
      </w:pPr>
      <w:r>
        <w:rPr>
          <w:rStyle w:val="28"/>
          <w:rFonts w:hint="eastAsia" w:ascii="宋体" w:hAnsi="宋体" w:eastAsia="宋体" w:cs="宋体"/>
          <w:bCs/>
          <w:snapToGrid w:val="0"/>
          <w:color w:val="000000"/>
          <w:kern w:val="0"/>
          <w:sz w:val="24"/>
          <w:szCs w:val="24"/>
          <w:vertAlign w:val="superscript"/>
        </w:rPr>
        <w:footnoteRef/>
      </w:r>
      <w:r>
        <w:rPr>
          <w:rStyle w:val="28"/>
          <w:rFonts w:ascii="宋体" w:hAnsi="宋体" w:eastAsia="宋体" w:cs="宋体"/>
          <w:bCs/>
          <w:snapToGrid w:val="0"/>
          <w:color w:val="000000"/>
          <w:kern w:val="0"/>
          <w:sz w:val="24"/>
          <w:szCs w:val="24"/>
          <w:vertAlign w:val="superscript"/>
        </w:rPr>
        <w:t>对于未实施注册执业资格的，可以不要求。</w:t>
      </w:r>
    </w:p>
  </w:footnote>
  <w:footnote w:id="6">
    <w:p w14:paraId="500094D5">
      <w:pPr>
        <w:pStyle w:val="16"/>
        <w:adjustRightInd/>
        <w:spacing w:line="300" w:lineRule="exact"/>
        <w:rPr>
          <w:rStyle w:val="28"/>
          <w:rFonts w:ascii="宋体" w:hAnsi="宋体" w:eastAsia="宋体" w:cs="宋体"/>
          <w:bCs/>
          <w:snapToGrid w:val="0"/>
          <w:color w:val="000000"/>
          <w:kern w:val="0"/>
          <w:sz w:val="24"/>
          <w:szCs w:val="24"/>
          <w:vertAlign w:val="superscript"/>
        </w:rPr>
      </w:pPr>
      <w:r>
        <w:rPr>
          <w:rStyle w:val="28"/>
          <w:rFonts w:hint="eastAsia" w:ascii="宋体" w:hAnsi="宋体" w:eastAsia="宋体" w:cs="宋体"/>
          <w:bCs/>
          <w:snapToGrid w:val="0"/>
          <w:color w:val="000000"/>
          <w:kern w:val="0"/>
          <w:sz w:val="24"/>
          <w:szCs w:val="24"/>
          <w:vertAlign w:val="superscript"/>
        </w:rPr>
        <w:footnoteRef/>
      </w:r>
      <w:r>
        <w:rPr>
          <w:rStyle w:val="28"/>
          <w:rFonts w:hint="eastAsia" w:ascii="宋体" w:hAnsi="宋体" w:eastAsia="宋体" w:cs="宋体"/>
          <w:bCs/>
          <w:snapToGrid w:val="0"/>
          <w:color w:val="000000"/>
          <w:kern w:val="0"/>
          <w:sz w:val="24"/>
          <w:szCs w:val="24"/>
          <w:vertAlign w:val="superscript"/>
        </w:rPr>
        <w:t>鼓励对特大型房屋建筑和市政基础设施工程采用联合体投标方式。</w:t>
      </w:r>
    </w:p>
  </w:footnote>
  <w:footnote w:id="7">
    <w:p w14:paraId="0D1050FD">
      <w:pPr>
        <w:pStyle w:val="16"/>
        <w:keepNext w:val="0"/>
        <w:keepLines w:val="0"/>
        <w:pageBreakBefore w:val="0"/>
        <w:widowControl w:val="0"/>
        <w:kinsoku/>
        <w:wordWrap/>
        <w:overflowPunct/>
        <w:topLinePunct w:val="0"/>
        <w:bidi w:val="0"/>
        <w:adjustRightInd/>
        <w:snapToGrid/>
        <w:spacing w:line="240" w:lineRule="auto"/>
        <w:textAlignment w:val="auto"/>
        <w:rPr>
          <w:rFonts w:hint="default" w:eastAsia="宋体"/>
          <w:sz w:val="24"/>
          <w:szCs w:val="24"/>
          <w:highlight w:val="yellow"/>
          <w:vertAlign w:val="superscript"/>
          <w:lang w:val="en-US" w:eastAsia="zh-CN"/>
        </w:rPr>
      </w:pPr>
      <w:r>
        <w:rPr>
          <w:rStyle w:val="28"/>
          <w:sz w:val="16"/>
          <w:szCs w:val="16"/>
          <w:highlight w:val="yellow"/>
          <w:vertAlign w:val="superscript"/>
        </w:rPr>
        <w:footnoteRef/>
      </w:r>
      <w:r>
        <w:rPr>
          <w:sz w:val="16"/>
          <w:szCs w:val="16"/>
          <w:highlight w:val="yellow"/>
          <w:vertAlign w:val="superscript"/>
        </w:rPr>
        <w:t xml:space="preserve"> </w:t>
      </w:r>
      <w:r>
        <w:rPr>
          <w:rFonts w:hint="eastAsia"/>
          <w:sz w:val="24"/>
          <w:szCs w:val="24"/>
          <w:highlight w:val="yellow"/>
          <w:vertAlign w:val="superscript"/>
          <w:lang w:val="en-US" w:eastAsia="zh-CN"/>
        </w:rPr>
        <w:t>仅对政府采购工程建设项目适用此项规定，不属于政府采购工程建设项目范畴的项目不强制执行。</w:t>
      </w:r>
    </w:p>
  </w:footnote>
  <w:footnote w:id="8">
    <w:p w14:paraId="04ED14A7">
      <w:pPr>
        <w:pStyle w:val="16"/>
        <w:adjustRightInd/>
        <w:snapToGrid w:val="0"/>
        <w:spacing w:line="300" w:lineRule="exact"/>
        <w:rPr>
          <w:rStyle w:val="28"/>
          <w:rFonts w:ascii="宋体" w:hAnsi="宋体" w:eastAsia="宋体" w:cs="宋体"/>
          <w:bCs/>
          <w:snapToGrid w:val="0"/>
          <w:color w:val="000000"/>
          <w:kern w:val="0"/>
          <w:sz w:val="24"/>
          <w:szCs w:val="24"/>
          <w:vertAlign w:val="superscript"/>
        </w:rPr>
      </w:pPr>
      <w:r>
        <w:rPr>
          <w:rStyle w:val="28"/>
          <w:rFonts w:hint="eastAsia" w:ascii="宋体" w:hAnsi="宋体" w:eastAsia="宋体" w:cs="宋体"/>
          <w:bCs/>
          <w:snapToGrid w:val="0"/>
          <w:color w:val="000000"/>
          <w:kern w:val="0"/>
          <w:sz w:val="24"/>
          <w:szCs w:val="24"/>
          <w:vertAlign w:val="superscript"/>
        </w:rPr>
        <w:footnoteRef/>
      </w:r>
      <w:r>
        <w:rPr>
          <w:rStyle w:val="28"/>
          <w:rFonts w:hint="default" w:ascii="宋体" w:hAnsi="宋体" w:eastAsia="宋体" w:cs="宋体"/>
          <w:bCs/>
          <w:snapToGrid w:val="0"/>
          <w:color w:val="000000"/>
          <w:kern w:val="0"/>
          <w:sz w:val="24"/>
          <w:szCs w:val="24"/>
          <w:vertAlign w:val="superscript"/>
          <w:lang w:eastAsia="zh-CN"/>
        </w:rPr>
        <w:t>本条前述</w:t>
      </w:r>
      <w:r>
        <w:rPr>
          <w:rStyle w:val="28"/>
          <w:rFonts w:hint="default" w:ascii="宋体" w:hAnsi="宋体" w:eastAsia="宋体" w:cs="宋体"/>
          <w:bCs/>
          <w:snapToGrid w:val="0"/>
          <w:color w:val="000000"/>
          <w:kern w:val="0"/>
          <w:sz w:val="24"/>
          <w:szCs w:val="24"/>
          <w:vertAlign w:val="superscript"/>
          <w:lang w:val="en-US" w:eastAsia="zh-CN"/>
        </w:rPr>
        <w:t>比例由招标人根据项目的具体情况约定。</w:t>
      </w:r>
    </w:p>
  </w:footnote>
  <w:footnote w:id="9">
    <w:p w14:paraId="2E0AFB23">
      <w:pPr>
        <w:pStyle w:val="16"/>
        <w:adjustRightInd/>
        <w:snapToGrid w:val="0"/>
        <w:spacing w:line="300" w:lineRule="exact"/>
        <w:rPr>
          <w:rStyle w:val="28"/>
          <w:rFonts w:hint="eastAsia" w:ascii="宋体" w:hAnsi="宋体" w:eastAsia="宋体" w:cs="宋体"/>
          <w:bCs/>
          <w:snapToGrid w:val="0"/>
          <w:color w:val="000000"/>
          <w:kern w:val="0"/>
          <w:sz w:val="24"/>
          <w:szCs w:val="24"/>
          <w:vertAlign w:val="superscript"/>
        </w:rPr>
      </w:pPr>
      <w:r>
        <w:rPr>
          <w:rStyle w:val="28"/>
          <w:rFonts w:hint="eastAsia" w:ascii="宋体" w:hAnsi="宋体" w:eastAsia="宋体" w:cs="宋体"/>
          <w:bCs/>
          <w:snapToGrid w:val="0"/>
          <w:color w:val="000000"/>
          <w:kern w:val="0"/>
          <w:sz w:val="24"/>
          <w:szCs w:val="24"/>
          <w:vertAlign w:val="superscript"/>
        </w:rPr>
        <w:footnoteRef/>
      </w:r>
      <w:r>
        <w:rPr>
          <w:rStyle w:val="28"/>
          <w:rFonts w:ascii="宋体" w:hAnsi="宋体" w:eastAsia="宋体" w:cs="宋体"/>
          <w:bCs/>
          <w:snapToGrid w:val="0"/>
          <w:color w:val="000000"/>
          <w:kern w:val="0"/>
          <w:sz w:val="24"/>
          <w:szCs w:val="24"/>
          <w:vertAlign w:val="superscript"/>
        </w:rPr>
        <w:t>本条前述比例由招标人根据项目的具体情况约定。</w:t>
      </w:r>
      <w:r>
        <w:rPr>
          <w:rStyle w:val="28"/>
          <w:rFonts w:hint="eastAsia" w:ascii="宋体" w:hAnsi="宋体" w:eastAsia="宋体" w:cs="宋体"/>
          <w:bCs/>
          <w:snapToGrid w:val="0"/>
          <w:color w:val="000000"/>
          <w:kern w:val="0"/>
          <w:sz w:val="24"/>
          <w:szCs w:val="24"/>
          <w:vertAlign w:val="superscript"/>
        </w:rPr>
        <w:t xml:space="preserve"> </w:t>
      </w:r>
    </w:p>
  </w:footnote>
  <w:footnote w:id="10">
    <w:p w14:paraId="5B3A5B68">
      <w:pPr>
        <w:pStyle w:val="16"/>
        <w:keepNext w:val="0"/>
        <w:keepLines w:val="0"/>
        <w:pageBreakBefore w:val="0"/>
        <w:widowControl w:val="0"/>
        <w:kinsoku/>
        <w:wordWrap/>
        <w:overflowPunct/>
        <w:topLinePunct w:val="0"/>
        <w:bidi w:val="0"/>
        <w:adjustRightInd/>
        <w:snapToGrid/>
        <w:spacing w:line="300" w:lineRule="exact"/>
        <w:textAlignment w:val="auto"/>
        <w:rPr>
          <w:rFonts w:hint="default" w:eastAsia="宋体"/>
          <w:sz w:val="24"/>
          <w:szCs w:val="24"/>
          <w:highlight w:val="green"/>
          <w:vertAlign w:val="superscript"/>
          <w:lang w:val="en-US" w:eastAsia="zh-CN"/>
        </w:rPr>
      </w:pPr>
      <w:r>
        <w:rPr>
          <w:rStyle w:val="28"/>
          <w:sz w:val="18"/>
          <w:szCs w:val="18"/>
          <w:highlight w:val="green"/>
          <w:vertAlign w:val="superscript"/>
        </w:rPr>
        <w:footnoteRef/>
      </w:r>
      <w:r>
        <w:rPr>
          <w:sz w:val="24"/>
          <w:szCs w:val="24"/>
          <w:highlight w:val="green"/>
          <w:vertAlign w:val="superscript"/>
        </w:rPr>
        <w:t xml:space="preserve"> </w:t>
      </w:r>
      <w:r>
        <w:rPr>
          <w:rFonts w:hint="eastAsia"/>
          <w:sz w:val="24"/>
          <w:szCs w:val="24"/>
          <w:highlight w:val="green"/>
          <w:vertAlign w:val="superscript"/>
          <w:lang w:val="en-US" w:eastAsia="zh-CN"/>
        </w:rPr>
        <w:t>建设规模中需要明示与资质条件设定相关的重要规模指标（如建筑面积、建筑高度、单跨跨度等）。</w:t>
      </w:r>
    </w:p>
  </w:footnote>
  <w:footnote w:id="11">
    <w:p w14:paraId="308E6B99">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ascii="宋体" w:hAnsi="宋体" w:eastAsia="宋体" w:cs="宋体"/>
          <w:bCs/>
          <w:snapToGrid w:val="0"/>
          <w:color w:val="000000"/>
          <w:kern w:val="0"/>
          <w:sz w:val="24"/>
          <w:szCs w:val="24"/>
          <w:highlight w:val="green"/>
          <w:vertAlign w:val="superscript"/>
        </w:rPr>
      </w:pPr>
      <w:r>
        <w:rPr>
          <w:rStyle w:val="28"/>
          <w:rFonts w:ascii="宋体" w:hAnsi="宋体" w:eastAsia="宋体" w:cs="宋体"/>
          <w:bCs/>
          <w:snapToGrid w:val="0"/>
          <w:color w:val="000000"/>
          <w:kern w:val="0"/>
          <w:sz w:val="24"/>
          <w:szCs w:val="24"/>
          <w:highlight w:val="green"/>
          <w:vertAlign w:val="superscript"/>
        </w:rPr>
        <w:footnoteRef/>
      </w:r>
      <w:r>
        <w:rPr>
          <w:rStyle w:val="28"/>
          <w:rFonts w:ascii="宋体" w:hAnsi="宋体" w:eastAsia="宋体" w:cs="宋体"/>
          <w:bCs/>
          <w:snapToGrid w:val="0"/>
          <w:color w:val="000000"/>
          <w:kern w:val="0"/>
          <w:sz w:val="24"/>
          <w:szCs w:val="24"/>
          <w:highlight w:val="green"/>
          <w:vertAlign w:val="superscript"/>
        </w:rPr>
        <w:t>依据工期定额标准确定合理工期</w:t>
      </w:r>
      <w:r>
        <w:rPr>
          <w:rFonts w:hint="eastAsia" w:ascii="宋体" w:hAnsi="宋体" w:cs="宋体"/>
          <w:bCs/>
          <w:snapToGrid w:val="0"/>
          <w:color w:val="000000"/>
          <w:kern w:val="0"/>
          <w:sz w:val="24"/>
          <w:szCs w:val="24"/>
          <w:highlight w:val="green"/>
          <w:vertAlign w:val="superscript"/>
          <w:lang w:eastAsia="zh-CN"/>
        </w:rPr>
        <w:t>（《</w:t>
      </w:r>
      <w:r>
        <w:rPr>
          <w:rFonts w:hint="eastAsia" w:ascii="宋体" w:hAnsi="宋体" w:cs="宋体"/>
          <w:bCs/>
          <w:snapToGrid w:val="0"/>
          <w:color w:val="000000"/>
          <w:kern w:val="0"/>
          <w:sz w:val="24"/>
          <w:szCs w:val="24"/>
          <w:highlight w:val="green"/>
          <w:vertAlign w:val="superscript"/>
          <w:lang w:val="en-US" w:eastAsia="zh-CN"/>
        </w:rPr>
        <w:t>安徽省建设工程工期定额</w:t>
      </w:r>
      <w:r>
        <w:rPr>
          <w:rFonts w:hint="eastAsia" w:ascii="宋体" w:hAnsi="宋体" w:cs="宋体"/>
          <w:bCs/>
          <w:snapToGrid w:val="0"/>
          <w:color w:val="000000"/>
          <w:kern w:val="0"/>
          <w:sz w:val="24"/>
          <w:szCs w:val="24"/>
          <w:highlight w:val="green"/>
          <w:vertAlign w:val="superscript"/>
          <w:lang w:eastAsia="zh-CN"/>
        </w:rPr>
        <w:t>》</w:t>
      </w:r>
      <w:r>
        <w:rPr>
          <w:rFonts w:hint="eastAsia" w:ascii="宋体" w:hAnsi="宋体" w:cs="宋体"/>
          <w:bCs/>
          <w:snapToGrid w:val="0"/>
          <w:color w:val="000000"/>
          <w:kern w:val="0"/>
          <w:sz w:val="24"/>
          <w:szCs w:val="24"/>
          <w:highlight w:val="green"/>
          <w:vertAlign w:val="superscript"/>
          <w:lang w:val="en-US" w:eastAsia="zh-CN"/>
        </w:rPr>
        <w:t>2012版，或《建筑安装工程工期定额》（TY 01-89-2016）</w:t>
      </w:r>
      <w:r>
        <w:rPr>
          <w:rFonts w:hint="eastAsia" w:ascii="宋体" w:hAnsi="宋体" w:cs="宋体"/>
          <w:bCs/>
          <w:snapToGrid w:val="0"/>
          <w:color w:val="000000"/>
          <w:kern w:val="0"/>
          <w:sz w:val="24"/>
          <w:szCs w:val="24"/>
          <w:highlight w:val="green"/>
          <w:vertAlign w:val="superscript"/>
          <w:lang w:eastAsia="zh-CN"/>
        </w:rPr>
        <w:t>）（</w:t>
      </w:r>
      <w:r>
        <w:rPr>
          <w:rFonts w:hint="eastAsia" w:ascii="宋体" w:hAnsi="宋体" w:cs="宋体"/>
          <w:bCs/>
          <w:snapToGrid w:val="0"/>
          <w:color w:val="000000"/>
          <w:kern w:val="0"/>
          <w:sz w:val="24"/>
          <w:szCs w:val="24"/>
          <w:highlight w:val="green"/>
          <w:vertAlign w:val="superscript"/>
          <w:lang w:val="en-US" w:eastAsia="zh-CN"/>
        </w:rPr>
        <w:t>如有新版文件按照最新版文件执行</w:t>
      </w:r>
      <w:r>
        <w:rPr>
          <w:rFonts w:hint="eastAsia" w:ascii="宋体" w:hAnsi="宋体" w:cs="宋体"/>
          <w:bCs/>
          <w:snapToGrid w:val="0"/>
          <w:color w:val="000000"/>
          <w:kern w:val="0"/>
          <w:sz w:val="24"/>
          <w:szCs w:val="24"/>
          <w:highlight w:val="green"/>
          <w:vertAlign w:val="superscript"/>
          <w:lang w:eastAsia="zh-CN"/>
        </w:rPr>
        <w:t>）</w:t>
      </w:r>
      <w:r>
        <w:rPr>
          <w:rStyle w:val="28"/>
          <w:rFonts w:ascii="宋体" w:hAnsi="宋体" w:eastAsia="宋体" w:cs="宋体"/>
          <w:bCs/>
          <w:snapToGrid w:val="0"/>
          <w:color w:val="000000"/>
          <w:kern w:val="0"/>
          <w:sz w:val="24"/>
          <w:szCs w:val="24"/>
          <w:highlight w:val="green"/>
          <w:vertAlign w:val="superscript"/>
        </w:rPr>
        <w:t>，确保工期与造价适配，不得在招标文件中设置不合理条件或系数，干预或引导投标人缩短工期、以异常低价竞标。</w:t>
      </w:r>
    </w:p>
  </w:footnote>
  <w:footnote w:id="12">
    <w:p w14:paraId="72EC3A41">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ascii="宋体" w:hAnsi="宋体" w:eastAsia="宋体" w:cs="宋体"/>
          <w:bCs/>
          <w:snapToGrid w:val="0"/>
          <w:color w:val="000000"/>
          <w:kern w:val="0"/>
          <w:sz w:val="24"/>
          <w:szCs w:val="24"/>
          <w:highlight w:val="green"/>
          <w:vertAlign w:val="superscript"/>
        </w:rPr>
      </w:pPr>
      <w:r>
        <w:rPr>
          <w:rStyle w:val="28"/>
          <w:rFonts w:ascii="宋体" w:hAnsi="宋体" w:eastAsia="宋体" w:cs="宋体"/>
          <w:bCs/>
          <w:snapToGrid w:val="0"/>
          <w:color w:val="000000"/>
          <w:kern w:val="0"/>
          <w:sz w:val="24"/>
          <w:szCs w:val="24"/>
          <w:highlight w:val="green"/>
          <w:vertAlign w:val="superscript"/>
        </w:rPr>
        <w:footnoteRef/>
      </w:r>
      <w:r>
        <w:rPr>
          <w:rStyle w:val="28"/>
          <w:rFonts w:ascii="宋体" w:hAnsi="宋体" w:eastAsia="宋体" w:cs="宋体"/>
          <w:bCs/>
          <w:snapToGrid w:val="0"/>
          <w:color w:val="000000"/>
          <w:kern w:val="0"/>
          <w:sz w:val="24"/>
          <w:szCs w:val="24"/>
          <w:highlight w:val="green"/>
          <w:vertAlign w:val="superscript"/>
        </w:rPr>
        <w:t>依据全国建筑市场监管公共服务平台工程项目信息数据标准的项目分类字典表，分为房屋建筑工程、市政基础设施工程。</w:t>
      </w:r>
    </w:p>
  </w:footnote>
  <w:footnote w:id="13">
    <w:p w14:paraId="362458E5">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hint="default" w:ascii="宋体" w:hAnsi="宋体" w:eastAsia="宋体" w:cs="宋体"/>
          <w:bCs/>
          <w:snapToGrid w:val="0"/>
          <w:color w:val="000000"/>
          <w:kern w:val="0"/>
          <w:sz w:val="24"/>
          <w:szCs w:val="24"/>
          <w:vertAlign w:val="superscript"/>
          <w:lang w:val="en-US" w:eastAsia="zh-CN"/>
        </w:rPr>
      </w:pPr>
      <w:r>
        <w:rPr>
          <w:rStyle w:val="28"/>
          <w:rFonts w:ascii="宋体" w:hAnsi="宋体" w:cs="宋体"/>
          <w:bCs/>
          <w:snapToGrid w:val="0"/>
          <w:color w:val="000000"/>
          <w:kern w:val="0"/>
          <w:sz w:val="24"/>
          <w:szCs w:val="24"/>
          <w:vertAlign w:val="superscript"/>
        </w:rPr>
        <w:footnoteRef/>
      </w:r>
      <w:r>
        <w:rPr>
          <w:rStyle w:val="28"/>
          <w:rFonts w:ascii="宋体" w:hAnsi="宋体" w:cs="宋体"/>
          <w:bCs/>
          <w:snapToGrid w:val="0"/>
          <w:color w:val="000000"/>
          <w:kern w:val="0"/>
          <w:sz w:val="24"/>
          <w:szCs w:val="24"/>
          <w:vertAlign w:val="superscript"/>
        </w:rPr>
        <w:t>对除特大型或技术特别复杂以外的房屋建筑和市政基础设施工程，不得以企业业绩和奖项作为资格、加分或中标条件。特大型或技术特别复杂的房屋建筑和市政基础设施工程</w:t>
      </w:r>
      <w:r>
        <w:rPr>
          <w:rFonts w:hint="eastAsia" w:ascii="宋体" w:hAnsi="宋体" w:cs="宋体"/>
          <w:bCs/>
          <w:snapToGrid w:val="0"/>
          <w:color w:val="000000"/>
          <w:kern w:val="0"/>
          <w:sz w:val="24"/>
          <w:szCs w:val="24"/>
          <w:vertAlign w:val="superscript"/>
          <w:lang w:eastAsia="zh-CN"/>
        </w:rPr>
        <w:t>。</w:t>
      </w:r>
      <w:r>
        <w:rPr>
          <w:rStyle w:val="28"/>
          <w:rFonts w:ascii="宋体" w:hAnsi="宋体" w:cs="宋体"/>
          <w:bCs/>
          <w:snapToGrid w:val="0"/>
          <w:color w:val="000000"/>
          <w:kern w:val="0"/>
          <w:sz w:val="24"/>
          <w:szCs w:val="24"/>
          <w:highlight w:val="yellow"/>
          <w:vertAlign w:val="superscript"/>
        </w:rPr>
        <w:t>界定范围</w:t>
      </w:r>
      <w:r>
        <w:rPr>
          <w:rFonts w:hint="eastAsia" w:ascii="宋体" w:hAnsi="宋体" w:cs="宋体"/>
          <w:bCs/>
          <w:snapToGrid w:val="0"/>
          <w:color w:val="000000"/>
          <w:kern w:val="0"/>
          <w:sz w:val="24"/>
          <w:szCs w:val="24"/>
          <w:highlight w:val="yellow"/>
          <w:vertAlign w:val="superscript"/>
          <w:lang w:eastAsia="zh-CN"/>
        </w:rPr>
        <w:t>：</w:t>
      </w:r>
      <w:r>
        <w:rPr>
          <w:rFonts w:hint="eastAsia" w:ascii="宋体" w:hAnsi="宋体" w:cs="宋体"/>
          <w:bCs/>
          <w:snapToGrid w:val="0"/>
          <w:color w:val="000000"/>
          <w:kern w:val="0"/>
          <w:sz w:val="24"/>
          <w:szCs w:val="24"/>
          <w:highlight w:val="green"/>
          <w:vertAlign w:val="superscript"/>
          <w:lang w:val="en-US" w:eastAsia="zh-CN"/>
        </w:rPr>
        <w:t>结合淮南市实际，我市特大型项目为项目招标预算在5000万元以上的项目</w:t>
      </w:r>
      <w:r>
        <w:rPr>
          <w:rFonts w:hint="eastAsia" w:ascii="宋体" w:hAnsi="宋体" w:cs="宋体"/>
          <w:bCs/>
          <w:snapToGrid w:val="0"/>
          <w:color w:val="000000"/>
          <w:kern w:val="0"/>
          <w:sz w:val="24"/>
          <w:szCs w:val="24"/>
          <w:highlight w:val="yellow"/>
          <w:vertAlign w:val="superscript"/>
          <w:lang w:val="en-US" w:eastAsia="zh-CN"/>
        </w:rPr>
        <w:t>；</w:t>
      </w:r>
      <w:r>
        <w:rPr>
          <w:rStyle w:val="28"/>
          <w:rFonts w:ascii="宋体" w:hAnsi="宋体" w:cs="宋体"/>
          <w:bCs/>
          <w:snapToGrid w:val="0"/>
          <w:color w:val="000000"/>
          <w:kern w:val="0"/>
          <w:sz w:val="24"/>
          <w:szCs w:val="24"/>
          <w:highlight w:val="yellow"/>
          <w:vertAlign w:val="superscript"/>
        </w:rPr>
        <w:t>技术特别复杂的房屋建筑和市政基础设施</w:t>
      </w:r>
      <w:r>
        <w:rPr>
          <w:rFonts w:hint="eastAsia" w:ascii="宋体" w:hAnsi="宋体" w:cs="宋体"/>
          <w:bCs/>
          <w:snapToGrid w:val="0"/>
          <w:color w:val="000000"/>
          <w:kern w:val="0"/>
          <w:sz w:val="24"/>
          <w:szCs w:val="24"/>
          <w:highlight w:val="yellow"/>
          <w:vertAlign w:val="superscript"/>
          <w:lang w:val="en-US" w:eastAsia="zh-CN"/>
        </w:rPr>
        <w:t>执行安徽省建设厅《关于特大型或技术特别复杂房屋建筑和市政基础设施工程如何定义的答复》中所列的标准。</w:t>
      </w:r>
    </w:p>
  </w:footnote>
  <w:footnote w:id="14">
    <w:p w14:paraId="3CAE98E7">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ascii="宋体" w:hAnsi="宋体" w:cs="宋体"/>
          <w:bCs/>
          <w:snapToGrid w:val="0"/>
          <w:color w:val="000000"/>
          <w:kern w:val="0"/>
          <w:sz w:val="24"/>
          <w:szCs w:val="24"/>
          <w:vertAlign w:val="superscript"/>
        </w:rPr>
      </w:pPr>
      <w:r>
        <w:rPr>
          <w:rStyle w:val="28"/>
          <w:rFonts w:ascii="宋体" w:hAnsi="宋体" w:cs="宋体"/>
          <w:bCs/>
          <w:snapToGrid w:val="0"/>
          <w:color w:val="000000"/>
          <w:kern w:val="0"/>
          <w:sz w:val="24"/>
          <w:szCs w:val="24"/>
          <w:vertAlign w:val="superscript"/>
        </w:rPr>
        <w:footnoteRef/>
      </w:r>
      <w:r>
        <w:rPr>
          <w:rStyle w:val="28"/>
          <w:rFonts w:ascii="宋体" w:hAnsi="宋体" w:cs="宋体"/>
          <w:bCs/>
          <w:snapToGrid w:val="0"/>
          <w:color w:val="000000"/>
          <w:kern w:val="0"/>
          <w:sz w:val="24"/>
          <w:szCs w:val="24"/>
          <w:vertAlign w:val="superscript"/>
        </w:rPr>
        <w:t>对于未实施安全生产许可证的，可以不要求。</w:t>
      </w:r>
    </w:p>
  </w:footnote>
  <w:footnote w:id="15">
    <w:p w14:paraId="43D1C523">
      <w:pPr>
        <w:pStyle w:val="16"/>
        <w:snapToGrid w:val="0"/>
        <w:spacing w:line="300" w:lineRule="exact"/>
        <w:rPr>
          <w:rStyle w:val="28"/>
          <w:rFonts w:hint="eastAsia" w:ascii="宋体" w:hAnsi="宋体" w:eastAsia="宋体" w:cs="宋体"/>
          <w:bCs/>
          <w:snapToGrid w:val="0"/>
          <w:color w:val="000000"/>
          <w:kern w:val="0"/>
          <w:sz w:val="24"/>
          <w:szCs w:val="24"/>
          <w:vertAlign w:val="superscript"/>
        </w:rPr>
      </w:pPr>
      <w:r>
        <w:rPr>
          <w:rStyle w:val="28"/>
          <w:rFonts w:hint="eastAsia" w:ascii="宋体" w:hAnsi="宋体" w:eastAsia="宋体" w:cs="宋体"/>
          <w:bCs/>
          <w:snapToGrid w:val="0"/>
          <w:color w:val="000000"/>
          <w:kern w:val="0"/>
          <w:sz w:val="24"/>
          <w:szCs w:val="24"/>
          <w:vertAlign w:val="superscript"/>
        </w:rPr>
        <w:footnoteRef/>
      </w:r>
      <w:r>
        <w:rPr>
          <w:rStyle w:val="28"/>
          <w:rFonts w:ascii="宋体" w:hAnsi="宋体" w:eastAsia="宋体" w:cs="宋体"/>
          <w:bCs/>
          <w:snapToGrid w:val="0"/>
          <w:color w:val="000000"/>
          <w:kern w:val="0"/>
          <w:sz w:val="24"/>
          <w:szCs w:val="24"/>
          <w:vertAlign w:val="superscript"/>
        </w:rPr>
        <w:t>对于未实施注册执业资格的，可以不要求。</w:t>
      </w:r>
    </w:p>
  </w:footnote>
  <w:footnote w:id="16">
    <w:p w14:paraId="606EF695">
      <w:pPr>
        <w:pStyle w:val="16"/>
        <w:adjustRightInd/>
        <w:spacing w:line="300" w:lineRule="exact"/>
        <w:rPr>
          <w:rStyle w:val="28"/>
          <w:rFonts w:ascii="宋体" w:hAnsi="宋体" w:eastAsia="宋体" w:cs="宋体"/>
          <w:bCs/>
          <w:snapToGrid w:val="0"/>
          <w:color w:val="000000"/>
          <w:kern w:val="0"/>
          <w:sz w:val="24"/>
          <w:szCs w:val="24"/>
          <w:vertAlign w:val="superscript"/>
        </w:rPr>
      </w:pPr>
      <w:r>
        <w:rPr>
          <w:rStyle w:val="28"/>
          <w:rFonts w:hint="eastAsia" w:ascii="宋体" w:hAnsi="宋体" w:eastAsia="宋体" w:cs="宋体"/>
          <w:bCs/>
          <w:snapToGrid w:val="0"/>
          <w:color w:val="000000"/>
          <w:kern w:val="0"/>
          <w:sz w:val="24"/>
          <w:szCs w:val="24"/>
          <w:vertAlign w:val="superscript"/>
        </w:rPr>
        <w:footnoteRef/>
      </w:r>
      <w:r>
        <w:rPr>
          <w:rStyle w:val="28"/>
          <w:rFonts w:hint="eastAsia" w:ascii="宋体" w:hAnsi="宋体" w:eastAsia="宋体" w:cs="宋体"/>
          <w:bCs/>
          <w:snapToGrid w:val="0"/>
          <w:color w:val="000000"/>
          <w:kern w:val="0"/>
          <w:sz w:val="24"/>
          <w:szCs w:val="24"/>
          <w:vertAlign w:val="superscript"/>
        </w:rPr>
        <w:t>鼓励对特大型房屋建筑和市政基础设施工程采用联合体投标方式。</w:t>
      </w:r>
    </w:p>
  </w:footnote>
  <w:footnote w:id="17">
    <w:p w14:paraId="32FF1111">
      <w:pPr>
        <w:pStyle w:val="16"/>
        <w:keepNext w:val="0"/>
        <w:keepLines w:val="0"/>
        <w:pageBreakBefore w:val="0"/>
        <w:widowControl w:val="0"/>
        <w:kinsoku/>
        <w:wordWrap/>
        <w:overflowPunct/>
        <w:topLinePunct w:val="0"/>
        <w:bidi w:val="0"/>
        <w:adjustRightInd w:val="0"/>
        <w:snapToGrid w:val="0"/>
        <w:spacing w:line="300" w:lineRule="exact"/>
        <w:textAlignment w:val="auto"/>
        <w:rPr>
          <w:rFonts w:hint="default" w:eastAsia="宋体"/>
          <w:sz w:val="24"/>
          <w:szCs w:val="24"/>
          <w:highlight w:val="yellow"/>
          <w:vertAlign w:val="superscript"/>
          <w:lang w:val="en-US" w:eastAsia="zh-CN"/>
        </w:rPr>
      </w:pPr>
      <w:r>
        <w:rPr>
          <w:rStyle w:val="28"/>
          <w:sz w:val="16"/>
          <w:szCs w:val="16"/>
          <w:highlight w:val="yellow"/>
          <w:vertAlign w:val="superscript"/>
        </w:rPr>
        <w:footnoteRef/>
      </w:r>
      <w:r>
        <w:rPr>
          <w:sz w:val="24"/>
          <w:szCs w:val="24"/>
          <w:highlight w:val="yellow"/>
          <w:vertAlign w:val="superscript"/>
        </w:rPr>
        <w:t xml:space="preserve"> </w:t>
      </w:r>
      <w:r>
        <w:rPr>
          <w:rFonts w:hint="eastAsia"/>
          <w:sz w:val="24"/>
          <w:szCs w:val="24"/>
          <w:highlight w:val="yellow"/>
          <w:vertAlign w:val="superscript"/>
          <w:lang w:val="en-US" w:eastAsia="zh-CN"/>
        </w:rPr>
        <w:t>仅对政府采购工程建设项目适用此项规定，不属于政府采购工程建设项目范畴的项目不强制执行。</w:t>
      </w:r>
    </w:p>
  </w:footnote>
  <w:footnote w:id="18">
    <w:p w14:paraId="650C2355">
      <w:pPr>
        <w:pStyle w:val="16"/>
        <w:adjustRightInd/>
        <w:snapToGrid w:val="0"/>
        <w:spacing w:line="300" w:lineRule="exact"/>
        <w:rPr>
          <w:rStyle w:val="28"/>
          <w:rFonts w:ascii="宋体" w:hAnsi="宋体" w:eastAsia="宋体" w:cs="宋体"/>
          <w:bCs/>
          <w:snapToGrid w:val="0"/>
          <w:color w:val="000000"/>
          <w:kern w:val="0"/>
          <w:sz w:val="24"/>
          <w:szCs w:val="24"/>
          <w:vertAlign w:val="superscript"/>
        </w:rPr>
      </w:pPr>
      <w:r>
        <w:rPr>
          <w:rStyle w:val="28"/>
          <w:rFonts w:hint="eastAsia" w:ascii="宋体" w:hAnsi="宋体" w:eastAsia="宋体" w:cs="宋体"/>
          <w:bCs/>
          <w:snapToGrid w:val="0"/>
          <w:color w:val="000000"/>
          <w:kern w:val="0"/>
          <w:sz w:val="24"/>
          <w:szCs w:val="24"/>
          <w:vertAlign w:val="superscript"/>
        </w:rPr>
        <w:footnoteRef/>
      </w:r>
      <w:r>
        <w:rPr>
          <w:rStyle w:val="28"/>
          <w:rFonts w:hint="default" w:ascii="宋体" w:hAnsi="宋体" w:eastAsia="宋体" w:cs="宋体"/>
          <w:bCs/>
          <w:snapToGrid w:val="0"/>
          <w:color w:val="000000"/>
          <w:kern w:val="0"/>
          <w:sz w:val="24"/>
          <w:szCs w:val="24"/>
          <w:vertAlign w:val="superscript"/>
          <w:lang w:eastAsia="zh-CN"/>
        </w:rPr>
        <w:t>本条前述</w:t>
      </w:r>
      <w:r>
        <w:rPr>
          <w:rStyle w:val="28"/>
          <w:rFonts w:hint="default" w:ascii="宋体" w:hAnsi="宋体" w:eastAsia="宋体" w:cs="宋体"/>
          <w:bCs/>
          <w:snapToGrid w:val="0"/>
          <w:color w:val="000000"/>
          <w:kern w:val="0"/>
          <w:sz w:val="24"/>
          <w:szCs w:val="24"/>
          <w:vertAlign w:val="superscript"/>
          <w:lang w:val="en-US" w:eastAsia="zh-CN"/>
        </w:rPr>
        <w:t>比例由招标人根据项目的具体情况约定。</w:t>
      </w:r>
    </w:p>
  </w:footnote>
  <w:footnote w:id="19">
    <w:p w14:paraId="7F59C2EC">
      <w:pPr>
        <w:pStyle w:val="16"/>
        <w:snapToGrid w:val="0"/>
        <w:rPr>
          <w:rFonts w:hint="default" w:eastAsia="宋体"/>
          <w:highlight w:val="yellow"/>
          <w:lang w:val="en-US" w:eastAsia="zh-CN"/>
        </w:rPr>
      </w:pPr>
      <w:r>
        <w:rPr>
          <w:rStyle w:val="28"/>
          <w:highlight w:val="yellow"/>
        </w:rPr>
        <w:footnoteRef/>
      </w:r>
      <w:r>
        <w:rPr>
          <w:highlight w:val="yellow"/>
        </w:rPr>
        <w:t xml:space="preserve"> </w:t>
      </w:r>
      <w:r>
        <w:rPr>
          <w:rFonts w:hint="eastAsia"/>
          <w:highlight w:val="yellow"/>
          <w:lang w:val="en-US" w:eastAsia="zh-CN"/>
        </w:rPr>
        <w:t>如有创优、创奖要求或其他质量要求的，在此处列明。</w:t>
      </w:r>
    </w:p>
  </w:footnote>
  <w:footnote w:id="20">
    <w:p w14:paraId="0330C890">
      <w:pPr>
        <w:pStyle w:val="16"/>
        <w:rPr>
          <w:rStyle w:val="28"/>
          <w:rFonts w:hint="eastAsia" w:ascii="宋体" w:hAnsi="宋体" w:cs="宋体"/>
          <w:bCs/>
          <w:snapToGrid w:val="0"/>
          <w:color w:val="000000"/>
          <w:kern w:val="0"/>
          <w:sz w:val="24"/>
          <w:szCs w:val="24"/>
        </w:rPr>
      </w:pPr>
      <w:r>
        <w:rPr>
          <w:rStyle w:val="28"/>
          <w:rFonts w:hint="eastAsia" w:ascii="宋体" w:hAnsi="宋体" w:cs="宋体"/>
          <w:bCs/>
          <w:snapToGrid w:val="0"/>
          <w:color w:val="000000"/>
          <w:kern w:val="0"/>
          <w:sz w:val="24"/>
          <w:szCs w:val="24"/>
        </w:rPr>
        <w:footnoteRef/>
      </w:r>
      <w:r>
        <w:rPr>
          <w:rFonts w:hint="eastAsia" w:ascii="宋体" w:hAnsi="宋体" w:cs="宋体"/>
          <w:bCs/>
          <w:snapToGrid w:val="0"/>
          <w:color w:val="000000"/>
          <w:kern w:val="0"/>
          <w:sz w:val="24"/>
          <w:szCs w:val="24"/>
          <w:vertAlign w:val="superscript"/>
          <w:lang w:eastAsia="zh-CN"/>
        </w:rPr>
        <w:t>暂列金额和暂估价由招标人在工程量清单中给定，通过电子交易系统发布</w:t>
      </w:r>
      <w:r>
        <w:rPr>
          <w:rStyle w:val="28"/>
          <w:rFonts w:hint="eastAsia" w:ascii="宋体" w:hAnsi="宋体" w:cs="宋体"/>
          <w:bCs/>
          <w:snapToGrid w:val="0"/>
          <w:color w:val="000000"/>
          <w:kern w:val="0"/>
          <w:sz w:val="24"/>
          <w:szCs w:val="24"/>
        </w:rPr>
        <w:t>。</w:t>
      </w:r>
    </w:p>
  </w:footnote>
  <w:footnote w:id="21">
    <w:p w14:paraId="10FC1624">
      <w:pPr>
        <w:pStyle w:val="16"/>
        <w:rPr>
          <w:rStyle w:val="28"/>
          <w:rFonts w:hint="eastAsia" w:ascii="宋体" w:hAnsi="宋体" w:cs="宋体"/>
          <w:bCs/>
          <w:snapToGrid w:val="0"/>
          <w:color w:val="000000"/>
          <w:kern w:val="0"/>
          <w:sz w:val="24"/>
          <w:szCs w:val="24"/>
        </w:rPr>
      </w:pPr>
      <w:r>
        <w:rPr>
          <w:rStyle w:val="28"/>
          <w:rFonts w:hint="eastAsia" w:ascii="宋体" w:hAnsi="宋体" w:cs="宋体"/>
          <w:bCs/>
          <w:snapToGrid w:val="0"/>
          <w:color w:val="000000"/>
          <w:kern w:val="0"/>
          <w:sz w:val="24"/>
          <w:szCs w:val="24"/>
        </w:rPr>
        <w:footnoteRef/>
      </w:r>
      <w:r>
        <w:rPr>
          <w:rFonts w:hint="eastAsia" w:ascii="宋体" w:hAnsi="宋体" w:cs="宋体"/>
          <w:bCs/>
          <w:snapToGrid w:val="0"/>
          <w:color w:val="000000"/>
          <w:kern w:val="0"/>
          <w:sz w:val="24"/>
          <w:szCs w:val="24"/>
          <w:vertAlign w:val="superscript"/>
        </w:rPr>
        <w:t>投标</w:t>
      </w:r>
      <w:r>
        <w:rPr>
          <w:rStyle w:val="28"/>
          <w:rFonts w:hint="eastAsia" w:ascii="宋体" w:hAnsi="宋体" w:cs="宋体"/>
          <w:bCs/>
          <w:snapToGrid w:val="0"/>
          <w:color w:val="000000"/>
          <w:kern w:val="0"/>
          <w:sz w:val="24"/>
          <w:szCs w:val="24"/>
        </w:rPr>
        <w:t>保证金</w:t>
      </w:r>
      <w:r>
        <w:rPr>
          <w:rStyle w:val="28"/>
          <w:rFonts w:hint="eastAsia" w:ascii="宋体" w:hAnsi="宋体" w:cs="宋体"/>
          <w:bCs/>
          <w:snapToGrid w:val="0"/>
          <w:color w:val="000000"/>
          <w:kern w:val="0"/>
          <w:sz w:val="24"/>
          <w:szCs w:val="24"/>
          <w:lang w:val="en-US" w:eastAsia="zh-CN"/>
        </w:rPr>
        <w:t>允许采用工程保函</w:t>
      </w:r>
      <w:r>
        <w:rPr>
          <w:rStyle w:val="28"/>
          <w:rFonts w:hint="eastAsia" w:ascii="宋体" w:hAnsi="宋体" w:cs="宋体"/>
          <w:bCs/>
          <w:snapToGrid w:val="0"/>
          <w:color w:val="000000"/>
          <w:kern w:val="0"/>
          <w:sz w:val="24"/>
          <w:szCs w:val="24"/>
        </w:rPr>
        <w:t>方式提供，</w:t>
      </w:r>
      <w:r>
        <w:rPr>
          <w:rFonts w:hint="eastAsia" w:ascii="宋体" w:hAnsi="宋体" w:cs="宋体"/>
          <w:bCs/>
          <w:snapToGrid w:val="0"/>
          <w:color w:val="000000"/>
          <w:kern w:val="0"/>
          <w:sz w:val="24"/>
          <w:szCs w:val="24"/>
          <w:vertAlign w:val="superscript"/>
        </w:rPr>
        <w:t>招标人</w:t>
      </w:r>
      <w:r>
        <w:rPr>
          <w:rStyle w:val="28"/>
          <w:rFonts w:hint="eastAsia" w:ascii="宋体" w:hAnsi="宋体" w:cs="宋体"/>
          <w:bCs/>
          <w:snapToGrid w:val="0"/>
          <w:color w:val="000000"/>
          <w:kern w:val="0"/>
          <w:sz w:val="24"/>
          <w:szCs w:val="24"/>
        </w:rPr>
        <w:t>不得拒绝</w:t>
      </w:r>
      <w:r>
        <w:rPr>
          <w:rFonts w:hint="eastAsia" w:ascii="宋体" w:hAnsi="宋体" w:cs="宋体"/>
          <w:bCs/>
          <w:snapToGrid w:val="0"/>
          <w:color w:val="000000"/>
          <w:kern w:val="0"/>
          <w:sz w:val="24"/>
          <w:szCs w:val="24"/>
          <w:vertAlign w:val="superscript"/>
        </w:rPr>
        <w:t>；投标保证金不得超过招标项目估算价的2%，且不得超过50万元</w:t>
      </w:r>
      <w:r>
        <w:rPr>
          <w:rStyle w:val="28"/>
          <w:rFonts w:hint="eastAsia" w:ascii="宋体" w:hAnsi="宋体" w:cs="宋体"/>
          <w:bCs/>
          <w:snapToGrid w:val="0"/>
          <w:color w:val="000000"/>
          <w:kern w:val="0"/>
          <w:sz w:val="24"/>
          <w:szCs w:val="24"/>
        </w:rPr>
        <w:t>。</w:t>
      </w:r>
    </w:p>
  </w:footnote>
  <w:footnote w:id="22">
    <w:p w14:paraId="3451DC68">
      <w:pPr>
        <w:pStyle w:val="16"/>
        <w:snapToGrid w:val="0"/>
        <w:rPr>
          <w:rFonts w:hint="default" w:eastAsia="宋体"/>
          <w:sz w:val="24"/>
          <w:szCs w:val="24"/>
          <w:highlight w:val="yellow"/>
          <w:vertAlign w:val="superscript"/>
          <w:lang w:val="en-US" w:eastAsia="zh-CN"/>
        </w:rPr>
      </w:pPr>
      <w:r>
        <w:rPr>
          <w:rStyle w:val="28"/>
          <w:sz w:val="24"/>
          <w:szCs w:val="24"/>
          <w:highlight w:val="yellow"/>
          <w:vertAlign w:val="superscript"/>
        </w:rPr>
        <w:footnoteRef/>
      </w:r>
      <w:r>
        <w:rPr>
          <w:sz w:val="24"/>
          <w:szCs w:val="24"/>
          <w:highlight w:val="yellow"/>
          <w:vertAlign w:val="superscript"/>
        </w:rPr>
        <w:t xml:space="preserve"> </w:t>
      </w:r>
      <w:r>
        <w:rPr>
          <w:rFonts w:hint="eastAsia"/>
          <w:sz w:val="24"/>
          <w:szCs w:val="24"/>
          <w:highlight w:val="yellow"/>
          <w:vertAlign w:val="superscript"/>
          <w:lang w:val="en-US" w:eastAsia="zh-CN"/>
        </w:rPr>
        <w:t>项目涉及危险性较大工程内容的需要在此处明确列出涉及内容，如不涉及危险性较大工程也需要在此处明示“本项目不涉及”。</w:t>
      </w:r>
    </w:p>
  </w:footnote>
  <w:footnote w:id="23">
    <w:p w14:paraId="2AC8AE2D">
      <w:pPr>
        <w:pStyle w:val="16"/>
        <w:snapToGrid w:val="0"/>
        <w:rPr>
          <w:rFonts w:hint="default" w:eastAsia="宋体"/>
          <w:lang w:val="en-US" w:eastAsia="zh-CN"/>
        </w:rPr>
      </w:pPr>
      <w:r>
        <w:rPr>
          <w:rStyle w:val="28"/>
        </w:rPr>
        <w:footnoteRef/>
      </w:r>
      <w:r>
        <w:t xml:space="preserve"> </w:t>
      </w:r>
      <w:r>
        <w:rPr>
          <w:rFonts w:hint="eastAsia"/>
          <w:lang w:val="en-US" w:eastAsia="zh-CN"/>
        </w:rPr>
        <w:t>各项目业主可根据项目具体情况自行细化。</w:t>
      </w:r>
    </w:p>
  </w:footnote>
  <w:footnote w:id="24">
    <w:p w14:paraId="51F4EEA7">
      <w:pPr>
        <w:pStyle w:val="16"/>
        <w:keepNext w:val="0"/>
        <w:keepLines w:val="0"/>
        <w:pageBreakBefore w:val="0"/>
        <w:widowControl w:val="0"/>
        <w:kinsoku/>
        <w:wordWrap/>
        <w:overflowPunct/>
        <w:topLinePunct w:val="0"/>
        <w:bidi w:val="0"/>
        <w:adjustRightInd w:val="0"/>
        <w:snapToGrid w:val="0"/>
        <w:spacing w:line="300" w:lineRule="exact"/>
        <w:textAlignment w:val="auto"/>
        <w:rPr>
          <w:sz w:val="18"/>
          <w:szCs w:val="18"/>
          <w:vertAlign w:val="baseline"/>
        </w:rPr>
      </w:pPr>
      <w:r>
        <w:rPr>
          <w:rStyle w:val="28"/>
        </w:rPr>
        <w:footnoteRef/>
      </w:r>
      <w:r>
        <w:t xml:space="preserve"> </w:t>
      </w:r>
      <w:r>
        <w:rPr>
          <w:rStyle w:val="28"/>
          <w:rFonts w:ascii="宋体" w:hAnsi="宋体" w:cs="宋体"/>
          <w:bCs/>
          <w:snapToGrid w:val="0"/>
          <w:color w:val="000000"/>
          <w:kern w:val="0"/>
          <w:sz w:val="18"/>
          <w:szCs w:val="18"/>
          <w:vertAlign w:val="baseline"/>
        </w:rPr>
        <w:t>若技术标作为打分内容，施工组织设计可采用“暗标”编制。</w:t>
      </w:r>
    </w:p>
  </w:footnote>
  <w:footnote w:id="25">
    <w:p w14:paraId="7E0F33D3">
      <w:pPr>
        <w:pStyle w:val="16"/>
        <w:snapToGrid w:val="0"/>
      </w:pPr>
      <w:r>
        <w:rPr>
          <w:rStyle w:val="28"/>
        </w:rPr>
        <w:footnoteRef/>
      </w:r>
      <w:r>
        <w:t xml:space="preserve"> </w:t>
      </w:r>
      <w:r>
        <w:rPr>
          <w:rStyle w:val="35"/>
          <w:rFonts w:ascii="Times New Roman" w:hAnsi="Times New Roman" w:eastAsia="宋体"/>
          <w:sz w:val="18"/>
          <w:szCs w:val="18"/>
        </w:rPr>
        <w:t>特</w:t>
      </w:r>
      <w:r>
        <w:rPr>
          <w:rStyle w:val="35"/>
          <w:sz w:val="18"/>
          <w:szCs w:val="18"/>
        </w:rPr>
        <w:t>大型或技术复杂类的，视情可适当增加，不超过300页。</w:t>
      </w:r>
    </w:p>
  </w:footnote>
  <w:footnote w:id="26">
    <w:p w14:paraId="01F3FDD3">
      <w:pPr>
        <w:pStyle w:val="16"/>
        <w:rPr>
          <w:rFonts w:hint="eastAsia" w:ascii="宋体" w:hAnsi="宋体" w:eastAsia="宋体" w:cs="宋体"/>
          <w:sz w:val="22"/>
          <w:szCs w:val="22"/>
          <w:vertAlign w:val="superscript"/>
          <w:lang w:eastAsia="zh-CN"/>
        </w:rPr>
      </w:pPr>
      <w:r>
        <w:rPr>
          <w:rStyle w:val="28"/>
          <w:rFonts w:hint="eastAsia" w:ascii="宋体" w:hAnsi="宋体" w:eastAsia="宋体" w:cs="宋体"/>
          <w:bCs/>
          <w:snapToGrid w:val="0"/>
          <w:color w:val="0000FF"/>
          <w:kern w:val="0"/>
          <w:sz w:val="24"/>
          <w:szCs w:val="21"/>
          <w:vertAlign w:val="superscript"/>
          <w:lang w:val="en-US" w:eastAsia="zh-CN"/>
        </w:rPr>
        <w:footnoteRef/>
      </w:r>
      <w:r>
        <w:rPr>
          <w:rStyle w:val="28"/>
          <w:rFonts w:hint="eastAsia" w:ascii="宋体" w:hAnsi="宋体" w:eastAsia="宋体" w:cs="宋体"/>
          <w:bCs/>
          <w:snapToGrid w:val="0"/>
          <w:color w:val="0000FF"/>
          <w:kern w:val="0"/>
          <w:sz w:val="36"/>
          <w:szCs w:val="28"/>
          <w:vertAlign w:val="superscript"/>
          <w:lang w:val="en-US" w:eastAsia="zh-CN"/>
        </w:rPr>
        <w:t xml:space="preserve"> </w:t>
      </w:r>
      <w:r>
        <w:rPr>
          <w:rFonts w:hint="eastAsia" w:ascii="宋体" w:hAnsi="宋体" w:eastAsia="宋体" w:cs="宋体"/>
          <w:bCs/>
          <w:snapToGrid w:val="0"/>
          <w:color w:val="0000FF"/>
          <w:kern w:val="0"/>
          <w:sz w:val="22"/>
          <w:szCs w:val="22"/>
          <w:vertAlign w:val="superscript"/>
        </w:rPr>
        <w:t>适用于多标段项目。</w:t>
      </w:r>
    </w:p>
  </w:footnote>
  <w:footnote w:id="27">
    <w:p w14:paraId="164A6DA8">
      <w:pPr>
        <w:pStyle w:val="16"/>
        <w:snapToGrid w:val="0"/>
      </w:pPr>
      <w:r>
        <w:rPr>
          <w:rStyle w:val="28"/>
          <w:rFonts w:hint="eastAsia" w:ascii="宋体" w:hAnsi="宋体" w:eastAsia="宋体" w:cs="宋体"/>
          <w:bCs/>
          <w:snapToGrid w:val="0"/>
          <w:color w:val="000000"/>
          <w:kern w:val="0"/>
          <w:sz w:val="24"/>
          <w:szCs w:val="24"/>
          <w:vertAlign w:val="superscript"/>
        </w:rPr>
        <w:footnoteRef/>
      </w:r>
      <w:r>
        <w:rPr>
          <w:rFonts w:hint="eastAsia" w:ascii="宋体" w:hAnsi="宋体" w:eastAsia="宋体" w:cs="宋体"/>
          <w:bCs/>
          <w:snapToGrid w:val="0"/>
          <w:color w:val="000000"/>
          <w:kern w:val="0"/>
          <w:sz w:val="24"/>
          <w:szCs w:val="24"/>
          <w:vertAlign w:val="superscript"/>
          <w:lang w:val="en-US" w:eastAsia="zh-CN"/>
        </w:rPr>
        <w:t>各地细化示范文本时，不宜要求招标人必须</w:t>
      </w:r>
      <w:r>
        <w:rPr>
          <w:rStyle w:val="28"/>
          <w:rFonts w:hint="eastAsia" w:ascii="宋体" w:hAnsi="宋体" w:eastAsia="宋体" w:cs="宋体"/>
          <w:bCs/>
          <w:snapToGrid w:val="0"/>
          <w:color w:val="000000"/>
          <w:kern w:val="0"/>
          <w:sz w:val="24"/>
          <w:szCs w:val="24"/>
          <w:vertAlign w:val="superscript"/>
        </w:rPr>
        <w:t>填写招标人代表的具体数量</w:t>
      </w:r>
      <w:r>
        <w:rPr>
          <w:rFonts w:hint="eastAsia" w:ascii="宋体" w:hAnsi="宋体" w:cs="宋体"/>
          <w:bCs/>
          <w:snapToGrid w:val="0"/>
          <w:color w:val="000000"/>
          <w:kern w:val="0"/>
          <w:sz w:val="24"/>
          <w:szCs w:val="24"/>
          <w:vertAlign w:val="superscript"/>
          <w:lang w:eastAsia="zh-CN"/>
        </w:rPr>
        <w:t>；应用BIM技术的招标项目应抽取至少 1名</w:t>
      </w:r>
      <w:r>
        <w:rPr>
          <w:rFonts w:hint="eastAsia" w:ascii="宋体" w:hAnsi="宋体" w:cs="宋体"/>
          <w:bCs/>
          <w:snapToGrid w:val="0"/>
          <w:color w:val="000000"/>
          <w:kern w:val="0"/>
          <w:sz w:val="24"/>
          <w:szCs w:val="24"/>
          <w:vertAlign w:val="superscript"/>
          <w:lang w:val="en-US" w:eastAsia="zh-CN"/>
        </w:rPr>
        <w:t>建筑信息模型（BIM）技术评标评审</w:t>
      </w:r>
      <w:r>
        <w:rPr>
          <w:rFonts w:hint="eastAsia" w:ascii="宋体" w:hAnsi="宋体" w:cs="宋体"/>
          <w:bCs/>
          <w:snapToGrid w:val="0"/>
          <w:color w:val="000000"/>
          <w:kern w:val="0"/>
          <w:sz w:val="24"/>
          <w:szCs w:val="24"/>
          <w:vertAlign w:val="superscript"/>
          <w:lang w:eastAsia="zh-CN"/>
        </w:rPr>
        <w:t>专家</w:t>
      </w:r>
      <w:r>
        <w:rPr>
          <w:rStyle w:val="28"/>
          <w:rFonts w:hint="eastAsia" w:ascii="宋体" w:hAnsi="宋体" w:eastAsia="宋体" w:cs="宋体"/>
          <w:bCs/>
          <w:snapToGrid w:val="0"/>
          <w:color w:val="000000"/>
          <w:kern w:val="0"/>
          <w:sz w:val="24"/>
          <w:szCs w:val="24"/>
          <w:vertAlign w:val="superscript"/>
        </w:rPr>
        <w:t>。</w:t>
      </w:r>
    </w:p>
  </w:footnote>
  <w:footnote w:id="28">
    <w:p w14:paraId="7AB1157A">
      <w:pPr>
        <w:pStyle w:val="16"/>
        <w:snapToGrid w:val="0"/>
      </w:pPr>
      <w:r>
        <w:rPr>
          <w:rStyle w:val="28"/>
          <w:rFonts w:hint="eastAsia" w:ascii="宋体" w:hAnsi="宋体" w:eastAsia="宋体" w:cs="宋体"/>
          <w:bCs/>
          <w:snapToGrid w:val="0"/>
          <w:color w:val="000000"/>
          <w:kern w:val="0"/>
          <w:sz w:val="24"/>
          <w:szCs w:val="24"/>
          <w:vertAlign w:val="superscript"/>
        </w:rPr>
        <w:footnoteRef/>
      </w:r>
      <w:r>
        <w:rPr>
          <w:rStyle w:val="28"/>
          <w:rFonts w:hint="eastAsia" w:ascii="宋体" w:hAnsi="宋体" w:eastAsia="宋体" w:cs="宋体"/>
          <w:bCs/>
          <w:snapToGrid w:val="0"/>
          <w:color w:val="000000"/>
          <w:kern w:val="0"/>
          <w:sz w:val="24"/>
          <w:szCs w:val="24"/>
          <w:vertAlign w:val="superscript"/>
        </w:rPr>
        <w:t>公示期截止时间在法定休息日的应顺延至首个工作日</w:t>
      </w:r>
      <w:r>
        <w:rPr>
          <w:rFonts w:hint="eastAsia" w:ascii="宋体" w:hAnsi="宋体" w:eastAsia="宋体" w:cs="宋体"/>
          <w:bCs/>
          <w:snapToGrid w:val="0"/>
          <w:color w:val="000000"/>
          <w:kern w:val="0"/>
          <w:sz w:val="24"/>
          <w:szCs w:val="24"/>
          <w:vertAlign w:val="superscript"/>
          <w:lang w:eastAsia="zh-CN"/>
        </w:rPr>
        <w:t>，</w:t>
      </w:r>
      <w:r>
        <w:rPr>
          <w:rStyle w:val="28"/>
          <w:rFonts w:hint="eastAsia" w:ascii="宋体" w:hAnsi="宋体" w:eastAsia="宋体" w:cs="宋体"/>
          <w:bCs/>
          <w:snapToGrid w:val="0"/>
          <w:color w:val="000000"/>
          <w:kern w:val="0"/>
          <w:sz w:val="24"/>
          <w:szCs w:val="24"/>
          <w:vertAlign w:val="superscript"/>
        </w:rPr>
        <w:t>公示期不少于3日。</w:t>
      </w:r>
    </w:p>
  </w:footnote>
  <w:footnote w:id="29">
    <w:p w14:paraId="2E31CE80">
      <w:pPr>
        <w:pStyle w:val="16"/>
        <w:rPr>
          <w:rStyle w:val="28"/>
          <w:rFonts w:hint="eastAsia" w:ascii="宋体" w:hAnsi="宋体" w:cs="宋体"/>
          <w:bCs/>
          <w:snapToGrid w:val="0"/>
          <w:color w:val="FF0000"/>
          <w:kern w:val="0"/>
          <w:sz w:val="24"/>
          <w:szCs w:val="24"/>
          <w:highlight w:val="blue"/>
        </w:rPr>
      </w:pPr>
      <w:r>
        <w:rPr>
          <w:rStyle w:val="28"/>
          <w:rFonts w:hint="eastAsia" w:ascii="宋体" w:hAnsi="宋体" w:cs="宋体"/>
          <w:bCs/>
          <w:snapToGrid w:val="0"/>
          <w:color w:val="000000"/>
          <w:kern w:val="0"/>
          <w:sz w:val="24"/>
          <w:szCs w:val="24"/>
        </w:rPr>
        <w:footnoteRef/>
      </w:r>
      <w:r>
        <w:rPr>
          <w:rStyle w:val="28"/>
          <w:rFonts w:hint="eastAsia" w:ascii="宋体" w:hAnsi="宋体" w:cs="宋体"/>
          <w:bCs/>
          <w:snapToGrid w:val="0"/>
          <w:color w:val="000000"/>
          <w:kern w:val="0"/>
          <w:sz w:val="24"/>
          <w:szCs w:val="24"/>
        </w:rPr>
        <w:t>履约保证金</w:t>
      </w:r>
      <w:r>
        <w:rPr>
          <w:rFonts w:hint="eastAsia" w:ascii="宋体" w:hAnsi="宋体" w:cs="宋体"/>
          <w:bCs/>
          <w:snapToGrid w:val="0"/>
          <w:color w:val="000000"/>
          <w:kern w:val="0"/>
          <w:sz w:val="24"/>
          <w:szCs w:val="24"/>
          <w:vertAlign w:val="superscript"/>
        </w:rPr>
        <w:t>可</w:t>
      </w:r>
      <w:r>
        <w:rPr>
          <w:rStyle w:val="28"/>
          <w:rFonts w:hint="eastAsia" w:ascii="宋体" w:hAnsi="宋体" w:cs="宋体"/>
          <w:bCs/>
          <w:snapToGrid w:val="0"/>
          <w:color w:val="000000"/>
          <w:kern w:val="0"/>
          <w:sz w:val="24"/>
          <w:szCs w:val="24"/>
        </w:rPr>
        <w:t>通过</w:t>
      </w:r>
      <w:r>
        <w:rPr>
          <w:rFonts w:hint="eastAsia" w:ascii="宋体" w:hAnsi="宋体" w:cs="宋体"/>
          <w:bCs/>
          <w:snapToGrid w:val="0"/>
          <w:color w:val="000000"/>
          <w:kern w:val="0"/>
          <w:sz w:val="24"/>
          <w:szCs w:val="24"/>
          <w:vertAlign w:val="superscript"/>
          <w:lang w:val="en-US" w:eastAsia="zh-CN"/>
        </w:rPr>
        <w:t>工程保函</w:t>
      </w:r>
      <w:r>
        <w:rPr>
          <w:rStyle w:val="28"/>
          <w:rFonts w:hint="eastAsia" w:ascii="宋体" w:hAnsi="宋体" w:cs="宋体"/>
          <w:bCs/>
          <w:snapToGrid w:val="0"/>
          <w:color w:val="000000"/>
          <w:kern w:val="0"/>
          <w:sz w:val="24"/>
          <w:szCs w:val="24"/>
        </w:rPr>
        <w:t>方式提供，相关部门和建设单位一律不得拒绝</w:t>
      </w:r>
      <w:r>
        <w:rPr>
          <w:rStyle w:val="28"/>
          <w:rFonts w:hint="eastAsia" w:ascii="宋体" w:hAnsi="宋体" w:cs="宋体"/>
          <w:bCs/>
          <w:snapToGrid w:val="0"/>
          <w:color w:val="000000"/>
          <w:kern w:val="0"/>
          <w:sz w:val="24"/>
          <w:szCs w:val="24"/>
          <w:lang w:eastAsia="zh-CN"/>
        </w:rPr>
        <w:t>；</w:t>
      </w:r>
      <w:r>
        <w:rPr>
          <w:rStyle w:val="28"/>
          <w:rFonts w:ascii="宋体" w:hAnsi="宋体" w:eastAsia="宋体" w:cs="宋体"/>
          <w:color w:val="000000"/>
          <w:sz w:val="24"/>
          <w:szCs w:val="24"/>
          <w:vertAlign w:val="superscript"/>
        </w:rPr>
        <w:t>政府投资房屋建筑和市政基础设施工程</w:t>
      </w:r>
      <w:r>
        <w:rPr>
          <w:rFonts w:hint="eastAsia" w:ascii="宋体" w:hAnsi="宋体" w:eastAsia="宋体" w:cs="宋体"/>
          <w:color w:val="000000"/>
          <w:sz w:val="24"/>
          <w:szCs w:val="24"/>
          <w:vertAlign w:val="superscript"/>
          <w:lang w:eastAsia="zh-CN"/>
        </w:rPr>
        <w:t>履约保证金</w:t>
      </w:r>
      <w:r>
        <w:rPr>
          <w:rStyle w:val="28"/>
          <w:rFonts w:ascii="宋体" w:hAnsi="宋体" w:eastAsia="宋体" w:cs="宋体"/>
          <w:color w:val="000000"/>
          <w:sz w:val="24"/>
          <w:szCs w:val="24"/>
          <w:vertAlign w:val="superscript"/>
        </w:rPr>
        <w:t>不得超过中</w:t>
      </w:r>
      <w:r>
        <w:rPr>
          <w:rFonts w:hint="eastAsia" w:ascii="宋体" w:hAnsi="宋体" w:eastAsia="宋体" w:cs="宋体"/>
          <w:color w:val="000000"/>
          <w:sz w:val="24"/>
          <w:szCs w:val="24"/>
          <w:vertAlign w:val="superscript"/>
          <w:lang w:eastAsia="zh-CN"/>
        </w:rPr>
        <w:t>标合同金额的</w:t>
      </w:r>
      <w:r>
        <w:rPr>
          <w:rFonts w:hint="eastAsia" w:ascii="宋体" w:hAnsi="宋体" w:eastAsia="宋体" w:cs="宋体"/>
          <w:color w:val="000000"/>
          <w:sz w:val="24"/>
          <w:szCs w:val="24"/>
          <w:vertAlign w:val="superscript"/>
          <w:lang w:val="en-US" w:eastAsia="zh-CN"/>
        </w:rPr>
        <w:t>2%</w:t>
      </w:r>
      <w:r>
        <w:rPr>
          <w:rStyle w:val="28"/>
          <w:rFonts w:ascii="宋体" w:hAnsi="宋体" w:eastAsia="宋体" w:cs="宋体"/>
          <w:color w:val="000000"/>
          <w:vertAlign w:val="superscript"/>
        </w:rPr>
        <w:t>。</w:t>
      </w:r>
    </w:p>
  </w:footnote>
  <w:footnote w:id="30">
    <w:p w14:paraId="1B71DDBB">
      <w:pPr>
        <w:pStyle w:val="16"/>
        <w:snapToGrid w:val="0"/>
        <w:rPr>
          <w:rFonts w:hint="eastAsia" w:ascii="宋体" w:hAnsi="宋体" w:eastAsia="宋体" w:cs="宋体"/>
          <w:sz w:val="24"/>
          <w:szCs w:val="24"/>
          <w:vertAlign w:val="superscript"/>
        </w:rPr>
      </w:pPr>
      <w:r>
        <w:rPr>
          <w:rStyle w:val="28"/>
          <w:rFonts w:hint="eastAsia" w:ascii="宋体" w:hAnsi="宋体" w:eastAsia="宋体" w:cs="宋体"/>
          <w:sz w:val="24"/>
          <w:szCs w:val="24"/>
        </w:rPr>
        <w:footnoteRef/>
      </w:r>
      <w:r>
        <w:rPr>
          <w:rStyle w:val="28"/>
          <w:rFonts w:hint="eastAsia" w:ascii="宋体" w:hAnsi="宋体" w:eastAsia="宋体" w:cs="宋体"/>
          <w:bCs/>
          <w:snapToGrid w:val="0"/>
          <w:color w:val="000000"/>
          <w:kern w:val="0"/>
          <w:sz w:val="24"/>
          <w:szCs w:val="24"/>
        </w:rPr>
        <w:t>各市可根据属地情形自行细化</w:t>
      </w:r>
      <w:r>
        <w:rPr>
          <w:rStyle w:val="28"/>
          <w:rFonts w:hint="eastAsia" w:ascii="宋体" w:hAnsi="宋体" w:eastAsia="宋体" w:cs="宋体"/>
          <w:bCs/>
          <w:snapToGrid w:val="0"/>
          <w:color w:val="000000"/>
          <w:kern w:val="0"/>
          <w:sz w:val="24"/>
          <w:szCs w:val="24"/>
          <w:lang w:val="en-US" w:eastAsia="zh-CN"/>
        </w:rPr>
        <w:t>确定</w:t>
      </w:r>
      <w:r>
        <w:rPr>
          <w:rFonts w:hint="eastAsia" w:ascii="宋体" w:hAnsi="宋体" w:eastAsia="宋体" w:cs="宋体"/>
          <w:bCs/>
          <w:snapToGrid w:val="0"/>
          <w:color w:val="000000"/>
          <w:kern w:val="0"/>
          <w:sz w:val="24"/>
          <w:szCs w:val="24"/>
          <w:vertAlign w:val="superscript"/>
          <w:lang w:val="en-US" w:eastAsia="zh-CN"/>
        </w:rPr>
        <w:t>。</w:t>
      </w:r>
    </w:p>
  </w:footnote>
  <w:footnote w:id="31">
    <w:p w14:paraId="2FCEE7A0">
      <w:pPr>
        <w:pStyle w:val="16"/>
        <w:snapToGrid w:val="0"/>
      </w:pPr>
      <w:r>
        <w:rPr>
          <w:rStyle w:val="28"/>
          <w:rFonts w:hint="eastAsia" w:ascii="宋体" w:hAnsi="宋体" w:eastAsia="宋体" w:cs="宋体"/>
          <w:sz w:val="24"/>
          <w:szCs w:val="24"/>
        </w:rPr>
        <w:footnoteRef/>
      </w:r>
      <w:r>
        <w:rPr>
          <w:rStyle w:val="28"/>
          <w:rFonts w:hint="eastAsia" w:ascii="宋体" w:hAnsi="宋体" w:eastAsia="宋体" w:cs="宋体"/>
          <w:bCs/>
          <w:snapToGrid w:val="0"/>
          <w:color w:val="000000"/>
          <w:kern w:val="0"/>
          <w:sz w:val="24"/>
          <w:szCs w:val="24"/>
        </w:rPr>
        <w:t>各市可根据属地情形自行细化</w:t>
      </w:r>
      <w:r>
        <w:rPr>
          <w:rStyle w:val="28"/>
          <w:rFonts w:hint="eastAsia" w:ascii="宋体" w:hAnsi="宋体" w:eastAsia="宋体" w:cs="宋体"/>
          <w:bCs/>
          <w:snapToGrid w:val="0"/>
          <w:color w:val="000000"/>
          <w:kern w:val="0"/>
          <w:sz w:val="24"/>
          <w:szCs w:val="24"/>
          <w:lang w:val="en-US" w:eastAsia="zh-CN"/>
        </w:rPr>
        <w:t>确定</w:t>
      </w:r>
      <w:r>
        <w:rPr>
          <w:rFonts w:hint="eastAsia" w:ascii="宋体" w:hAnsi="宋体" w:eastAsia="宋体" w:cs="宋体"/>
          <w:bCs/>
          <w:snapToGrid w:val="0"/>
          <w:color w:val="000000"/>
          <w:kern w:val="0"/>
          <w:sz w:val="24"/>
          <w:szCs w:val="24"/>
          <w:vertAlign w:val="superscript"/>
          <w:lang w:val="en-US" w:eastAsia="zh-CN"/>
        </w:rPr>
        <w:t>。</w:t>
      </w:r>
    </w:p>
  </w:footnote>
  <w:footnote w:id="32">
    <w:p w14:paraId="209343AC">
      <w:pPr>
        <w:pStyle w:val="16"/>
        <w:snapToGrid w:val="0"/>
      </w:pPr>
      <w:r>
        <w:rPr>
          <w:rStyle w:val="28"/>
          <w:rFonts w:hint="eastAsia" w:ascii="宋体" w:hAnsi="宋体" w:eastAsia="宋体" w:cs="宋体"/>
          <w:sz w:val="24"/>
          <w:szCs w:val="24"/>
        </w:rPr>
        <w:footnoteRef/>
      </w:r>
      <w:r>
        <w:rPr>
          <w:rStyle w:val="28"/>
          <w:rFonts w:hint="eastAsia" w:ascii="宋体" w:hAnsi="宋体" w:eastAsia="宋体" w:cs="宋体"/>
          <w:bCs/>
          <w:snapToGrid w:val="0"/>
          <w:color w:val="000000"/>
          <w:kern w:val="0"/>
          <w:sz w:val="24"/>
          <w:szCs w:val="24"/>
          <w:lang w:val="en-US" w:eastAsia="zh-CN"/>
        </w:rPr>
        <w:t>财政部、国家发展改革委印发《节能产品政府采购品目清单》（财库〔2019〕19号）中以“★”标注的为政府强制采购产品</w:t>
      </w:r>
      <w:r>
        <w:rPr>
          <w:rFonts w:hint="eastAsia" w:ascii="宋体" w:hAnsi="宋体" w:eastAsia="宋体" w:cs="宋体"/>
          <w:bCs/>
          <w:snapToGrid w:val="0"/>
          <w:color w:val="000000"/>
          <w:kern w:val="0"/>
          <w:sz w:val="24"/>
          <w:szCs w:val="24"/>
          <w:vertAlign w:val="superscript"/>
          <w:lang w:val="en-US" w:eastAsia="zh-CN"/>
        </w:rPr>
        <w:t>。</w:t>
      </w:r>
    </w:p>
  </w:footnote>
  <w:footnote w:id="33">
    <w:p w14:paraId="40DB4948">
      <w:pPr>
        <w:pStyle w:val="16"/>
        <w:snapToGrid w:val="0"/>
        <w:rPr>
          <w:rFonts w:hint="default" w:eastAsia="宋体"/>
          <w:lang w:val="en-US" w:eastAsia="zh-CN"/>
        </w:rPr>
      </w:pPr>
      <w:r>
        <w:rPr>
          <w:rStyle w:val="28"/>
        </w:rPr>
        <w:footnoteRef/>
      </w:r>
      <w:r>
        <w:t xml:space="preserve"> </w:t>
      </w:r>
      <w:r>
        <w:rPr>
          <w:rFonts w:hint="eastAsia"/>
          <w:lang w:val="en-US" w:eastAsia="zh-CN"/>
        </w:rPr>
        <w:t>依据双方签订协议内容细化完善</w:t>
      </w:r>
    </w:p>
  </w:footnote>
  <w:footnote w:id="34">
    <w:p w14:paraId="28862880">
      <w:pPr>
        <w:pStyle w:val="16"/>
        <w:snapToGrid w:val="0"/>
        <w:rPr>
          <w:rFonts w:hint="default" w:eastAsia="宋体"/>
          <w:highlight w:val="yellow"/>
          <w:lang w:val="en-US" w:eastAsia="zh-CN"/>
        </w:rPr>
      </w:pPr>
      <w:r>
        <w:rPr>
          <w:rStyle w:val="28"/>
          <w:highlight w:val="yellow"/>
        </w:rPr>
        <w:footnoteRef/>
      </w:r>
      <w:r>
        <w:rPr>
          <w:highlight w:val="yellow"/>
        </w:rPr>
        <w:t xml:space="preserve"> </w:t>
      </w:r>
      <w:r>
        <w:rPr>
          <w:rFonts w:hint="eastAsia"/>
          <w:highlight w:val="yellow"/>
          <w:lang w:val="en-US" w:eastAsia="zh-CN"/>
        </w:rPr>
        <w:t>此条款不可调整，且合同约定需要与此保持一致。</w:t>
      </w:r>
    </w:p>
  </w:footnote>
  <w:footnote w:id="35">
    <w:p w14:paraId="04371744">
      <w:pPr>
        <w:pStyle w:val="16"/>
        <w:snapToGrid w:val="0"/>
        <w:spacing w:line="300" w:lineRule="exact"/>
        <w:rPr>
          <w:rStyle w:val="28"/>
          <w:rFonts w:hint="eastAsia" w:ascii="宋体" w:hAnsi="宋体" w:eastAsia="宋体" w:cs="宋体"/>
          <w:bCs/>
          <w:snapToGrid w:val="0"/>
          <w:color w:val="000000"/>
          <w:kern w:val="0"/>
          <w:sz w:val="24"/>
          <w:szCs w:val="24"/>
          <w:vertAlign w:val="superscript"/>
        </w:rPr>
      </w:pPr>
      <w:r>
        <w:rPr>
          <w:rStyle w:val="28"/>
          <w:rFonts w:hint="eastAsia" w:ascii="宋体" w:hAnsi="宋体" w:eastAsia="宋体" w:cs="宋体"/>
          <w:bCs/>
          <w:snapToGrid w:val="0"/>
          <w:color w:val="000000"/>
          <w:kern w:val="0"/>
          <w:sz w:val="24"/>
          <w:szCs w:val="24"/>
          <w:vertAlign w:val="superscript"/>
        </w:rPr>
        <w:footnoteRef/>
      </w:r>
      <w:r>
        <w:rPr>
          <w:rStyle w:val="28"/>
          <w:rFonts w:hint="eastAsia" w:ascii="宋体" w:hAnsi="宋体" w:eastAsia="宋体" w:cs="宋体"/>
          <w:bCs/>
          <w:snapToGrid w:val="0"/>
          <w:color w:val="000000"/>
          <w:kern w:val="0"/>
          <w:sz w:val="24"/>
          <w:szCs w:val="24"/>
          <w:vertAlign w:val="superscript"/>
        </w:rPr>
        <w:t xml:space="preserve"> </w:t>
      </w:r>
      <w:r>
        <w:rPr>
          <w:rStyle w:val="28"/>
          <w:rFonts w:ascii="宋体" w:hAnsi="宋体" w:eastAsia="宋体" w:cs="宋体"/>
          <w:bCs/>
          <w:snapToGrid w:val="0"/>
          <w:color w:val="000000"/>
          <w:kern w:val="0"/>
          <w:sz w:val="24"/>
          <w:szCs w:val="24"/>
          <w:vertAlign w:val="superscript"/>
        </w:rPr>
        <w:t>时间以竣工验收证明文件当中的竣工日期或合同签订时间由招标人根据项目需要自行约定。</w:t>
      </w:r>
    </w:p>
  </w:footnote>
  <w:footnote w:id="36">
    <w:p w14:paraId="7F5B9988">
      <w:pPr>
        <w:pStyle w:val="16"/>
        <w:spacing w:line="300" w:lineRule="exact"/>
        <w:rPr>
          <w:rFonts w:hint="default" w:ascii="宋体" w:hAnsi="宋体" w:eastAsia="宋体" w:cs="宋体"/>
          <w:bCs/>
          <w:snapToGrid w:val="0"/>
          <w:color w:val="000000"/>
          <w:kern w:val="0"/>
          <w:sz w:val="24"/>
          <w:szCs w:val="24"/>
          <w:lang w:val="en-US" w:eastAsia="zh-CN"/>
        </w:rPr>
      </w:pPr>
      <w:r>
        <w:rPr>
          <w:rStyle w:val="28"/>
          <w:rFonts w:hint="eastAsia" w:ascii="宋体" w:hAnsi="宋体" w:cs="宋体"/>
          <w:bCs/>
          <w:snapToGrid w:val="0"/>
          <w:color w:val="000000"/>
          <w:kern w:val="0"/>
          <w:sz w:val="24"/>
          <w:szCs w:val="24"/>
        </w:rPr>
        <w:footnoteRef/>
      </w:r>
      <w:r>
        <w:rPr>
          <w:rStyle w:val="28"/>
          <w:rFonts w:hint="eastAsia" w:ascii="宋体" w:hAnsi="宋体" w:cs="宋体"/>
          <w:bCs/>
          <w:snapToGrid w:val="0"/>
          <w:color w:val="000000"/>
          <w:kern w:val="0"/>
          <w:sz w:val="24"/>
          <w:szCs w:val="24"/>
        </w:rPr>
        <w:t>招标人可根据项目实际情况在此表中明确需要配备其他主要管理人员和技术人员数量的最低要求。</w:t>
      </w:r>
      <w:r>
        <w:rPr>
          <w:rStyle w:val="28"/>
          <w:rFonts w:ascii="宋体" w:hAnsi="宋体" w:eastAsia="宋体" w:cs="宋体"/>
          <w:sz w:val="24"/>
          <w:szCs w:val="24"/>
          <w:vertAlign w:val="superscript"/>
        </w:rPr>
        <w:t>如应用BIM技术的，需要配备BIM项目负责人、BIM技术负责人、专业BIM工程师、平台数据维护员。</w:t>
      </w:r>
    </w:p>
  </w:footnote>
  <w:footnote w:id="37">
    <w:p w14:paraId="1F6C31A3">
      <w:pPr>
        <w:pStyle w:val="16"/>
        <w:snapToGrid w:val="0"/>
        <w:rPr>
          <w:rStyle w:val="28"/>
          <w:rFonts w:hint="eastAsia"/>
        </w:rPr>
      </w:pPr>
      <w:r>
        <w:rPr>
          <w:rStyle w:val="28"/>
          <w:rFonts w:hint="eastAsia"/>
        </w:rPr>
        <w:footnoteRef/>
      </w:r>
      <w:r>
        <w:rPr>
          <w:rStyle w:val="28"/>
          <w:rFonts w:hint="eastAsia"/>
        </w:rPr>
        <w:t>依据《关于做好房屋建筑和市政基础设施工程质量事故报告和调查处理工程的通知》（建质〔2010〕111号）规定。</w:t>
      </w:r>
    </w:p>
  </w:footnote>
  <w:footnote w:id="38">
    <w:p w14:paraId="47CCC95C">
      <w:pPr>
        <w:pStyle w:val="16"/>
        <w:snapToGrid w:val="0"/>
        <w:rPr>
          <w:rStyle w:val="28"/>
          <w:rFonts w:hint="eastAsia"/>
        </w:rPr>
      </w:pPr>
      <w:r>
        <w:rPr>
          <w:rStyle w:val="28"/>
          <w:rFonts w:hint="eastAsia"/>
        </w:rPr>
        <w:footnoteRef/>
      </w:r>
      <w:r>
        <w:rPr>
          <w:rStyle w:val="28"/>
          <w:rFonts w:hint="eastAsia"/>
        </w:rPr>
        <w:t>依据《生产安全事故报告和调查处理条例》（国务院令第493号）规定。</w:t>
      </w:r>
    </w:p>
  </w:footnote>
  <w:footnote w:id="39">
    <w:p w14:paraId="2ADB5F5B">
      <w:pPr>
        <w:pStyle w:val="16"/>
        <w:snapToGrid w:val="0"/>
        <w:rPr>
          <w:rFonts w:hint="eastAsia" w:ascii="国标宋体" w:hAnsi="国标宋体" w:eastAsia="国标宋体" w:cs="国标宋体"/>
        </w:rPr>
      </w:pPr>
      <w:r>
        <w:rPr>
          <w:rStyle w:val="28"/>
          <w:rFonts w:hint="eastAsia" w:ascii="国标宋体" w:hAnsi="国标宋体" w:eastAsia="国标宋体" w:cs="国标宋体"/>
        </w:rPr>
        <w:footnoteRef/>
      </w:r>
      <w:r>
        <w:rPr>
          <w:rStyle w:val="28"/>
          <w:rFonts w:hint="eastAsia" w:ascii="国标宋体" w:hAnsi="国标宋体" w:eastAsia="国标宋体" w:cs="国标宋体"/>
          <w:bCs/>
          <w:snapToGrid w:val="0"/>
          <w:color w:val="000000"/>
          <w:kern w:val="0"/>
          <w:szCs w:val="18"/>
        </w:rPr>
        <w:t>各市可根据属地情形确定。</w:t>
      </w:r>
    </w:p>
  </w:footnote>
  <w:footnote w:id="40">
    <w:p w14:paraId="28F8A95C">
      <w:pPr>
        <w:pStyle w:val="16"/>
        <w:snapToGrid w:val="0"/>
        <w:rPr>
          <w:rStyle w:val="28"/>
          <w:rFonts w:hint="eastAsia"/>
          <w:lang w:val="en-US" w:eastAsia="zh-CN"/>
        </w:rPr>
      </w:pPr>
      <w:r>
        <w:rPr>
          <w:rStyle w:val="28"/>
          <w:rFonts w:hint="eastAsia"/>
        </w:rPr>
        <w:footnoteRef/>
      </w:r>
      <w:r>
        <w:rPr>
          <w:rStyle w:val="28"/>
          <w:rFonts w:hint="eastAsia"/>
        </w:rPr>
        <w:t>各市可根据属地情形自行细化</w:t>
      </w:r>
      <w:r>
        <w:rPr>
          <w:rStyle w:val="28"/>
          <w:rFonts w:hint="eastAsia"/>
          <w:lang w:val="en-US" w:eastAsia="zh-CN"/>
        </w:rPr>
        <w:t>确定。</w:t>
      </w:r>
    </w:p>
  </w:footnote>
  <w:footnote w:id="41">
    <w:p w14:paraId="7CF1D0C5">
      <w:pPr>
        <w:pStyle w:val="16"/>
        <w:spacing w:line="400" w:lineRule="exact"/>
        <w:rPr>
          <w:rStyle w:val="28"/>
          <w:lang w:val="en-US" w:eastAsia="zh-CN"/>
        </w:rPr>
      </w:pPr>
      <w:r>
        <w:rPr>
          <w:rStyle w:val="28"/>
          <w:rFonts w:hint="eastAsia"/>
        </w:rPr>
        <w:footnoteRef/>
      </w:r>
      <w:r>
        <w:rPr>
          <w:rStyle w:val="28"/>
          <w:rFonts w:hint="eastAsia"/>
        </w:rPr>
        <w:t>仅适用于多标段</w:t>
      </w:r>
      <w:r>
        <w:rPr>
          <w:rStyle w:val="28"/>
          <w:rFonts w:hint="eastAsia"/>
          <w:lang w:val="en-US" w:eastAsia="zh-CN"/>
        </w:rPr>
        <w:t>招标项目。</w:t>
      </w:r>
    </w:p>
  </w:footnote>
  <w:footnote w:id="42">
    <w:p w14:paraId="550C4EBB">
      <w:pPr>
        <w:pStyle w:val="16"/>
        <w:spacing w:line="400" w:lineRule="exact"/>
        <w:rPr>
          <w:rStyle w:val="28"/>
          <w:lang w:val="en-US" w:eastAsia="zh-CN"/>
        </w:rPr>
      </w:pPr>
      <w:r>
        <w:rPr>
          <w:rStyle w:val="28"/>
          <w:rFonts w:hint="eastAsia"/>
        </w:rPr>
        <w:footnoteRef/>
      </w:r>
      <w:r>
        <w:rPr>
          <w:rStyle w:val="28"/>
          <w:rFonts w:hint="eastAsia"/>
        </w:rPr>
        <w:t>仅适用于多标段</w:t>
      </w:r>
      <w:r>
        <w:rPr>
          <w:rStyle w:val="28"/>
          <w:rFonts w:hint="eastAsia"/>
          <w:lang w:val="en-US" w:eastAsia="zh-CN"/>
        </w:rPr>
        <w:t>招标项目。</w:t>
      </w:r>
    </w:p>
  </w:footnote>
  <w:footnote w:id="43">
    <w:p w14:paraId="74B6B3EF">
      <w:pPr>
        <w:pStyle w:val="16"/>
        <w:spacing w:line="400" w:lineRule="exact"/>
        <w:rPr>
          <w:rStyle w:val="28"/>
          <w:rFonts w:hint="default" w:eastAsia="宋体"/>
          <w:highlight w:val="green"/>
          <w:vertAlign w:val="superscript"/>
          <w:lang w:val="en-US" w:eastAsia="zh-CN"/>
        </w:rPr>
      </w:pPr>
      <w:r>
        <w:rPr>
          <w:rStyle w:val="28"/>
          <w:rFonts w:hint="eastAsia"/>
          <w:highlight w:val="green"/>
        </w:rPr>
        <w:footnoteRef/>
      </w:r>
      <w:r>
        <w:rPr>
          <w:rStyle w:val="28"/>
          <w:rFonts w:hint="eastAsia"/>
          <w:highlight w:val="green"/>
        </w:rPr>
        <w:t>根据《安徽省建筑工程招标投标管理办法》（省政府令第301号），招</w:t>
      </w:r>
      <w:r>
        <w:rPr>
          <w:rStyle w:val="28"/>
          <w:rFonts w:hint="eastAsia" w:eastAsia="宋体"/>
          <w:highlight w:val="green"/>
        </w:rPr>
        <w:t>标人</w:t>
      </w:r>
      <w:r>
        <w:rPr>
          <w:rStyle w:val="28"/>
          <w:rFonts w:hint="eastAsia" w:eastAsia="宋体"/>
          <w:highlight w:val="green"/>
          <w:lang w:eastAsia="zh-CN"/>
        </w:rPr>
        <w:t>按照</w:t>
      </w:r>
      <w:r>
        <w:rPr>
          <w:rStyle w:val="28"/>
          <w:rFonts w:hint="eastAsia" w:eastAsia="宋体"/>
          <w:highlight w:val="green"/>
        </w:rPr>
        <w:t>项</w:t>
      </w:r>
      <w:r>
        <w:rPr>
          <w:rStyle w:val="28"/>
          <w:rFonts w:hint="eastAsia"/>
          <w:highlight w:val="green"/>
        </w:rPr>
        <w:t>目属性进行合理设置</w:t>
      </w:r>
      <w:r>
        <w:rPr>
          <w:rFonts w:hint="eastAsia"/>
          <w:highlight w:val="green"/>
          <w:lang w:eastAsia="zh-CN"/>
        </w:rPr>
        <w:t>，</w:t>
      </w:r>
      <w:r>
        <w:rPr>
          <w:rFonts w:hint="eastAsia"/>
          <w:sz w:val="24"/>
          <w:szCs w:val="24"/>
          <w:highlight w:val="green"/>
          <w:vertAlign w:val="superscript"/>
          <w:lang w:val="en-US" w:eastAsia="zh-CN"/>
        </w:rPr>
        <w:t>建议</w:t>
      </w:r>
      <w:r>
        <w:rPr>
          <w:rFonts w:hint="eastAsia" w:eastAsia="宋体"/>
          <w:sz w:val="24"/>
          <w:szCs w:val="24"/>
          <w:highlight w:val="green"/>
          <w:vertAlign w:val="superscript"/>
          <w:lang w:val="en-US" w:eastAsia="zh-CN"/>
        </w:rPr>
        <w:t>异常低价指标房</w:t>
      </w:r>
      <w:r>
        <w:rPr>
          <w:rFonts w:hint="eastAsia"/>
          <w:sz w:val="24"/>
          <w:szCs w:val="24"/>
          <w:highlight w:val="green"/>
          <w:vertAlign w:val="superscript"/>
          <w:lang w:val="en-US" w:eastAsia="zh-CN"/>
        </w:rPr>
        <w:t>屋建筑工程为88%，市政基础设施工程为80%，异常低价指标可根据项目实际情况上下浮动。</w:t>
      </w:r>
      <w:r>
        <w:rPr>
          <w:rStyle w:val="28"/>
          <w:rFonts w:hint="eastAsia"/>
          <w:highlight w:val="green"/>
          <w:lang w:val="en-US" w:eastAsia="zh-CN"/>
        </w:rPr>
        <w:t>招标</w:t>
      </w:r>
      <w:r>
        <w:rPr>
          <w:rStyle w:val="28"/>
          <w:rFonts w:hint="eastAsia"/>
          <w:highlight w:val="green"/>
          <w:lang w:eastAsia="zh-CN"/>
        </w:rPr>
        <w:t>项目中同时</w:t>
      </w:r>
      <w:r>
        <w:rPr>
          <w:rStyle w:val="28"/>
          <w:rFonts w:hint="eastAsia"/>
          <w:highlight w:val="green"/>
          <w:lang w:val="en-US" w:eastAsia="zh-CN"/>
        </w:rPr>
        <w:t>包含</w:t>
      </w:r>
      <w:r>
        <w:rPr>
          <w:rStyle w:val="28"/>
          <w:rFonts w:hint="eastAsia"/>
          <w:highlight w:val="green"/>
          <w:lang w:eastAsia="zh-CN"/>
        </w:rPr>
        <w:t>不同类别</w:t>
      </w:r>
      <w:r>
        <w:rPr>
          <w:rStyle w:val="28"/>
          <w:rFonts w:hint="eastAsia"/>
          <w:highlight w:val="green"/>
          <w:lang w:val="en-US" w:eastAsia="zh-CN"/>
        </w:rPr>
        <w:t>属性</w:t>
      </w:r>
      <w:r>
        <w:rPr>
          <w:rStyle w:val="28"/>
          <w:rFonts w:hint="eastAsia"/>
          <w:highlight w:val="green"/>
          <w:lang w:eastAsia="zh-CN"/>
        </w:rPr>
        <w:t>工程内容时，</w:t>
      </w:r>
      <w:r>
        <w:rPr>
          <w:rStyle w:val="28"/>
          <w:rFonts w:hint="eastAsia"/>
          <w:highlight w:val="green"/>
          <w:lang w:val="en-US" w:eastAsia="zh-CN"/>
        </w:rPr>
        <w:t>可</w:t>
      </w:r>
      <w:r>
        <w:rPr>
          <w:rStyle w:val="28"/>
          <w:rFonts w:hint="eastAsia"/>
          <w:highlight w:val="green"/>
          <w:lang w:eastAsia="zh-CN"/>
        </w:rPr>
        <w:t>按类别</w:t>
      </w:r>
      <w:r>
        <w:rPr>
          <w:rStyle w:val="28"/>
          <w:rFonts w:hint="eastAsia"/>
          <w:highlight w:val="green"/>
          <w:lang w:val="en-US" w:eastAsia="zh-CN"/>
        </w:rPr>
        <w:t>属性</w:t>
      </w:r>
      <w:r>
        <w:rPr>
          <w:rStyle w:val="28"/>
          <w:rFonts w:hint="eastAsia"/>
          <w:highlight w:val="green"/>
          <w:lang w:eastAsia="zh-CN"/>
        </w:rPr>
        <w:t>比重计算</w:t>
      </w:r>
      <w:r>
        <w:rPr>
          <w:rFonts w:hint="eastAsia"/>
          <w:sz w:val="24"/>
          <w:szCs w:val="24"/>
          <w:highlight w:val="green"/>
          <w:vertAlign w:val="superscript"/>
          <w:lang w:eastAsia="zh-CN"/>
        </w:rPr>
        <w:t>（</w:t>
      </w:r>
      <w:r>
        <w:rPr>
          <w:rFonts w:hint="eastAsia"/>
          <w:sz w:val="24"/>
          <w:szCs w:val="24"/>
          <w:highlight w:val="green"/>
          <w:vertAlign w:val="superscript"/>
          <w:lang w:val="en-US" w:eastAsia="zh-CN"/>
        </w:rPr>
        <w:t>可按照不同属性工程占控制价的百分比加权平均，各属性工程权值由招标人在招标文件中明确。如房建工程占60%，市政工程占40%，则异常低价指标为60%×88%+40%×80%=84.8%</w:t>
      </w:r>
      <w:r>
        <w:rPr>
          <w:rFonts w:hint="eastAsia"/>
          <w:sz w:val="24"/>
          <w:szCs w:val="24"/>
          <w:highlight w:val="green"/>
          <w:vertAlign w:val="superscript"/>
          <w:lang w:eastAsia="zh-CN"/>
        </w:rPr>
        <w:t>），</w:t>
      </w:r>
      <w:r>
        <w:rPr>
          <w:rFonts w:hint="eastAsia"/>
          <w:sz w:val="24"/>
          <w:szCs w:val="24"/>
          <w:highlight w:val="green"/>
          <w:vertAlign w:val="superscript"/>
          <w:lang w:val="en-US" w:eastAsia="zh-CN"/>
        </w:rPr>
        <w:t>或者按照占比较大的工程类型确定</w:t>
      </w:r>
      <w:r>
        <w:rPr>
          <w:rStyle w:val="28"/>
          <w:rFonts w:hint="eastAsia"/>
          <w:highlight w:val="green"/>
        </w:rPr>
        <w:t>。</w:t>
      </w:r>
      <w:r>
        <w:rPr>
          <w:rStyle w:val="28"/>
          <w:rFonts w:hint="eastAsia"/>
          <w:highlight w:val="red"/>
          <w:lang w:eastAsia="zh-CN"/>
        </w:rPr>
        <w:t>报价评审</w:t>
      </w:r>
      <w:r>
        <w:rPr>
          <w:rFonts w:hint="eastAsia"/>
          <w:sz w:val="24"/>
          <w:szCs w:val="24"/>
          <w:highlight w:val="red"/>
          <w:vertAlign w:val="superscript"/>
          <w:lang w:val="en-US" w:eastAsia="zh-CN"/>
        </w:rPr>
        <w:t>时采用精确计算结果，不适用四舍五入。</w:t>
      </w:r>
      <w:r>
        <w:rPr>
          <w:rFonts w:hint="eastAsia"/>
          <w:sz w:val="24"/>
          <w:szCs w:val="24"/>
          <w:highlight w:val="green"/>
          <w:vertAlign w:val="superscript"/>
          <w:lang w:val="en-US" w:eastAsia="zh-CN"/>
        </w:rPr>
        <w:t>计算结果低于异常低价规定指标的，评标委员会需要评审其有关价格的证明材料。</w:t>
      </w:r>
    </w:p>
  </w:footnote>
  <w:footnote w:id="44">
    <w:p w14:paraId="38235B44">
      <w:pPr>
        <w:pStyle w:val="16"/>
        <w:snapToGrid w:val="0"/>
        <w:rPr>
          <w:rFonts w:hint="eastAsia" w:ascii="宋体" w:hAnsi="宋体" w:eastAsia="宋体" w:cs="宋体"/>
          <w:sz w:val="24"/>
          <w:szCs w:val="24"/>
          <w:vertAlign w:val="superscript"/>
        </w:rPr>
      </w:pPr>
      <w:r>
        <w:rPr>
          <w:rStyle w:val="28"/>
          <w:rFonts w:hint="eastAsia" w:ascii="宋体" w:hAnsi="宋体" w:eastAsia="宋体" w:cs="宋体"/>
          <w:sz w:val="24"/>
          <w:szCs w:val="24"/>
        </w:rPr>
        <w:footnoteRef/>
      </w:r>
      <w:r>
        <w:rPr>
          <w:rFonts w:hint="eastAsia" w:ascii="宋体" w:hAnsi="宋体" w:eastAsia="宋体" w:cs="宋体"/>
          <w:sz w:val="24"/>
          <w:szCs w:val="24"/>
          <w:vertAlign w:val="superscript"/>
        </w:rPr>
        <w:t xml:space="preserve"> </w:t>
      </w:r>
      <w:r>
        <w:rPr>
          <w:rFonts w:hint="eastAsia" w:ascii="宋体" w:hAnsi="宋体" w:eastAsia="宋体" w:cs="宋体"/>
          <w:color w:val="000000"/>
          <w:kern w:val="0"/>
          <w:sz w:val="24"/>
          <w:szCs w:val="24"/>
          <w:vertAlign w:val="superscript"/>
          <w:lang w:val="en-US" w:eastAsia="zh-CN"/>
        </w:rPr>
        <w:t>具体指标设置由招标人根据项目特点和实际情况进行明确。</w:t>
      </w:r>
    </w:p>
  </w:footnote>
  <w:footnote w:id="45">
    <w:p w14:paraId="7C4E9213">
      <w:pPr>
        <w:pStyle w:val="16"/>
        <w:rPr>
          <w:rStyle w:val="28"/>
          <w:rFonts w:hint="eastAsia"/>
          <w:lang w:eastAsia="zh-CN"/>
        </w:rPr>
      </w:pPr>
      <w:r>
        <w:rPr>
          <w:rStyle w:val="28"/>
          <w:rFonts w:hint="eastAsia"/>
        </w:rPr>
        <w:footnoteRef/>
      </w:r>
      <w:r>
        <w:rPr>
          <w:rStyle w:val="28"/>
          <w:rFonts w:hint="eastAsia"/>
          <w:lang w:eastAsia="zh-CN"/>
        </w:rPr>
        <w:t>“</w:t>
      </w:r>
      <w:r>
        <w:rPr>
          <w:rStyle w:val="28"/>
          <w:rFonts w:hint="eastAsia"/>
        </w:rPr>
        <w:t>施工组织设计评审标准</w:t>
      </w:r>
      <w:r>
        <w:rPr>
          <w:rStyle w:val="28"/>
          <w:rFonts w:hint="eastAsia"/>
          <w:lang w:eastAsia="zh-CN"/>
        </w:rPr>
        <w:t>”</w:t>
      </w:r>
      <w:r>
        <w:rPr>
          <w:rStyle w:val="28"/>
          <w:rFonts w:hint="eastAsia"/>
          <w:lang w:val="en-US" w:eastAsia="zh-CN"/>
        </w:rPr>
        <w:t>是否取消评审，由</w:t>
      </w:r>
      <w:r>
        <w:rPr>
          <w:rStyle w:val="28"/>
          <w:rFonts w:hint="eastAsia"/>
        </w:rPr>
        <w:t>各市可根据属地情形自行细化确定</w:t>
      </w:r>
      <w:r>
        <w:rPr>
          <w:rStyle w:val="28"/>
          <w:rFonts w:hint="eastAsia"/>
          <w:lang w:eastAsia="zh-CN"/>
        </w:rPr>
        <w:t>。</w:t>
      </w:r>
    </w:p>
  </w:footnote>
  <w:footnote w:id="46">
    <w:p w14:paraId="14F4C299">
      <w:pPr>
        <w:pStyle w:val="16"/>
        <w:rPr>
          <w:rStyle w:val="28"/>
          <w:rFonts w:hint="eastAsia"/>
        </w:rPr>
      </w:pPr>
      <w:r>
        <w:rPr>
          <w:rStyle w:val="28"/>
          <w:rFonts w:hint="eastAsia"/>
        </w:rPr>
        <w:footnoteRef/>
      </w:r>
      <w:r>
        <w:rPr>
          <w:rStyle w:val="28"/>
          <w:rFonts w:hint="eastAsia"/>
        </w:rPr>
        <w:t>各市可根据属地情形自行细化确定</w:t>
      </w:r>
      <w:r>
        <w:rPr>
          <w:rStyle w:val="28"/>
          <w:rFonts w:hint="eastAsia"/>
          <w:lang w:eastAsia="zh-CN"/>
        </w:rPr>
        <w:t>。</w:t>
      </w:r>
    </w:p>
  </w:footnote>
  <w:footnote w:id="47">
    <w:p w14:paraId="7F260E7A">
      <w:pPr>
        <w:pStyle w:val="16"/>
        <w:rPr>
          <w:rStyle w:val="28"/>
          <w:rFonts w:hint="eastAsia"/>
        </w:rPr>
      </w:pPr>
      <w:r>
        <w:rPr>
          <w:rStyle w:val="28"/>
          <w:rFonts w:hint="eastAsia"/>
        </w:rPr>
        <w:footnoteRef/>
      </w:r>
      <w:r>
        <w:rPr>
          <w:rStyle w:val="28"/>
          <w:rFonts w:hint="eastAsia"/>
        </w:rPr>
        <w:t>仅适用于多标段项目。</w:t>
      </w:r>
    </w:p>
  </w:footnote>
  <w:footnote w:id="48">
    <w:p w14:paraId="7E34432E">
      <w:pPr>
        <w:pStyle w:val="16"/>
        <w:rPr>
          <w:rStyle w:val="28"/>
          <w:rFonts w:hint="eastAsia"/>
        </w:rPr>
      </w:pPr>
      <w:r>
        <w:rPr>
          <w:rStyle w:val="28"/>
          <w:rFonts w:hint="eastAsia"/>
        </w:rPr>
        <w:footnoteRef/>
      </w:r>
      <w:r>
        <w:rPr>
          <w:rStyle w:val="28"/>
          <w:rFonts w:hint="eastAsia"/>
        </w:rPr>
        <w:t>仅适用于多标段项目。</w:t>
      </w:r>
    </w:p>
  </w:footnote>
  <w:footnote w:id="49">
    <w:p w14:paraId="623EA6EB">
      <w:pPr>
        <w:pStyle w:val="16"/>
        <w:snapToGrid w:val="0"/>
        <w:rPr>
          <w:rFonts w:hint="default" w:eastAsia="宋体"/>
          <w:sz w:val="24"/>
          <w:szCs w:val="24"/>
          <w:highlight w:val="green"/>
          <w:vertAlign w:val="superscript"/>
          <w:lang w:val="en-US" w:eastAsia="zh-CN"/>
        </w:rPr>
      </w:pPr>
      <w:r>
        <w:rPr>
          <w:rStyle w:val="28"/>
          <w:sz w:val="24"/>
          <w:szCs w:val="24"/>
          <w:highlight w:val="green"/>
          <w:vertAlign w:val="superscript"/>
        </w:rPr>
        <w:footnoteRef/>
      </w:r>
      <w:r>
        <w:rPr>
          <w:sz w:val="24"/>
          <w:szCs w:val="24"/>
          <w:highlight w:val="green"/>
          <w:vertAlign w:val="superscript"/>
        </w:rPr>
        <w:t xml:space="preserve"> </w:t>
      </w:r>
      <w:r>
        <w:rPr>
          <w:rFonts w:hint="eastAsia"/>
          <w:sz w:val="24"/>
          <w:szCs w:val="24"/>
          <w:highlight w:val="green"/>
          <w:vertAlign w:val="superscript"/>
          <w:lang w:val="en-US" w:eastAsia="zh-CN"/>
        </w:rPr>
        <w:t>招标人可根据项目投资情况自主在范围内选择M值的大小，并在招标文件中明示。结合我市的实际情况，房屋建筑工程M值的大小在0～12%中选择，市政基础设施工程M值的大小在0～20%中选择。</w:t>
      </w:r>
    </w:p>
  </w:footnote>
  <w:footnote w:id="50">
    <w:p w14:paraId="561BF623">
      <w:pPr>
        <w:pStyle w:val="16"/>
        <w:snapToGrid w:val="0"/>
        <w:rPr>
          <w:rFonts w:hint="eastAsia" w:ascii="宋体" w:hAnsi="宋体" w:eastAsia="宋体" w:cs="宋体"/>
          <w:sz w:val="24"/>
          <w:szCs w:val="24"/>
          <w:vertAlign w:val="superscript"/>
        </w:rPr>
      </w:pPr>
      <w:r>
        <w:rPr>
          <w:rStyle w:val="28"/>
          <w:rFonts w:hint="eastAsia" w:ascii="宋体" w:hAnsi="宋体" w:eastAsia="宋体" w:cs="宋体"/>
          <w:sz w:val="24"/>
          <w:szCs w:val="24"/>
        </w:rPr>
        <w:footnoteRef/>
      </w:r>
      <w:r>
        <w:rPr>
          <w:rFonts w:hint="eastAsia" w:ascii="宋体" w:hAnsi="宋体" w:eastAsia="宋体" w:cs="宋体"/>
          <w:sz w:val="24"/>
          <w:szCs w:val="24"/>
          <w:vertAlign w:val="superscript"/>
        </w:rPr>
        <w:t xml:space="preserve"> </w:t>
      </w:r>
      <w:r>
        <w:rPr>
          <w:rFonts w:hint="eastAsia" w:ascii="宋体" w:hAnsi="宋体" w:eastAsia="宋体" w:cs="宋体"/>
          <w:color w:val="000000"/>
          <w:kern w:val="0"/>
          <w:sz w:val="24"/>
          <w:szCs w:val="24"/>
          <w:vertAlign w:val="superscript"/>
          <w:lang w:val="en-US" w:eastAsia="zh-CN"/>
        </w:rPr>
        <w:t>具体指标设置由招标人根据项目特点和实际情况进行明确。</w:t>
      </w:r>
    </w:p>
  </w:footnote>
  <w:footnote w:id="51">
    <w:p w14:paraId="7D7239DC">
      <w:pPr>
        <w:pStyle w:val="16"/>
        <w:snapToGrid w:val="0"/>
        <w:rPr>
          <w:rFonts w:hint="eastAsia" w:ascii="宋体" w:hAnsi="宋体" w:eastAsia="宋体" w:cs="宋体"/>
          <w:sz w:val="24"/>
          <w:szCs w:val="24"/>
          <w:vertAlign w:val="superscript"/>
          <w:lang w:val="en-US" w:eastAsia="zh-CN"/>
        </w:rPr>
      </w:pPr>
      <w:r>
        <w:rPr>
          <w:rStyle w:val="28"/>
          <w:rFonts w:hint="eastAsia" w:ascii="宋体" w:hAnsi="宋体" w:eastAsia="宋体" w:cs="宋体"/>
          <w:sz w:val="24"/>
          <w:szCs w:val="24"/>
        </w:rPr>
        <w:footnoteRef/>
      </w:r>
      <w:r>
        <w:rPr>
          <w:rFonts w:hint="eastAsia" w:ascii="宋体" w:hAnsi="宋体" w:eastAsia="宋体" w:cs="宋体"/>
          <w:sz w:val="24"/>
          <w:szCs w:val="24"/>
          <w:vertAlign w:val="superscript"/>
          <w:lang w:val="en-US" w:eastAsia="zh-CN"/>
        </w:rPr>
        <w:t>不采用暗标评审。</w:t>
      </w:r>
    </w:p>
  </w:footnote>
  <w:footnote w:id="52">
    <w:p w14:paraId="4925FABE">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hint="eastAsia"/>
        </w:rPr>
      </w:pPr>
      <w:r>
        <w:rPr>
          <w:rStyle w:val="28"/>
          <w:rFonts w:hint="eastAsia"/>
        </w:rPr>
        <w:footnoteRef/>
      </w:r>
      <w:r>
        <w:rPr>
          <w:rStyle w:val="28"/>
          <w:rFonts w:hint="eastAsia"/>
        </w:rPr>
        <w:t>仅适用于多标段项目。</w:t>
      </w:r>
    </w:p>
  </w:footnote>
  <w:footnote w:id="53">
    <w:p w14:paraId="4D939FBA">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hint="eastAsia"/>
        </w:rPr>
      </w:pPr>
      <w:r>
        <w:rPr>
          <w:rStyle w:val="28"/>
          <w:rFonts w:hint="eastAsia"/>
          <w:lang w:val="en-US" w:eastAsia="zh-CN"/>
        </w:rPr>
        <w:footnoteRef/>
      </w:r>
      <w:r>
        <w:rPr>
          <w:rStyle w:val="28"/>
          <w:rFonts w:hint="eastAsia"/>
        </w:rPr>
        <w:t>仅适用于多标段项目。</w:t>
      </w:r>
    </w:p>
  </w:footnote>
  <w:footnote w:id="54">
    <w:p w14:paraId="09BB455B">
      <w:pPr>
        <w:pStyle w:val="16"/>
        <w:snapToGrid w:val="0"/>
        <w:spacing w:line="300" w:lineRule="exact"/>
        <w:rPr>
          <w:rStyle w:val="28"/>
          <w:rFonts w:hint="eastAsia" w:ascii="宋体" w:hAnsi="宋体" w:eastAsia="宋体" w:cs="宋体"/>
          <w:bCs/>
          <w:snapToGrid w:val="0"/>
          <w:color w:val="000000"/>
          <w:kern w:val="0"/>
          <w:sz w:val="24"/>
          <w:szCs w:val="24"/>
          <w:vertAlign w:val="superscript"/>
        </w:rPr>
      </w:pPr>
      <w:r>
        <w:rPr>
          <w:rStyle w:val="28"/>
          <w:rFonts w:hint="eastAsia" w:ascii="宋体" w:hAnsi="宋体" w:eastAsia="宋体" w:cs="宋体"/>
          <w:bCs/>
          <w:snapToGrid w:val="0"/>
          <w:color w:val="000000"/>
          <w:kern w:val="0"/>
          <w:sz w:val="24"/>
          <w:szCs w:val="24"/>
          <w:vertAlign w:val="superscript"/>
        </w:rPr>
        <w:footnoteRef/>
      </w:r>
      <w:r>
        <w:rPr>
          <w:rStyle w:val="28"/>
          <w:rFonts w:hint="eastAsia" w:ascii="宋体" w:hAnsi="宋体" w:eastAsia="宋体" w:cs="宋体"/>
          <w:bCs/>
          <w:snapToGrid w:val="0"/>
          <w:color w:val="000000"/>
          <w:kern w:val="0"/>
          <w:sz w:val="24"/>
          <w:szCs w:val="24"/>
          <w:vertAlign w:val="superscript"/>
        </w:rPr>
        <w:t xml:space="preserve"> </w:t>
      </w:r>
      <w:r>
        <w:rPr>
          <w:rStyle w:val="28"/>
          <w:rFonts w:ascii="宋体" w:hAnsi="宋体" w:eastAsia="宋体" w:cs="宋体"/>
          <w:bCs/>
          <w:snapToGrid w:val="0"/>
          <w:color w:val="000000"/>
          <w:kern w:val="0"/>
          <w:sz w:val="24"/>
          <w:szCs w:val="24"/>
          <w:vertAlign w:val="superscript"/>
        </w:rPr>
        <w:t>时间以竣工验收证明文件当中的竣工日期或合同签订时间由招标人根据项目需要自行约定。</w:t>
      </w:r>
    </w:p>
  </w:footnote>
  <w:footnote w:id="55">
    <w:p w14:paraId="681A5CBF">
      <w:pPr>
        <w:pStyle w:val="16"/>
        <w:snapToGrid w:val="0"/>
        <w:rPr>
          <w:rFonts w:hint="eastAsia" w:ascii="宋体" w:hAnsi="宋体" w:eastAsia="宋体" w:cs="宋体"/>
          <w:sz w:val="24"/>
          <w:szCs w:val="24"/>
          <w:vertAlign w:val="superscript"/>
        </w:rPr>
      </w:pPr>
      <w:r>
        <w:rPr>
          <w:rStyle w:val="28"/>
          <w:rFonts w:hint="eastAsia" w:ascii="宋体" w:hAnsi="宋体" w:eastAsia="宋体" w:cs="宋体"/>
          <w:sz w:val="24"/>
          <w:szCs w:val="24"/>
        </w:rPr>
        <w:footnoteRef/>
      </w:r>
      <w:r>
        <w:rPr>
          <w:rFonts w:hint="eastAsia" w:ascii="宋体" w:hAnsi="宋体" w:eastAsia="宋体" w:cs="宋体"/>
          <w:sz w:val="24"/>
          <w:szCs w:val="24"/>
          <w:vertAlign w:val="superscript"/>
        </w:rPr>
        <w:t xml:space="preserve"> </w:t>
      </w:r>
      <w:r>
        <w:rPr>
          <w:rFonts w:hint="eastAsia" w:ascii="宋体" w:hAnsi="宋体" w:eastAsia="宋体" w:cs="宋体"/>
          <w:color w:val="000000"/>
          <w:kern w:val="0"/>
          <w:sz w:val="24"/>
          <w:szCs w:val="24"/>
          <w:vertAlign w:val="superscript"/>
          <w:lang w:val="en-US" w:eastAsia="zh-CN"/>
        </w:rPr>
        <w:t>具体指标设置由招标人根据项目特点和实际情况进行明确。</w:t>
      </w:r>
    </w:p>
  </w:footnote>
  <w:footnote w:id="56">
    <w:p w14:paraId="305CD697">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smallCaps w:val="0"/>
          <w:color w:val="000000"/>
          <w:highlight w:val="yellow"/>
          <w:vertAlign w:val="baseline"/>
          <w:lang w:val="en-US" w:eastAsia="zh-CN"/>
        </w:rPr>
      </w:pPr>
      <w:r>
        <w:rPr>
          <w:rStyle w:val="28"/>
        </w:rPr>
        <w:footnoteRef/>
      </w:r>
      <w:r>
        <w:rPr>
          <w:rFonts w:hint="eastAsia" w:ascii="Times New Roman" w:hAnsi="Times New Roman"/>
          <w:smallCaps w:val="0"/>
          <w:color w:val="000000"/>
          <w:sz w:val="24"/>
          <w:szCs w:val="40"/>
          <w:highlight w:val="yellow"/>
          <w:vertAlign w:val="superscript"/>
          <w:lang w:val="en-US" w:eastAsia="zh-CN"/>
        </w:rPr>
        <w:t>在政府采购工程建设项目中，将报价分值拆分为两部分。一部分为报价计算得分，满分（N-5）；另一部分为政策得分，满分5分。N为投标报价总分值。</w:t>
      </w:r>
    </w:p>
    <w:p w14:paraId="18717E82">
      <w:pPr>
        <w:pStyle w:val="16"/>
        <w:snapToGrid w:val="0"/>
      </w:pPr>
    </w:p>
  </w:footnote>
  <w:footnote w:id="57">
    <w:p w14:paraId="66344695">
      <w:pPr>
        <w:pStyle w:val="16"/>
        <w:snapToGrid w:val="0"/>
      </w:pPr>
      <w:r>
        <w:rPr>
          <w:rStyle w:val="28"/>
        </w:rPr>
        <w:footnoteRef/>
      </w:r>
      <w:r>
        <w:t xml:space="preserve"> </w:t>
      </w:r>
      <w:r>
        <w:rPr>
          <w:rFonts w:hint="eastAsia" w:ascii="Times New Roman" w:hAnsi="Times New Roman"/>
          <w:smallCaps w:val="0"/>
          <w:color w:val="000000"/>
          <w:highlight w:val="yellow"/>
          <w:vertAlign w:val="baseline"/>
          <w:lang w:val="en-US" w:eastAsia="zh-CN"/>
        </w:rPr>
        <w:t>具体评标基准价的确定方式由招标人根据项目情况自主选择后，在评标办法中明示。</w:t>
      </w:r>
    </w:p>
  </w:footnote>
  <w:footnote w:id="58">
    <w:p w14:paraId="56715F4E">
      <w:pPr>
        <w:pStyle w:val="16"/>
        <w:snapToGrid w:val="0"/>
        <w:rPr>
          <w:rFonts w:hint="eastAsia" w:ascii="宋体" w:hAnsi="宋体" w:eastAsia="宋体" w:cs="宋体"/>
          <w:sz w:val="24"/>
          <w:szCs w:val="24"/>
          <w:vertAlign w:val="superscript"/>
        </w:rPr>
      </w:pPr>
      <w:r>
        <w:rPr>
          <w:rStyle w:val="28"/>
          <w:rFonts w:hint="eastAsia" w:ascii="宋体" w:hAnsi="宋体" w:eastAsia="宋体" w:cs="宋体"/>
          <w:sz w:val="24"/>
          <w:szCs w:val="24"/>
        </w:rPr>
        <w:footnoteRef/>
      </w:r>
      <w:r>
        <w:rPr>
          <w:rFonts w:hint="eastAsia" w:ascii="宋体" w:hAnsi="宋体" w:eastAsia="宋体" w:cs="宋体"/>
          <w:color w:val="000000"/>
          <w:kern w:val="0"/>
          <w:sz w:val="24"/>
          <w:szCs w:val="24"/>
          <w:vertAlign w:val="superscript"/>
          <w:lang w:val="en-US" w:eastAsia="zh-CN"/>
        </w:rPr>
        <w:t>对应前述详细评审，C值存在两部分合计。</w:t>
      </w:r>
    </w:p>
  </w:footnote>
  <w:footnote w:id="59">
    <w:p w14:paraId="7958695C">
      <w:pPr>
        <w:pStyle w:val="16"/>
        <w:adjustRightInd w:val="0"/>
        <w:rPr>
          <w:rStyle w:val="28"/>
          <w:rFonts w:hint="eastAsia"/>
          <w:lang w:val="en-US" w:eastAsia="zh-CN"/>
        </w:rPr>
      </w:pPr>
      <w:r>
        <w:rPr>
          <w:rStyle w:val="28"/>
          <w:rFonts w:hint="eastAsia"/>
        </w:rPr>
        <w:footnoteRef/>
      </w:r>
      <w:r>
        <w:rPr>
          <w:rStyle w:val="28"/>
          <w:rFonts w:hint="eastAsia"/>
          <w:lang w:eastAsia="zh-CN"/>
        </w:rPr>
        <w:t>如有修订，按最新版本使用</w:t>
      </w:r>
      <w:r>
        <w:rPr>
          <w:rStyle w:val="28"/>
          <w:rFonts w:hint="eastAsia"/>
          <w:lang w:val="en-US" w:eastAsia="zh-CN"/>
        </w:rPr>
        <w:t>。</w:t>
      </w:r>
    </w:p>
    <w:p w14:paraId="4F936E40">
      <w:pPr>
        <w:pStyle w:val="16"/>
        <w:adjustRightInd w:val="0"/>
        <w:rPr>
          <w:rFonts w:hint="eastAsia" w:ascii="宋体" w:hAnsi="宋体" w:cs="宋体"/>
          <w:bCs/>
          <w:snapToGrid w:val="0"/>
          <w:color w:val="FF0000"/>
          <w:kern w:val="0"/>
          <w:sz w:val="21"/>
          <w:szCs w:val="21"/>
        </w:rPr>
      </w:pPr>
    </w:p>
  </w:footnote>
  <w:footnote w:id="60">
    <w:p w14:paraId="1A4D8832">
      <w:pPr>
        <w:pStyle w:val="16"/>
        <w:snapToGrid w:val="0"/>
        <w:rPr>
          <w:sz w:val="11"/>
          <w:szCs w:val="11"/>
          <w:highlight w:val="yellow"/>
        </w:rPr>
      </w:pPr>
      <w:r>
        <w:rPr>
          <w:rStyle w:val="28"/>
          <w:sz w:val="18"/>
          <w:szCs w:val="18"/>
          <w:highlight w:val="yellow"/>
        </w:rPr>
        <w:footnoteRef/>
      </w:r>
      <w:r>
        <w:rPr>
          <w:sz w:val="11"/>
          <w:szCs w:val="11"/>
          <w:highlight w:val="yellow"/>
        </w:rPr>
        <w:t xml:space="preserve"> </w:t>
      </w:r>
      <w:r>
        <w:rPr>
          <w:rStyle w:val="28"/>
          <w:rFonts w:hint="eastAsia" w:ascii="Times New Roman" w:hAnsi="Times New Roman"/>
          <w:b w:val="0"/>
          <w:bCs w:val="0"/>
          <w:smallCaps w:val="0"/>
          <w:sz w:val="15"/>
          <w:szCs w:val="15"/>
          <w:highlight w:val="yellow"/>
          <w:u w:val="none"/>
          <w:vertAlign w:val="baseline"/>
          <w:lang w:val="en-US" w:eastAsia="zh-CN"/>
        </w:rPr>
        <w:t>项目部组成人员应按合同约定天数到岗履约，除不可抗力原因外不得变更。关键岗位人员出现变更、缺勤的，招标人要求中标人承担一定数额的违约金，变更后的人员要符合招标投标文件、合同对其资质、条件等约定。项目金额5000万元以下的项目，施工企业项目经理、技术负责人、其他关键岗（安全、施工、质量、负责人）出现变更的，每人每次违约金分别不少于合同金额的2%、1.5%、1%</w:t>
      </w:r>
      <w:r>
        <w:rPr>
          <w:rFonts w:hint="eastAsia" w:ascii="Times New Roman" w:hAnsi="Times New Roman"/>
          <w:b w:val="0"/>
          <w:bCs w:val="0"/>
          <w:smallCaps w:val="0"/>
          <w:sz w:val="15"/>
          <w:szCs w:val="15"/>
          <w:highlight w:val="yellow"/>
          <w:u w:val="none"/>
          <w:vertAlign w:val="baseline"/>
          <w:lang w:val="en-US" w:eastAsia="zh-CN"/>
        </w:rPr>
        <w:t xml:space="preserve"> 。</w:t>
      </w:r>
      <w:r>
        <w:rPr>
          <w:rStyle w:val="28"/>
          <w:rFonts w:hint="eastAsia" w:ascii="Times New Roman" w:hAnsi="Times New Roman"/>
          <w:b w:val="0"/>
          <w:bCs w:val="0"/>
          <w:smallCaps w:val="0"/>
          <w:sz w:val="15"/>
          <w:szCs w:val="15"/>
          <w:highlight w:val="yellow"/>
          <w:u w:val="none"/>
          <w:vertAlign w:val="baseline"/>
          <w:lang w:val="en-US" w:eastAsia="zh-CN"/>
        </w:rPr>
        <w:t>项目金额5000万元以上的项目，由招标人按照从严管理的原则提出方案，在履行招标文件会审程序时研究确定</w:t>
      </w:r>
      <w:r>
        <w:rPr>
          <w:rFonts w:hint="eastAsia" w:ascii="Times New Roman" w:hAnsi="Times New Roman"/>
          <w:b w:val="0"/>
          <w:bCs w:val="0"/>
          <w:smallCaps w:val="0"/>
          <w:sz w:val="15"/>
          <w:szCs w:val="15"/>
          <w:highlight w:val="yellow"/>
          <w:u w:val="none"/>
          <w:vertAlign w:val="baseline"/>
          <w:lang w:val="en-US" w:eastAsia="zh-CN"/>
        </w:rPr>
        <w:t>。</w:t>
      </w:r>
    </w:p>
  </w:footnote>
  <w:footnote w:id="61">
    <w:p w14:paraId="38BD6B5E">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hint="eastAsia"/>
        </w:rPr>
      </w:pPr>
      <w:r>
        <w:rPr>
          <w:rStyle w:val="28"/>
          <w:rFonts w:hint="eastAsia"/>
        </w:rPr>
        <w:footnoteRef/>
      </w:r>
      <w:r>
        <w:rPr>
          <w:rStyle w:val="28"/>
          <w:rFonts w:hint="eastAsia"/>
        </w:rPr>
        <w:t>对获得国家级、省级和市级优质工程奖项的，分别按照不低于合同价的1.5%、1.0%和0.8%的标准用于工程创优</w:t>
      </w:r>
      <w:r>
        <w:rPr>
          <w:rStyle w:val="28"/>
          <w:rFonts w:hint="eastAsia"/>
          <w:lang w:val="en-US" w:eastAsia="zh-CN"/>
        </w:rPr>
        <w:t>（各市有相关创优规定的可以从其规定）。发承包双方宜约定对等的奖罚条款。</w:t>
      </w:r>
    </w:p>
  </w:footnote>
  <w:footnote w:id="62">
    <w:p w14:paraId="62A9DEA0">
      <w:pPr>
        <w:pStyle w:val="16"/>
        <w:keepNext w:val="0"/>
        <w:keepLines w:val="0"/>
        <w:pageBreakBefore w:val="0"/>
        <w:widowControl w:val="0"/>
        <w:kinsoku/>
        <w:wordWrap/>
        <w:overflowPunct/>
        <w:topLinePunct w:val="0"/>
        <w:bidi w:val="0"/>
        <w:adjustRightInd w:val="0"/>
        <w:snapToGrid w:val="0"/>
        <w:spacing w:line="300" w:lineRule="exact"/>
        <w:textAlignment w:val="auto"/>
        <w:rPr>
          <w:rStyle w:val="28"/>
          <w:rFonts w:hint="eastAsia"/>
        </w:rPr>
      </w:pPr>
      <w:r>
        <w:rPr>
          <w:rStyle w:val="28"/>
          <w:rFonts w:hint="eastAsia"/>
        </w:rPr>
        <w:footnoteRef/>
      </w:r>
      <w:r>
        <w:rPr>
          <w:rStyle w:val="28"/>
          <w:rFonts w:hint="eastAsia"/>
        </w:rPr>
        <w:t>明确约定主要材料的范围、风险幅度和调整方法，对主要材料价格不得采用无限风险、所有风险等类似表述。合同中应明确主要材料价差在5%以内（含5%）的，由施工单位承担，超过5%以上部分的价差，由建设单位承担。</w:t>
      </w:r>
    </w:p>
  </w:footnote>
  <w:footnote w:id="63">
    <w:p w14:paraId="75D4F6C1">
      <w:pPr>
        <w:pStyle w:val="16"/>
        <w:rPr>
          <w:rStyle w:val="28"/>
          <w:rFonts w:hint="eastAsia"/>
        </w:rPr>
      </w:pPr>
      <w:r>
        <w:rPr>
          <w:rStyle w:val="28"/>
          <w:rFonts w:hint="eastAsia"/>
        </w:rPr>
        <w:footnoteRef/>
      </w:r>
      <w:r>
        <w:rPr>
          <w:rStyle w:val="28"/>
          <w:rFonts w:hint="eastAsia"/>
          <w:lang w:val="en-US" w:eastAsia="zh-CN"/>
        </w:rPr>
        <w:t>政府投资项目不得由施工企业垫资建设，工程预付款应不低于合同总价（扣除暂列金额）的10%。在具备施工条件的前提下，发包人应在合同签订后一个月内或不迟于约定的开工日期前7天内预付工程款。</w:t>
      </w:r>
    </w:p>
  </w:footnote>
  <w:footnote w:id="64">
    <w:p w14:paraId="53E12C49">
      <w:pPr>
        <w:keepNext w:val="0"/>
        <w:keepLines w:val="0"/>
        <w:pageBreakBefore w:val="0"/>
        <w:widowControl/>
        <w:shd w:val="clear" w:color="auto" w:fill="FFFFFF"/>
        <w:kinsoku/>
        <w:wordWrap/>
        <w:overflowPunct/>
        <w:topLinePunct w:val="0"/>
        <w:bidi w:val="0"/>
        <w:adjustRightInd w:val="0"/>
        <w:snapToGrid/>
        <w:spacing w:before="300" w:after="225" w:line="300" w:lineRule="exact"/>
        <w:jc w:val="left"/>
        <w:textAlignment w:val="auto"/>
        <w:rPr>
          <w:rStyle w:val="28"/>
          <w:lang w:val="en-US" w:eastAsia="zh-CN"/>
        </w:rPr>
      </w:pPr>
      <w:r>
        <w:rPr>
          <w:rStyle w:val="28"/>
          <w:rFonts w:hint="eastAsia"/>
        </w:rPr>
        <w:footnoteRef/>
      </w:r>
      <w:r>
        <w:rPr>
          <w:rStyle w:val="28"/>
          <w:rFonts w:hint="eastAsia"/>
        </w:rPr>
        <w:t>根据工程计量结果，办理期中价款结算，支付进度款。进度款支付不应低于期中结算价款的80%--85%；建设单位不得以未竣工验收、未完成审计为由拖欠工程款，验收合格的分部工程必须在规定的结算周期内完成结算并支付（其中，人工费支付占完成产值达到85%的，月进度款应按照完成产值全额支付。因发包人原因致使支付延期的，招标人应当支付承包人银行同期活期存款利息）。</w:t>
      </w:r>
      <w:r>
        <w:rPr>
          <w:rStyle w:val="28"/>
        </w:rPr>
        <w:t>建设单位应当向施工单位提供工程款支付担保。建设单位与施工总承包单位依法订立书面工程施工合同，应当约定工程款计量周期、工程款进度结算办法以及人工费用拨付周期，并按照保障农民工工资按时足额支付的要求约定人工费用。人工费用拨付周期不得超过1个月。</w:t>
      </w:r>
    </w:p>
  </w:footnote>
  <w:footnote w:id="65">
    <w:p w14:paraId="7FCCAE0F">
      <w:pPr>
        <w:pStyle w:val="16"/>
        <w:rPr>
          <w:rStyle w:val="28"/>
          <w:rFonts w:hint="eastAsia"/>
        </w:rPr>
      </w:pPr>
      <w:r>
        <w:rPr>
          <w:rStyle w:val="28"/>
          <w:rFonts w:hint="eastAsia"/>
        </w:rPr>
        <w:footnoteRef/>
      </w:r>
      <w:r>
        <w:rPr>
          <w:rStyle w:val="28"/>
          <w:rFonts w:hint="eastAsia"/>
        </w:rPr>
        <w:t>质量保证金比例不得高于工程价款结算总额的3%；质量保证金推行工程担保制度，可通过保函、保证保险等方式提供，相关部门和建设单位一律不得拒绝。</w:t>
      </w:r>
    </w:p>
  </w:footnote>
  <w:footnote w:id="66">
    <w:p w14:paraId="06429AE2">
      <w:pPr>
        <w:pStyle w:val="16"/>
        <w:adjustRightInd w:val="0"/>
        <w:spacing w:line="300" w:lineRule="exact"/>
        <w:rPr>
          <w:rStyle w:val="28"/>
          <w:rFonts w:hint="eastAsia"/>
        </w:rPr>
      </w:pPr>
      <w:r>
        <w:rPr>
          <w:rStyle w:val="28"/>
          <w:rFonts w:hint="eastAsia"/>
        </w:rPr>
        <w:footnoteRef/>
      </w:r>
      <w:r>
        <w:rPr>
          <w:rStyle w:val="28"/>
          <w:rFonts w:hint="eastAsia"/>
          <w:lang w:val="en-US" w:eastAsia="zh-CN"/>
        </w:rPr>
        <w:t>第七章“技术标准和要求”由招标人根据本招标文件、招标项目具体特点和实际需要编制，并与“投标人须知”、“通用合同条款”、“专用合同条款”相衔接。各项技术标准应符合国家强制性标准，不得要求或标明某一特定的专利、商标、名称、设计、原产地或生产供应者，不得含有倾向性或者排斥潜在投标人的其他内容。如必须引用某一生产供应者的技术标准、技术参数才能准确或清楚地说明拟招标项目的技术标准、技术参数时，则应当在参照后面加上“或相当于”字样。招标人如设置推荐品牌，应不具有限制性和排他性，并明确如何提交满足招标项目要求品牌的方法和路径。</w:t>
      </w:r>
    </w:p>
  </w:footnote>
  <w:footnote w:id="67">
    <w:p w14:paraId="63EE1B1B">
      <w:pPr>
        <w:pStyle w:val="16"/>
        <w:snapToGrid w:val="0"/>
        <w:rPr>
          <w:rStyle w:val="28"/>
          <w:rFonts w:hint="eastAsia"/>
        </w:rPr>
      </w:pPr>
      <w:r>
        <w:rPr>
          <w:rStyle w:val="28"/>
          <w:rFonts w:hint="eastAsia"/>
        </w:rPr>
        <w:footnoteRef/>
      </w:r>
      <w:r>
        <w:rPr>
          <w:rStyle w:val="28"/>
          <w:rFonts w:hint="eastAsia"/>
        </w:rPr>
        <w:t>由招标人根据评标办法的评审顺序，调整投标文件报价文件、技术文件的编排先后顺序。</w:t>
      </w:r>
    </w:p>
  </w:footnote>
  <w:footnote w:id="68">
    <w:p w14:paraId="24A4D01A">
      <w:pPr>
        <w:pStyle w:val="16"/>
        <w:snapToGrid w:val="0"/>
        <w:rPr>
          <w:rStyle w:val="28"/>
          <w:rFonts w:hint="eastAsia"/>
        </w:rPr>
      </w:pPr>
      <w:r>
        <w:rPr>
          <w:rStyle w:val="28"/>
          <w:rFonts w:hint="eastAsia"/>
        </w:rPr>
        <w:footnoteRef/>
      </w:r>
      <w:r>
        <w:rPr>
          <w:rStyle w:val="28"/>
          <w:rFonts w:hint="eastAsia"/>
          <w:lang w:eastAsia="zh-CN"/>
        </w:rPr>
        <w:t>投标承诺书、无犯罪行贿记录承诺、诚信投标承诺、投标函附录等格式，由各市自行细化确定。</w:t>
      </w:r>
    </w:p>
  </w:footnote>
  <w:footnote w:id="69">
    <w:p w14:paraId="719CE884">
      <w:pPr>
        <w:pStyle w:val="16"/>
        <w:snapToGrid w:val="0"/>
        <w:rPr>
          <w:rStyle w:val="28"/>
        </w:rPr>
      </w:pPr>
      <w:r>
        <w:rPr>
          <w:rStyle w:val="28"/>
          <w:rFonts w:hint="eastAsia" w:ascii="Times New Roman" w:hAnsi="Times New Roman" w:cs="宋体"/>
          <w:bCs/>
          <w:smallCaps w:val="0"/>
          <w:snapToGrid w:val="0"/>
          <w:color w:val="000000"/>
          <w:vertAlign w:val="superscript"/>
        </w:rPr>
        <w:footnoteRef/>
      </w:r>
      <w:r>
        <w:rPr>
          <w:rStyle w:val="28"/>
          <w:rFonts w:hint="eastAsia"/>
          <w:lang w:val="en-US" w:eastAsia="zh-CN"/>
        </w:rPr>
        <w:t>格式参照住房和城乡建设部《投标保函示范文本（独立保函）》，如招标人对格式另有约定的，从其约定。</w:t>
      </w:r>
    </w:p>
  </w:footnote>
  <w:footnote w:id="70">
    <w:p w14:paraId="1639895D">
      <w:pPr>
        <w:rPr>
          <w:rStyle w:val="28"/>
          <w:rFonts w:hint="eastAsia"/>
        </w:rPr>
      </w:pPr>
      <w:r>
        <w:rPr>
          <w:rStyle w:val="28"/>
          <w:rFonts w:hint="eastAsia"/>
        </w:rPr>
        <w:footnoteRef/>
      </w:r>
      <w:r>
        <w:rPr>
          <w:rStyle w:val="28"/>
          <w:rFonts w:hint="eastAsia"/>
        </w:rPr>
        <w:t>各市可根据属地情形自行细化确定。</w:t>
      </w:r>
    </w:p>
    <w:p w14:paraId="672762C8">
      <w:pPr>
        <w:pStyle w:val="16"/>
        <w:adjustRightInd w:val="0"/>
        <w:rPr>
          <w:rStyle w:val="28"/>
          <w:rFonts w:hint="eastAsia" w:ascii="宋体" w:hAnsi="宋体" w:cs="宋体"/>
          <w:bCs/>
          <w:snapToGrid w:val="0"/>
          <w:color w:val="0000FF"/>
          <w:kern w:val="0"/>
          <w:sz w:val="30"/>
          <w:szCs w:val="3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0DC3A">
    <w:pPr>
      <w:pStyle w:val="14"/>
      <w:framePr w:wrap="around" w:vAnchor="text" w:hAnchor="margin" w:xAlign="right" w:y="1"/>
      <w:rPr>
        <w:rStyle w:val="25"/>
      </w:rPr>
    </w:pPr>
    <w:r>
      <w:fldChar w:fldCharType="begin"/>
    </w:r>
    <w:r>
      <w:rPr>
        <w:rStyle w:val="25"/>
        <w:highlight w:val="white"/>
      </w:rPr>
      <w:instrText xml:space="preserve">PAGE  </w:instrText>
    </w:r>
    <w:r>
      <w:fldChar w:fldCharType="separate"/>
    </w:r>
    <w:r>
      <w:fldChar w:fldCharType="end"/>
    </w:r>
  </w:p>
  <w:p w14:paraId="219A0897">
    <w:pPr>
      <w:pStyle w:val="14"/>
      <w:ind w:right="360"/>
    </w:pPr>
  </w:p>
  <w:p w14:paraId="4C638A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6755A">
    <w:pPr>
      <w:pStyle w:val="14"/>
      <w:pBdr>
        <w:bottom w:val="none" w:color="auto" w:sz="0" w:space="1"/>
      </w:pBdr>
      <w:tabs>
        <w:tab w:val="left" w:pos="3285"/>
        <w:tab w:val="clear" w:pos="4153"/>
        <w:tab w:val="clear" w:pos="8306"/>
      </w:tabs>
      <w:jc w:val="left"/>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C55FE">
    <w:pPr>
      <w:pStyle w:val="14"/>
      <w:framePr w:wrap="around" w:vAnchor="text" w:hAnchor="margin" w:xAlign="right" w:y="1"/>
      <w:rPr>
        <w:rStyle w:val="25"/>
      </w:rPr>
    </w:pPr>
    <w:r>
      <w:fldChar w:fldCharType="begin"/>
    </w:r>
    <w:r>
      <w:rPr>
        <w:rStyle w:val="25"/>
        <w:highlight w:val="white"/>
      </w:rPr>
      <w:instrText xml:space="preserve">PAGE  </w:instrText>
    </w:r>
    <w:r>
      <w:fldChar w:fldCharType="separate"/>
    </w:r>
    <w:r>
      <w:fldChar w:fldCharType="end"/>
    </w:r>
  </w:p>
  <w:p w14:paraId="0B76EC11">
    <w:pPr>
      <w:pStyle w:val="14"/>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05F0B">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2B105"/>
    <w:multiLevelType w:val="singleLevel"/>
    <w:tmpl w:val="8F72B105"/>
    <w:lvl w:ilvl="0" w:tentative="0">
      <w:start w:val="4"/>
      <w:numFmt w:val="chineseCounting"/>
      <w:suff w:val="space"/>
      <w:lvlText w:val="第%1章"/>
      <w:lvlJc w:val="left"/>
      <w:rPr>
        <w:rFonts w:hint="eastAsia"/>
      </w:rPr>
    </w:lvl>
  </w:abstractNum>
  <w:abstractNum w:abstractNumId="1">
    <w:nsid w:val="E4DCBDC8"/>
    <w:multiLevelType w:val="singleLevel"/>
    <w:tmpl w:val="E4DCBDC8"/>
    <w:lvl w:ilvl="0" w:tentative="0">
      <w:start w:val="6"/>
      <w:numFmt w:val="chineseCounting"/>
      <w:suff w:val="space"/>
      <w:lvlText w:val="第%1章"/>
      <w:lvlJc w:val="left"/>
      <w:rPr>
        <w:rFonts w:hint="eastAsia"/>
      </w:rPr>
    </w:lvl>
  </w:abstractNum>
  <w:abstractNum w:abstractNumId="2">
    <w:nsid w:val="E7CD1D0B"/>
    <w:multiLevelType w:val="singleLevel"/>
    <w:tmpl w:val="E7CD1D0B"/>
    <w:lvl w:ilvl="0" w:tentative="0">
      <w:start w:val="9"/>
      <w:numFmt w:val="decimal"/>
      <w:suff w:val="space"/>
      <w:lvlText w:val="%1."/>
      <w:lvlJc w:val="left"/>
    </w:lvl>
  </w:abstractNum>
  <w:abstractNum w:abstractNumId="3">
    <w:nsid w:val="FB6966A0"/>
    <w:multiLevelType w:val="singleLevel"/>
    <w:tmpl w:val="FB6966A0"/>
    <w:lvl w:ilvl="0" w:tentative="0">
      <w:start w:val="4"/>
      <w:numFmt w:val="decimal"/>
      <w:suff w:val="nothing"/>
      <w:lvlText w:val="（%1）"/>
      <w:lvlJc w:val="left"/>
    </w:lvl>
  </w:abstractNum>
  <w:abstractNum w:abstractNumId="4">
    <w:nsid w:val="4E4D4AD0"/>
    <w:multiLevelType w:val="singleLevel"/>
    <w:tmpl w:val="4E4D4AD0"/>
    <w:lvl w:ilvl="0" w:tentative="0">
      <w:start w:val="2"/>
      <w:numFmt w:val="chineseCounting"/>
      <w:suff w:val="nothing"/>
      <w:lvlText w:val="（%1）"/>
      <w:lvlJc w:val="left"/>
      <w:rPr>
        <w:rFonts w:hint="eastAsia"/>
      </w:rPr>
    </w:lvl>
  </w:abstractNum>
  <w:abstractNum w:abstractNumId="5">
    <w:nsid w:val="51707314"/>
    <w:multiLevelType w:val="singleLevel"/>
    <w:tmpl w:val="51707314"/>
    <w:lvl w:ilvl="0" w:tentative="0">
      <w:start w:val="1"/>
      <w:numFmt w:val="decimal"/>
      <w:lvlText w:val="(%1)"/>
      <w:lvlJc w:val="left"/>
      <w:pPr>
        <w:ind w:left="425" w:hanging="425"/>
      </w:pPr>
      <w:rPr>
        <w:rFonts w:hint="default"/>
      </w:rPr>
    </w:lvl>
  </w:abstractNum>
  <w:abstractNum w:abstractNumId="6">
    <w:nsid w:val="58F41FD1"/>
    <w:multiLevelType w:val="singleLevel"/>
    <w:tmpl w:val="58F41FD1"/>
    <w:lvl w:ilvl="0" w:tentative="0">
      <w:start w:val="10"/>
      <w:numFmt w:val="decimal"/>
      <w:suff w:val="space"/>
      <w:lvlText w:val="%1."/>
      <w:lvlJc w:val="left"/>
    </w:lvl>
  </w:abstractNum>
  <w:abstractNum w:abstractNumId="7">
    <w:nsid w:val="5F0E2EC0"/>
    <w:multiLevelType w:val="singleLevel"/>
    <w:tmpl w:val="5F0E2EC0"/>
    <w:lvl w:ilvl="0" w:tentative="0">
      <w:start w:val="9"/>
      <w:numFmt w:val="decimal"/>
      <w:suff w:val="space"/>
      <w:lvlText w:val="%1."/>
      <w:lvlJc w:val="left"/>
    </w:lvl>
  </w:abstractNum>
  <w:abstractNum w:abstractNumId="8">
    <w:nsid w:val="691C240D"/>
    <w:multiLevelType w:val="multilevel"/>
    <w:tmpl w:val="691C240D"/>
    <w:lvl w:ilvl="0" w:tentative="0">
      <w:start w:val="1"/>
      <w:numFmt w:val="chineseCountingThousand"/>
      <w:pStyle w:val="2"/>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6CEA2025"/>
    <w:multiLevelType w:val="multilevel"/>
    <w:tmpl w:val="6CEA2025"/>
    <w:lvl w:ilvl="0" w:tentative="0">
      <w:start w:val="1"/>
      <w:numFmt w:val="none"/>
      <w:pStyle w:val="55"/>
      <w:suff w:val="nothing"/>
      <w:lvlText w:val="%1"/>
      <w:lvlJc w:val="left"/>
      <w:pPr>
        <w:ind w:left="0" w:firstLine="0"/>
      </w:pPr>
      <w:rPr>
        <w:rFonts w:hint="eastAsia"/>
      </w:rPr>
    </w:lvl>
    <w:lvl w:ilvl="1" w:tentative="0">
      <w:start w:val="1"/>
      <w:numFmt w:val="decimal"/>
      <w:pStyle w:val="53"/>
      <w:suff w:val="nothing"/>
      <w:lvlText w:val="%1%2　"/>
      <w:lvlJc w:val="left"/>
      <w:pPr>
        <w:ind w:left="0" w:firstLine="0"/>
      </w:pPr>
      <w:rPr>
        <w:rFonts w:hint="eastAsia" w:ascii="黑体" w:eastAsia="黑体"/>
        <w:b w:val="0"/>
        <w:i w:val="0"/>
        <w:sz w:val="21"/>
      </w:rPr>
    </w:lvl>
    <w:lvl w:ilvl="2" w:tentative="0">
      <w:start w:val="1"/>
      <w:numFmt w:val="decimal"/>
      <w:pStyle w:val="54"/>
      <w:suff w:val="nothing"/>
      <w:lvlText w:val="%1%2.%3　"/>
      <w:lvlJc w:val="left"/>
      <w:pPr>
        <w:ind w:left="284"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49"/>
      <w:suff w:val="nothing"/>
      <w:lvlText w:val="%1%2.%3.%4　"/>
      <w:lvlJc w:val="left"/>
      <w:pPr>
        <w:ind w:left="0" w:firstLine="0"/>
      </w:pPr>
      <w:rPr>
        <w:rFonts w:hint="eastAsia" w:ascii="黑体" w:eastAsia="黑体"/>
        <w:b w:val="0"/>
        <w:i w:val="0"/>
        <w:sz w:val="21"/>
      </w:rPr>
    </w:lvl>
    <w:lvl w:ilvl="4" w:tentative="0">
      <w:start w:val="1"/>
      <w:numFmt w:val="decimal"/>
      <w:pStyle w:val="50"/>
      <w:suff w:val="nothing"/>
      <w:lvlText w:val="%1%2.%3.%4.%5　"/>
      <w:lvlJc w:val="left"/>
      <w:pPr>
        <w:ind w:left="0" w:firstLine="0"/>
      </w:pPr>
      <w:rPr>
        <w:rFonts w:hint="eastAsia" w:ascii="黑体" w:eastAsia="黑体"/>
        <w:b w:val="0"/>
        <w:i w:val="0"/>
        <w:sz w:val="21"/>
      </w:rPr>
    </w:lvl>
    <w:lvl w:ilvl="5" w:tentative="0">
      <w:start w:val="1"/>
      <w:numFmt w:val="decimal"/>
      <w:pStyle w:val="51"/>
      <w:suff w:val="nothing"/>
      <w:lvlText w:val="%1%2.%3.%4.%5.%6　"/>
      <w:lvlJc w:val="left"/>
      <w:pPr>
        <w:ind w:left="0" w:firstLine="0"/>
      </w:pPr>
      <w:rPr>
        <w:rFonts w:hint="eastAsia" w:ascii="黑体" w:eastAsia="黑体"/>
        <w:b w:val="0"/>
        <w:i w:val="0"/>
        <w:sz w:val="21"/>
      </w:rPr>
    </w:lvl>
    <w:lvl w:ilvl="6" w:tentative="0">
      <w:start w:val="1"/>
      <w:numFmt w:val="decimal"/>
      <w:pStyle w:val="52"/>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6DBF04F4"/>
    <w:multiLevelType w:val="multilevel"/>
    <w:tmpl w:val="6DBF04F4"/>
    <w:lvl w:ilvl="0" w:tentative="0">
      <w:start w:val="1"/>
      <w:numFmt w:val="none"/>
      <w:pStyle w:val="5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8"/>
  </w:num>
  <w:num w:numId="2">
    <w:abstractNumId w:val="9"/>
  </w:num>
  <w:num w:numId="3">
    <w:abstractNumId w:val="10"/>
  </w:num>
  <w:num w:numId="4">
    <w:abstractNumId w:val="7"/>
  </w:num>
  <w:num w:numId="5">
    <w:abstractNumId w:val="6"/>
  </w:num>
  <w:num w:numId="6">
    <w:abstractNumId w:val="2"/>
  </w:num>
  <w:num w:numId="7">
    <w:abstractNumId w:val="3"/>
  </w:num>
  <w:num w:numId="8">
    <w:abstractNumId w:val="5"/>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hyphenationZone w:val="360"/>
  <w:drawingGridHorizontalSpacing w:val="240"/>
  <w:drawingGridVerticalSpacing w:val="136"/>
  <w:displayHorizontalDrawingGridEvery w:val="1"/>
  <w:displayVerticalDrawingGridEvery w:val="1"/>
  <w:doNotShadeFormData w:val="1"/>
  <w:noPunctuationKerning w:val="1"/>
  <w:characterSpacingControl w:val="compressPunctuation"/>
  <w:footnotePr>
    <w:numFmt w:val="decimalEnclosedCircleChinese"/>
    <w:numRestart w:val="eachPage"/>
    <w:footnote w:id="142"/>
    <w:footnote w:id="143"/>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wM2ZjMTNmMjk3NDBhYmY1YTMwMzk3Y2NmMGFmNGUifQ=="/>
  </w:docVars>
  <w:rsids>
    <w:rsidRoot w:val="0034083D"/>
    <w:rsid w:val="00031E3A"/>
    <w:rsid w:val="000434F7"/>
    <w:rsid w:val="001D5E1F"/>
    <w:rsid w:val="00285C4C"/>
    <w:rsid w:val="0034083D"/>
    <w:rsid w:val="003C5505"/>
    <w:rsid w:val="00BA7CA7"/>
    <w:rsid w:val="00DC301F"/>
    <w:rsid w:val="00E44900"/>
    <w:rsid w:val="02B07BA4"/>
    <w:rsid w:val="030161C2"/>
    <w:rsid w:val="030F1D26"/>
    <w:rsid w:val="03241A2B"/>
    <w:rsid w:val="03666AF6"/>
    <w:rsid w:val="03B112E4"/>
    <w:rsid w:val="040A5B3F"/>
    <w:rsid w:val="0539364A"/>
    <w:rsid w:val="05777801"/>
    <w:rsid w:val="0687687D"/>
    <w:rsid w:val="06EE11BE"/>
    <w:rsid w:val="06EE5C57"/>
    <w:rsid w:val="06F3B517"/>
    <w:rsid w:val="07697D31"/>
    <w:rsid w:val="07A24272"/>
    <w:rsid w:val="082E2C57"/>
    <w:rsid w:val="09FF4B6D"/>
    <w:rsid w:val="0BC8F5AA"/>
    <w:rsid w:val="0D9755F8"/>
    <w:rsid w:val="0ED45CFE"/>
    <w:rsid w:val="0EFC7B21"/>
    <w:rsid w:val="0F1418F9"/>
    <w:rsid w:val="0F28757A"/>
    <w:rsid w:val="0FD541B5"/>
    <w:rsid w:val="107A7923"/>
    <w:rsid w:val="11301FEB"/>
    <w:rsid w:val="115B3953"/>
    <w:rsid w:val="116F2C2B"/>
    <w:rsid w:val="12274A70"/>
    <w:rsid w:val="122A171E"/>
    <w:rsid w:val="12597320"/>
    <w:rsid w:val="12637F65"/>
    <w:rsid w:val="13746DA8"/>
    <w:rsid w:val="142D04AB"/>
    <w:rsid w:val="156A32E7"/>
    <w:rsid w:val="16B17C2B"/>
    <w:rsid w:val="16BF67F0"/>
    <w:rsid w:val="16CF882D"/>
    <w:rsid w:val="17C4465B"/>
    <w:rsid w:val="180B192E"/>
    <w:rsid w:val="181D0233"/>
    <w:rsid w:val="185310D7"/>
    <w:rsid w:val="191F1353"/>
    <w:rsid w:val="19BD6A8C"/>
    <w:rsid w:val="1A1D6BE7"/>
    <w:rsid w:val="1B6B6A6E"/>
    <w:rsid w:val="1D073520"/>
    <w:rsid w:val="1D6449E6"/>
    <w:rsid w:val="1E803E86"/>
    <w:rsid w:val="1EA25103"/>
    <w:rsid w:val="1EED39A7"/>
    <w:rsid w:val="1EF34658"/>
    <w:rsid w:val="1F190E84"/>
    <w:rsid w:val="1F29007A"/>
    <w:rsid w:val="2077243C"/>
    <w:rsid w:val="21790C38"/>
    <w:rsid w:val="219D2196"/>
    <w:rsid w:val="22A0754A"/>
    <w:rsid w:val="23656565"/>
    <w:rsid w:val="236E0751"/>
    <w:rsid w:val="23AE705F"/>
    <w:rsid w:val="24A03FA5"/>
    <w:rsid w:val="24A73F4E"/>
    <w:rsid w:val="254C2047"/>
    <w:rsid w:val="25CE54D7"/>
    <w:rsid w:val="25EF0F11"/>
    <w:rsid w:val="263732B9"/>
    <w:rsid w:val="26837659"/>
    <w:rsid w:val="27EF5964"/>
    <w:rsid w:val="27FF406E"/>
    <w:rsid w:val="28B356D4"/>
    <w:rsid w:val="290C6161"/>
    <w:rsid w:val="294C32E2"/>
    <w:rsid w:val="2A6378CF"/>
    <w:rsid w:val="2ACC39D0"/>
    <w:rsid w:val="2B703EF5"/>
    <w:rsid w:val="2BEB7C00"/>
    <w:rsid w:val="2C184187"/>
    <w:rsid w:val="2D7921CC"/>
    <w:rsid w:val="2DC21DC5"/>
    <w:rsid w:val="2E262354"/>
    <w:rsid w:val="2E350E38"/>
    <w:rsid w:val="2EA65243"/>
    <w:rsid w:val="2EE45D6B"/>
    <w:rsid w:val="30B714BD"/>
    <w:rsid w:val="320A3D3B"/>
    <w:rsid w:val="32331660"/>
    <w:rsid w:val="33931A0F"/>
    <w:rsid w:val="33C2136B"/>
    <w:rsid w:val="33DF6B01"/>
    <w:rsid w:val="34D67F04"/>
    <w:rsid w:val="34EA330A"/>
    <w:rsid w:val="3518213C"/>
    <w:rsid w:val="3526257A"/>
    <w:rsid w:val="352769B2"/>
    <w:rsid w:val="3668710A"/>
    <w:rsid w:val="366E2AEA"/>
    <w:rsid w:val="36B906CC"/>
    <w:rsid w:val="386627BB"/>
    <w:rsid w:val="388861A3"/>
    <w:rsid w:val="38DE4E79"/>
    <w:rsid w:val="38EA1F09"/>
    <w:rsid w:val="390414E4"/>
    <w:rsid w:val="3958728B"/>
    <w:rsid w:val="39ED838D"/>
    <w:rsid w:val="3A575964"/>
    <w:rsid w:val="3B3F3B31"/>
    <w:rsid w:val="3BE91FF9"/>
    <w:rsid w:val="3D642AD9"/>
    <w:rsid w:val="3D7FF0EC"/>
    <w:rsid w:val="3DB3B649"/>
    <w:rsid w:val="3E897033"/>
    <w:rsid w:val="3EBA0C03"/>
    <w:rsid w:val="3ECF0E18"/>
    <w:rsid w:val="3F0F1FBD"/>
    <w:rsid w:val="3F43386D"/>
    <w:rsid w:val="3F5E2485"/>
    <w:rsid w:val="3FBB04F5"/>
    <w:rsid w:val="3FD64707"/>
    <w:rsid w:val="40F428AB"/>
    <w:rsid w:val="41285F8B"/>
    <w:rsid w:val="41343D32"/>
    <w:rsid w:val="41AB354F"/>
    <w:rsid w:val="41F72149"/>
    <w:rsid w:val="42154762"/>
    <w:rsid w:val="42AC6D65"/>
    <w:rsid w:val="43BA4F1B"/>
    <w:rsid w:val="442548A8"/>
    <w:rsid w:val="446C618F"/>
    <w:rsid w:val="452B48FE"/>
    <w:rsid w:val="46580C64"/>
    <w:rsid w:val="47DC095C"/>
    <w:rsid w:val="48144D51"/>
    <w:rsid w:val="492E2ADF"/>
    <w:rsid w:val="494E1C27"/>
    <w:rsid w:val="496B20EA"/>
    <w:rsid w:val="49AD63EB"/>
    <w:rsid w:val="49DD0941"/>
    <w:rsid w:val="49E06C19"/>
    <w:rsid w:val="4A9D21E0"/>
    <w:rsid w:val="4C0079DA"/>
    <w:rsid w:val="4CCF1268"/>
    <w:rsid w:val="4DE41D57"/>
    <w:rsid w:val="4E2B2C17"/>
    <w:rsid w:val="4E4F43AA"/>
    <w:rsid w:val="4ED53C10"/>
    <w:rsid w:val="4FEEAC3D"/>
    <w:rsid w:val="4FFD9C63"/>
    <w:rsid w:val="4FFF16DD"/>
    <w:rsid w:val="502A762A"/>
    <w:rsid w:val="50790FCF"/>
    <w:rsid w:val="50A25CEC"/>
    <w:rsid w:val="50ED3F31"/>
    <w:rsid w:val="51D56138"/>
    <w:rsid w:val="52ED4D07"/>
    <w:rsid w:val="531A301F"/>
    <w:rsid w:val="531C2FD0"/>
    <w:rsid w:val="53F7A3CD"/>
    <w:rsid w:val="5446779E"/>
    <w:rsid w:val="559B68D4"/>
    <w:rsid w:val="56551179"/>
    <w:rsid w:val="57667AE2"/>
    <w:rsid w:val="57BE8C87"/>
    <w:rsid w:val="581318A6"/>
    <w:rsid w:val="59B9A309"/>
    <w:rsid w:val="59D55467"/>
    <w:rsid w:val="59E6393D"/>
    <w:rsid w:val="59FD1DD9"/>
    <w:rsid w:val="5A2C3A7D"/>
    <w:rsid w:val="5B0026A2"/>
    <w:rsid w:val="5B0441BD"/>
    <w:rsid w:val="5BA40524"/>
    <w:rsid w:val="5C439B20"/>
    <w:rsid w:val="5CA22BAB"/>
    <w:rsid w:val="5CFC0F0E"/>
    <w:rsid w:val="5D633679"/>
    <w:rsid w:val="5D8D238F"/>
    <w:rsid w:val="5DB77E4C"/>
    <w:rsid w:val="5DDE46EB"/>
    <w:rsid w:val="5DEF5DF4"/>
    <w:rsid w:val="5DFA7FDB"/>
    <w:rsid w:val="5E0B1A51"/>
    <w:rsid w:val="5E794EA2"/>
    <w:rsid w:val="5E9640DD"/>
    <w:rsid w:val="5EB7D0A6"/>
    <w:rsid w:val="5EBF2119"/>
    <w:rsid w:val="5FB3BB5F"/>
    <w:rsid w:val="5FB439B5"/>
    <w:rsid w:val="5FCDF2D5"/>
    <w:rsid w:val="5FF33D4C"/>
    <w:rsid w:val="5FF79F60"/>
    <w:rsid w:val="60765F74"/>
    <w:rsid w:val="617E468E"/>
    <w:rsid w:val="61A1522F"/>
    <w:rsid w:val="63AE62F3"/>
    <w:rsid w:val="647C5B23"/>
    <w:rsid w:val="648F4652"/>
    <w:rsid w:val="64DD6B3F"/>
    <w:rsid w:val="65AA4A3D"/>
    <w:rsid w:val="665A503B"/>
    <w:rsid w:val="66910B76"/>
    <w:rsid w:val="669D6B77"/>
    <w:rsid w:val="66C8504F"/>
    <w:rsid w:val="66C96446"/>
    <w:rsid w:val="66DB5AD6"/>
    <w:rsid w:val="675A2BA4"/>
    <w:rsid w:val="67CEDA37"/>
    <w:rsid w:val="67E5D4A0"/>
    <w:rsid w:val="67FFE679"/>
    <w:rsid w:val="68F23E8E"/>
    <w:rsid w:val="690C368B"/>
    <w:rsid w:val="69754B58"/>
    <w:rsid w:val="6A357B5C"/>
    <w:rsid w:val="6A5D5B8C"/>
    <w:rsid w:val="6A7D3DF3"/>
    <w:rsid w:val="6AB979AD"/>
    <w:rsid w:val="6AEF52A0"/>
    <w:rsid w:val="6B1E1463"/>
    <w:rsid w:val="6B6FF040"/>
    <w:rsid w:val="6BAE3E29"/>
    <w:rsid w:val="6C38024D"/>
    <w:rsid w:val="6CAE4CE7"/>
    <w:rsid w:val="6D0A6AB5"/>
    <w:rsid w:val="6D323DFE"/>
    <w:rsid w:val="6E236768"/>
    <w:rsid w:val="6E2E4473"/>
    <w:rsid w:val="6E5D3F56"/>
    <w:rsid w:val="6E7B8AC8"/>
    <w:rsid w:val="6ED9618E"/>
    <w:rsid w:val="6F101C89"/>
    <w:rsid w:val="6F3F389F"/>
    <w:rsid w:val="6F76330B"/>
    <w:rsid w:val="6FBC9A4A"/>
    <w:rsid w:val="6FBE479A"/>
    <w:rsid w:val="700D4A15"/>
    <w:rsid w:val="70160833"/>
    <w:rsid w:val="706E2FF6"/>
    <w:rsid w:val="707732AF"/>
    <w:rsid w:val="70B2549C"/>
    <w:rsid w:val="717B18CC"/>
    <w:rsid w:val="72534572"/>
    <w:rsid w:val="727D4545"/>
    <w:rsid w:val="72D679F5"/>
    <w:rsid w:val="73520AC2"/>
    <w:rsid w:val="737C4FD5"/>
    <w:rsid w:val="73F56FE8"/>
    <w:rsid w:val="741A4F9A"/>
    <w:rsid w:val="74F51999"/>
    <w:rsid w:val="7530273D"/>
    <w:rsid w:val="75F56B71"/>
    <w:rsid w:val="76484E1E"/>
    <w:rsid w:val="76FFF2BB"/>
    <w:rsid w:val="776BFB34"/>
    <w:rsid w:val="779F3274"/>
    <w:rsid w:val="77D07B52"/>
    <w:rsid w:val="77F377B1"/>
    <w:rsid w:val="7825692D"/>
    <w:rsid w:val="790534AA"/>
    <w:rsid w:val="79F9BF7C"/>
    <w:rsid w:val="79FC734E"/>
    <w:rsid w:val="79FFD0C8"/>
    <w:rsid w:val="7A7A50CB"/>
    <w:rsid w:val="7A7B20EF"/>
    <w:rsid w:val="7ABD3B9B"/>
    <w:rsid w:val="7ACD5348"/>
    <w:rsid w:val="7ACF0B42"/>
    <w:rsid w:val="7ADC648B"/>
    <w:rsid w:val="7B7FC132"/>
    <w:rsid w:val="7B8E2A22"/>
    <w:rsid w:val="7B9024B0"/>
    <w:rsid w:val="7BB61923"/>
    <w:rsid w:val="7BD776F4"/>
    <w:rsid w:val="7BE77D1C"/>
    <w:rsid w:val="7CBC6FAC"/>
    <w:rsid w:val="7CCE7160"/>
    <w:rsid w:val="7CF254B8"/>
    <w:rsid w:val="7D206701"/>
    <w:rsid w:val="7D7E0B59"/>
    <w:rsid w:val="7DA71A0B"/>
    <w:rsid w:val="7E7BC66A"/>
    <w:rsid w:val="7EAF9338"/>
    <w:rsid w:val="7EB57C18"/>
    <w:rsid w:val="7ECF746B"/>
    <w:rsid w:val="7EDA5C8C"/>
    <w:rsid w:val="7F7F4F70"/>
    <w:rsid w:val="7FBBBD42"/>
    <w:rsid w:val="7FCB999F"/>
    <w:rsid w:val="7FEED5B2"/>
    <w:rsid w:val="7FEF9A01"/>
    <w:rsid w:val="7FF33666"/>
    <w:rsid w:val="7FF46201"/>
    <w:rsid w:val="7FFBEE95"/>
    <w:rsid w:val="7FFD9302"/>
    <w:rsid w:val="8FFFAD1A"/>
    <w:rsid w:val="95FFFDE0"/>
    <w:rsid w:val="96952CED"/>
    <w:rsid w:val="9B57899E"/>
    <w:rsid w:val="9DEF82E1"/>
    <w:rsid w:val="A359A0A4"/>
    <w:rsid w:val="A7EB2EF2"/>
    <w:rsid w:val="ABED90A3"/>
    <w:rsid w:val="AD1F3053"/>
    <w:rsid w:val="B27D94DB"/>
    <w:rsid w:val="B5F709CA"/>
    <w:rsid w:val="B71FC824"/>
    <w:rsid w:val="B7FFB9ED"/>
    <w:rsid w:val="BBFFD71C"/>
    <w:rsid w:val="BD5762C2"/>
    <w:rsid w:val="BDB33FBB"/>
    <w:rsid w:val="BEDEE1BE"/>
    <w:rsid w:val="BF2948E1"/>
    <w:rsid w:val="BF71C8F2"/>
    <w:rsid w:val="BFCD6CF2"/>
    <w:rsid w:val="BFDDFCFE"/>
    <w:rsid w:val="BFFF8450"/>
    <w:rsid w:val="CF3F9CD1"/>
    <w:rsid w:val="CFEF9147"/>
    <w:rsid w:val="D3E7C5B7"/>
    <w:rsid w:val="D5F2E27A"/>
    <w:rsid w:val="D8953EA7"/>
    <w:rsid w:val="D95FE553"/>
    <w:rsid w:val="D97F4FD7"/>
    <w:rsid w:val="D9F60947"/>
    <w:rsid w:val="D9FFC15D"/>
    <w:rsid w:val="DB7FD96A"/>
    <w:rsid w:val="DBD7117B"/>
    <w:rsid w:val="DF3F02B4"/>
    <w:rsid w:val="DF5FE30C"/>
    <w:rsid w:val="DF77DDF0"/>
    <w:rsid w:val="DFFAD106"/>
    <w:rsid w:val="E72FFB47"/>
    <w:rsid w:val="E7EF9A2D"/>
    <w:rsid w:val="E9B884FF"/>
    <w:rsid w:val="EBBE3CA2"/>
    <w:rsid w:val="EBBFFCE1"/>
    <w:rsid w:val="EBC7D9BD"/>
    <w:rsid w:val="EBFF8D5C"/>
    <w:rsid w:val="EDC9007A"/>
    <w:rsid w:val="EDF7D2AB"/>
    <w:rsid w:val="EE75B391"/>
    <w:rsid w:val="EEFD5A61"/>
    <w:rsid w:val="EF2F0B65"/>
    <w:rsid w:val="EF3F8149"/>
    <w:rsid w:val="EFBFC552"/>
    <w:rsid w:val="EFEFD5F3"/>
    <w:rsid w:val="EFFF84CA"/>
    <w:rsid w:val="F07F9C16"/>
    <w:rsid w:val="F3E75543"/>
    <w:rsid w:val="F5F5345D"/>
    <w:rsid w:val="F5FFDBA0"/>
    <w:rsid w:val="F77BFE82"/>
    <w:rsid w:val="F7ECC7DA"/>
    <w:rsid w:val="F9C7B200"/>
    <w:rsid w:val="F9FFBAD5"/>
    <w:rsid w:val="FAF72BF5"/>
    <w:rsid w:val="FDB1D891"/>
    <w:rsid w:val="FDD63A69"/>
    <w:rsid w:val="FDDAAC63"/>
    <w:rsid w:val="FDEF0291"/>
    <w:rsid w:val="FEDC8FC7"/>
    <w:rsid w:val="FEF53F87"/>
    <w:rsid w:val="FFBFED66"/>
    <w:rsid w:val="FFD834F8"/>
    <w:rsid w:val="FFDFB708"/>
    <w:rsid w:val="FFE709EA"/>
    <w:rsid w:val="FFEF0AB5"/>
    <w:rsid w:val="FFF6C462"/>
    <w:rsid w:val="FFFFB3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4"/>
      <w:szCs w:val="21"/>
      <w:lang w:val="en-US" w:eastAsia="zh-CN" w:bidi="ar-SA"/>
    </w:rPr>
  </w:style>
  <w:style w:type="paragraph" w:styleId="2">
    <w:name w:val="heading 1"/>
    <w:basedOn w:val="1"/>
    <w:next w:val="1"/>
    <w:link w:val="37"/>
    <w:qFormat/>
    <w:uiPriority w:val="9"/>
    <w:pPr>
      <w:keepNext/>
      <w:keepLines/>
      <w:numPr>
        <w:ilvl w:val="0"/>
        <w:numId w:val="1"/>
      </w:numPr>
      <w:jc w:val="center"/>
      <w:outlineLvl w:val="0"/>
    </w:pPr>
    <w:rPr>
      <w:rFonts w:eastAsia="黑体"/>
      <w:b/>
      <w:bCs/>
      <w:kern w:val="44"/>
      <w:sz w:val="30"/>
      <w:szCs w:val="44"/>
    </w:rPr>
  </w:style>
  <w:style w:type="paragraph" w:styleId="3">
    <w:name w:val="heading 2"/>
    <w:basedOn w:val="1"/>
    <w:next w:val="1"/>
    <w:link w:val="38"/>
    <w:unhideWhenUsed/>
    <w:qFormat/>
    <w:uiPriority w:val="9"/>
    <w:pPr>
      <w:keepNext/>
      <w:keepLines/>
      <w:jc w:val="center"/>
      <w:outlineLvl w:val="1"/>
    </w:pPr>
    <w:rPr>
      <w:rFonts w:ascii="等线 Light" w:hAnsi="等线 Light" w:cs="Times New Roman"/>
      <w:b/>
      <w:bCs/>
      <w:sz w:val="30"/>
      <w:szCs w:val="32"/>
    </w:rPr>
  </w:style>
  <w:style w:type="paragraph" w:styleId="4">
    <w:name w:val="heading 3"/>
    <w:basedOn w:val="1"/>
    <w:next w:val="1"/>
    <w:link w:val="3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7"/>
    <w:link w:val="32"/>
    <w:qFormat/>
    <w:uiPriority w:val="0"/>
    <w:pPr>
      <w:ind w:firstLine="420" w:firstLineChars="200"/>
    </w:pPr>
  </w:style>
  <w:style w:type="paragraph" w:styleId="7">
    <w:name w:val="Body Text"/>
    <w:basedOn w:val="1"/>
    <w:qFormat/>
    <w:uiPriority w:val="0"/>
    <w:pPr>
      <w:spacing w:after="120"/>
    </w:pPr>
  </w:style>
  <w:style w:type="paragraph" w:styleId="8">
    <w:name w:val="annotation text"/>
    <w:basedOn w:val="1"/>
    <w:unhideWhenUsed/>
    <w:qFormat/>
    <w:uiPriority w:val="99"/>
    <w:pPr>
      <w:jc w:val="left"/>
    </w:pPr>
  </w:style>
  <w:style w:type="paragraph" w:styleId="9">
    <w:name w:val="Body Text Indent"/>
    <w:basedOn w:val="1"/>
    <w:next w:val="10"/>
    <w:qFormat/>
    <w:uiPriority w:val="0"/>
    <w:pPr>
      <w:ind w:firstLine="560" w:firstLineChars="200"/>
    </w:pPr>
    <w:rPr>
      <w:rFonts w:ascii="宋体" w:hAnsi="宋体"/>
      <w:bCs/>
      <w:sz w:val="28"/>
      <w:szCs w:val="32"/>
    </w:rPr>
  </w:style>
  <w:style w:type="paragraph" w:styleId="10">
    <w:name w:val="envelope return"/>
    <w:basedOn w:val="1"/>
    <w:qFormat/>
    <w:uiPriority w:val="0"/>
    <w:pPr>
      <w:snapToGrid w:val="0"/>
    </w:pPr>
    <w:rPr>
      <w:rFonts w:ascii="Arial" w:hAnsi="Arial"/>
      <w:szCs w:val="20"/>
    </w:rPr>
  </w:style>
  <w:style w:type="paragraph" w:styleId="11">
    <w:name w:val="toc 3"/>
    <w:basedOn w:val="1"/>
    <w:next w:val="1"/>
    <w:semiHidden/>
    <w:qFormat/>
    <w:uiPriority w:val="0"/>
    <w:pPr>
      <w:ind w:left="840" w:leftChars="400"/>
    </w:pPr>
  </w:style>
  <w:style w:type="paragraph" w:styleId="12">
    <w:name w:val="Date"/>
    <w:basedOn w:val="1"/>
    <w:next w:val="1"/>
    <w:unhideWhenUsed/>
    <w:qFormat/>
    <w:uiPriority w:val="0"/>
    <w:pPr>
      <w:ind w:left="100" w:leftChars="2500"/>
    </w:pPr>
  </w:style>
  <w:style w:type="paragraph" w:styleId="13">
    <w:name w:val="footer"/>
    <w:basedOn w:val="1"/>
    <w:link w:val="33"/>
    <w:unhideWhenUsed/>
    <w:qFormat/>
    <w:uiPriority w:val="99"/>
    <w:pPr>
      <w:tabs>
        <w:tab w:val="center" w:pos="4153"/>
        <w:tab w:val="right" w:pos="8306"/>
      </w:tabs>
      <w:spacing w:line="240" w:lineRule="auto"/>
    </w:pPr>
    <w:rPr>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15">
    <w:name w:val="toc 1"/>
    <w:basedOn w:val="1"/>
    <w:next w:val="1"/>
    <w:semiHidden/>
    <w:qFormat/>
    <w:uiPriority w:val="0"/>
    <w:pPr>
      <w:spacing w:line="440" w:lineRule="exact"/>
      <w:jc w:val="center"/>
    </w:pPr>
  </w:style>
  <w:style w:type="paragraph" w:styleId="16">
    <w:name w:val="footnote text"/>
    <w:basedOn w:val="1"/>
    <w:link w:val="35"/>
    <w:unhideWhenUsed/>
    <w:qFormat/>
    <w:uiPriority w:val="0"/>
    <w:pPr>
      <w:snapToGrid w:val="0"/>
      <w:jc w:val="left"/>
    </w:pPr>
    <w:rPr>
      <w:sz w:val="18"/>
      <w:szCs w:val="18"/>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cs="宋体"/>
      <w:color w:val="0066CC"/>
      <w:kern w:val="0"/>
      <w:sz w:val="24"/>
    </w:rPr>
  </w:style>
  <w:style w:type="paragraph" w:styleId="19">
    <w:name w:val="Title"/>
    <w:basedOn w:val="1"/>
    <w:link w:val="36"/>
    <w:qFormat/>
    <w:uiPriority w:val="0"/>
    <w:pPr>
      <w:spacing w:before="0" w:after="0" w:line="360" w:lineRule="auto"/>
      <w:jc w:val="center"/>
    </w:pPr>
    <w:rPr>
      <w:rFonts w:ascii="宋体" w:hAnsi="宋体" w:eastAsia="黑体"/>
      <w:bCs/>
      <w:smallCaps/>
      <w:snapToGrid w:val="0"/>
      <w:sz w:val="44"/>
      <w:szCs w:val="24"/>
    </w:rPr>
  </w:style>
  <w:style w:type="paragraph" w:styleId="20">
    <w:name w:val="Body Text First Indent"/>
    <w:basedOn w:val="7"/>
    <w:next w:val="1"/>
    <w:qFormat/>
    <w:uiPriority w:val="0"/>
    <w:pPr>
      <w:spacing w:line="312" w:lineRule="auto"/>
      <w:ind w:firstLine="420"/>
    </w:pPr>
    <w:rPr>
      <w:rFonts w:eastAsia="宋体"/>
    </w:rPr>
  </w:style>
  <w:style w:type="paragraph" w:styleId="21">
    <w:name w:val="Body Text First Indent 2"/>
    <w:basedOn w:val="9"/>
    <w:next w:val="1"/>
    <w:unhideWhenUsed/>
    <w:qFormat/>
    <w:uiPriority w:val="99"/>
    <w:pPr>
      <w:ind w:firstLine="420" w:firstLineChars="200"/>
    </w:pPr>
    <w:rPr>
      <w:kern w:val="2"/>
      <w:sz w:val="21"/>
      <w:szCs w:val="21"/>
      <w:lang w:val="en-US" w:eastAsia="zh-CN"/>
    </w:rPr>
  </w:style>
  <w:style w:type="table" w:styleId="23">
    <w:name w:val="Table Grid"/>
    <w:basedOn w:val="22"/>
    <w:qFormat/>
    <w:uiPriority w:val="99"/>
    <w:rPr>
      <w:rFonts w:ascii="Arial" w:hAnsi="Arial" w:cs="Arial"/>
      <w:snapToGrid w:val="0"/>
      <w:color w:val="000000"/>
      <w:kern w:val="0"/>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qFormat/>
    <w:uiPriority w:val="0"/>
  </w:style>
  <w:style w:type="character" w:styleId="26">
    <w:name w:val="Hyperlink"/>
    <w:basedOn w:val="24"/>
    <w:unhideWhenUsed/>
    <w:qFormat/>
    <w:uiPriority w:val="99"/>
    <w:rPr>
      <w:color w:val="0000FF"/>
      <w:u w:val="single"/>
    </w:rPr>
  </w:style>
  <w:style w:type="character" w:styleId="27">
    <w:name w:val="annotation reference"/>
    <w:basedOn w:val="24"/>
    <w:qFormat/>
    <w:uiPriority w:val="0"/>
    <w:rPr>
      <w:sz w:val="21"/>
      <w:szCs w:val="21"/>
    </w:rPr>
  </w:style>
  <w:style w:type="character" w:styleId="28">
    <w:name w:val="footnote reference"/>
    <w:unhideWhenUsed/>
    <w:qFormat/>
    <w:uiPriority w:val="0"/>
    <w:rPr>
      <w:rFonts w:ascii="Calibri" w:hAnsi="Calibri" w:eastAsia="宋体" w:cs="Times New Roman"/>
      <w:kern w:val="2"/>
      <w:sz w:val="24"/>
      <w:szCs w:val="24"/>
      <w:vertAlign w:val="superscript"/>
      <w:lang w:val="en-US" w:eastAsia="zh-CN" w:bidi="ar-SA"/>
    </w:rPr>
  </w:style>
  <w:style w:type="character" w:customStyle="1" w:styleId="29">
    <w:name w:val="标题 1 Char"/>
    <w:link w:val="2"/>
    <w:qFormat/>
    <w:uiPriority w:val="0"/>
    <w:rPr>
      <w:b/>
      <w:bCs/>
      <w:kern w:val="44"/>
      <w:sz w:val="32"/>
      <w:szCs w:val="44"/>
    </w:rPr>
  </w:style>
  <w:style w:type="character" w:customStyle="1" w:styleId="30">
    <w:name w:val="标题 2 Char"/>
    <w:link w:val="3"/>
    <w:qFormat/>
    <w:uiPriority w:val="0"/>
    <w:rPr>
      <w:rFonts w:ascii="Cambria" w:hAnsi="Cambria" w:eastAsia="宋体" w:cs="Times New Roman"/>
      <w:b/>
      <w:bCs/>
      <w:kern w:val="2"/>
      <w:sz w:val="32"/>
      <w:szCs w:val="32"/>
    </w:rPr>
  </w:style>
  <w:style w:type="character" w:customStyle="1" w:styleId="31">
    <w:name w:val="标题 3 Char"/>
    <w:basedOn w:val="24"/>
    <w:link w:val="4"/>
    <w:qFormat/>
    <w:uiPriority w:val="0"/>
    <w:rPr>
      <w:b/>
      <w:bCs/>
      <w:kern w:val="2"/>
      <w:sz w:val="32"/>
      <w:szCs w:val="32"/>
    </w:rPr>
  </w:style>
  <w:style w:type="character" w:customStyle="1" w:styleId="32">
    <w:name w:val="正文缩进 Char"/>
    <w:link w:val="6"/>
    <w:qFormat/>
    <w:uiPriority w:val="0"/>
  </w:style>
  <w:style w:type="character" w:customStyle="1" w:styleId="33">
    <w:name w:val="页脚 字符"/>
    <w:basedOn w:val="24"/>
    <w:link w:val="13"/>
    <w:qFormat/>
    <w:uiPriority w:val="99"/>
    <w:rPr>
      <w:rFonts w:ascii="Arial" w:hAnsi="Arial" w:eastAsia="宋体" w:cs="Arial"/>
      <w:snapToGrid w:val="0"/>
      <w:color w:val="000000"/>
      <w:kern w:val="0"/>
      <w:sz w:val="18"/>
      <w:szCs w:val="18"/>
    </w:rPr>
  </w:style>
  <w:style w:type="character" w:customStyle="1" w:styleId="34">
    <w:name w:val="页眉 字符"/>
    <w:basedOn w:val="24"/>
    <w:link w:val="14"/>
    <w:qFormat/>
    <w:uiPriority w:val="99"/>
    <w:rPr>
      <w:rFonts w:ascii="Arial" w:hAnsi="Arial" w:eastAsia="宋体" w:cs="Arial"/>
      <w:snapToGrid w:val="0"/>
      <w:color w:val="000000"/>
      <w:kern w:val="0"/>
      <w:sz w:val="18"/>
      <w:szCs w:val="18"/>
    </w:rPr>
  </w:style>
  <w:style w:type="character" w:customStyle="1" w:styleId="35">
    <w:name w:val="脚注文本 Char"/>
    <w:link w:val="16"/>
    <w:qFormat/>
    <w:uiPriority w:val="0"/>
    <w:rPr>
      <w:sz w:val="18"/>
      <w:szCs w:val="18"/>
    </w:rPr>
  </w:style>
  <w:style w:type="character" w:customStyle="1" w:styleId="36">
    <w:name w:val="标题 Char"/>
    <w:link w:val="19"/>
    <w:qFormat/>
    <w:uiPriority w:val="0"/>
    <w:rPr>
      <w:rFonts w:ascii="宋体" w:hAnsi="宋体" w:eastAsia="黑体"/>
      <w:bCs/>
      <w:smallCaps/>
      <w:snapToGrid w:val="0"/>
      <w:sz w:val="44"/>
      <w:szCs w:val="24"/>
    </w:rPr>
  </w:style>
  <w:style w:type="character" w:customStyle="1" w:styleId="37">
    <w:name w:val="标题 1 字符"/>
    <w:basedOn w:val="24"/>
    <w:link w:val="2"/>
    <w:qFormat/>
    <w:uiPriority w:val="9"/>
    <w:rPr>
      <w:rFonts w:ascii="Arial" w:hAnsi="Arial" w:eastAsia="黑体" w:cs="Arial"/>
      <w:b/>
      <w:bCs/>
      <w:snapToGrid w:val="0"/>
      <w:color w:val="000000"/>
      <w:kern w:val="44"/>
      <w:sz w:val="30"/>
      <w:szCs w:val="44"/>
    </w:rPr>
  </w:style>
  <w:style w:type="character" w:customStyle="1" w:styleId="38">
    <w:name w:val="标题 2 字符"/>
    <w:basedOn w:val="24"/>
    <w:link w:val="3"/>
    <w:qFormat/>
    <w:uiPriority w:val="9"/>
    <w:rPr>
      <w:rFonts w:ascii="等线 Light" w:hAnsi="等线 Light" w:eastAsia="宋体" w:cs="Times New Roman"/>
      <w:b/>
      <w:bCs/>
      <w:snapToGrid w:val="0"/>
      <w:color w:val="000000"/>
      <w:kern w:val="0"/>
      <w:sz w:val="30"/>
      <w:szCs w:val="32"/>
    </w:rPr>
  </w:style>
  <w:style w:type="character" w:customStyle="1" w:styleId="39">
    <w:name w:val="蚌埠范本-标题-一级-黑体-三号 Char"/>
    <w:link w:val="40"/>
    <w:qFormat/>
    <w:uiPriority w:val="0"/>
    <w:rPr>
      <w:rFonts w:hint="eastAsia" w:ascii="黑体" w:hAnsi="黑体" w:eastAsia="黑体" w:cs="黑体"/>
      <w:bCs/>
      <w:snapToGrid w:val="0"/>
      <w:color w:val="auto"/>
      <w:sz w:val="32"/>
      <w:szCs w:val="32"/>
    </w:rPr>
  </w:style>
  <w:style w:type="paragraph" w:customStyle="1" w:styleId="40">
    <w:name w:val="范本-标题-一级-黑体-三号"/>
    <w:basedOn w:val="1"/>
    <w:link w:val="39"/>
    <w:qFormat/>
    <w:uiPriority w:val="0"/>
    <w:pPr>
      <w:adjustRightInd/>
      <w:spacing w:before="120" w:after="120"/>
      <w:jc w:val="center"/>
      <w:outlineLvl w:val="0"/>
    </w:pPr>
    <w:rPr>
      <w:rFonts w:hint="eastAsia" w:ascii="黑体" w:hAnsi="黑体" w:eastAsia="黑体" w:cs="黑体"/>
      <w:bCs/>
      <w:snapToGrid w:val="0"/>
      <w:color w:val="auto"/>
      <w:sz w:val="32"/>
      <w:szCs w:val="32"/>
    </w:rPr>
  </w:style>
  <w:style w:type="paragraph" w:customStyle="1" w:styleId="41">
    <w:name w:val="范本-表格-宋体-五号-两端对齐"/>
    <w:basedOn w:val="1"/>
    <w:qFormat/>
    <w:uiPriority w:val="0"/>
    <w:pPr>
      <w:spacing w:line="400" w:lineRule="exact"/>
      <w:jc w:val="both"/>
    </w:pPr>
    <w:rPr>
      <w:sz w:val="21"/>
    </w:rPr>
  </w:style>
  <w:style w:type="paragraph" w:customStyle="1" w:styleId="42">
    <w:name w:val="李晓倩"/>
    <w:basedOn w:val="1"/>
    <w:qFormat/>
    <w:uiPriority w:val="0"/>
    <w:pPr>
      <w:jc w:val="center"/>
      <w:outlineLvl w:val="1"/>
    </w:pPr>
    <w:rPr>
      <w:b/>
      <w:sz w:val="32"/>
    </w:rPr>
  </w:style>
  <w:style w:type="table" w:customStyle="1" w:styleId="43">
    <w:name w:val="Table Normal"/>
    <w:unhideWhenUsed/>
    <w:qFormat/>
    <w:uiPriority w:val="0"/>
    <w:rPr>
      <w:rFonts w:ascii="Arial" w:hAnsi="Arial" w:cs="Arial"/>
      <w:snapToGrid w:val="0"/>
      <w:color w:val="000000"/>
      <w:kern w:val="0"/>
      <w:szCs w:val="21"/>
    </w:rPr>
    <w:tblPr>
      <w:tblCellMar>
        <w:top w:w="0" w:type="dxa"/>
        <w:left w:w="0" w:type="dxa"/>
        <w:bottom w:w="0" w:type="dxa"/>
        <w:right w:w="0" w:type="dxa"/>
      </w:tblCellMar>
    </w:tblPr>
  </w:style>
  <w:style w:type="paragraph" w:customStyle="1" w:styleId="44">
    <w:name w:val="标准文件_段"/>
    <w:link w:val="45"/>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character" w:customStyle="1" w:styleId="45">
    <w:name w:val="标准文件_段 Char"/>
    <w:link w:val="44"/>
    <w:qFormat/>
    <w:uiPriority w:val="0"/>
    <w:rPr>
      <w:rFonts w:ascii="宋体" w:hAnsi="Times New Roman" w:eastAsia="宋体" w:cs="Times New Roman"/>
      <w:kern w:val="0"/>
      <w:szCs w:val="20"/>
    </w:rPr>
  </w:style>
  <w:style w:type="paragraph" w:customStyle="1" w:styleId="46">
    <w:name w:val="三号-黑体"/>
    <w:basedOn w:val="1"/>
    <w:next w:val="1"/>
    <w:qFormat/>
    <w:uiPriority w:val="0"/>
    <w:pPr>
      <w:keepNext/>
      <w:keepLines/>
      <w:widowControl/>
      <w:kinsoku w:val="0"/>
      <w:autoSpaceDE w:val="0"/>
      <w:autoSpaceDN w:val="0"/>
      <w:snapToGrid w:val="0"/>
      <w:spacing w:line="360" w:lineRule="auto"/>
      <w:jc w:val="center"/>
      <w:textAlignment w:val="baseline"/>
      <w:outlineLvl w:val="1"/>
    </w:pPr>
    <w:rPr>
      <w:rFonts w:ascii="黑体" w:hAnsi="黑体" w:eastAsia="黑体" w:cs="黑体"/>
      <w:b/>
      <w:bCs/>
      <w:snapToGrid w:val="0"/>
      <w:color w:val="000000"/>
      <w:spacing w:val="-10"/>
      <w:kern w:val="0"/>
      <w:sz w:val="32"/>
      <w:szCs w:val="31"/>
    </w:rPr>
  </w:style>
  <w:style w:type="paragraph" w:customStyle="1" w:styleId="47">
    <w:name w:val="引用出处"/>
    <w:basedOn w:val="1"/>
    <w:link w:val="48"/>
    <w:qFormat/>
    <w:uiPriority w:val="0"/>
    <w:pPr>
      <w:widowControl/>
      <w:kinsoku w:val="0"/>
      <w:autoSpaceDE w:val="0"/>
      <w:autoSpaceDN w:val="0"/>
      <w:snapToGrid w:val="0"/>
      <w:spacing w:line="240" w:lineRule="auto"/>
      <w:ind w:firstLine="420"/>
      <w:jc w:val="left"/>
      <w:textAlignment w:val="baseline"/>
    </w:pPr>
    <w:rPr>
      <w:rFonts w:ascii="仿宋" w:hAnsi="仿宋" w:eastAsia="楷体_GB2312" w:cs="仿宋"/>
      <w:b/>
      <w:snapToGrid w:val="0"/>
      <w:color w:val="0070C0"/>
      <w:kern w:val="0"/>
      <w:szCs w:val="32"/>
    </w:rPr>
  </w:style>
  <w:style w:type="character" w:customStyle="1" w:styleId="48">
    <w:name w:val="引用出处 Char"/>
    <w:link w:val="47"/>
    <w:qFormat/>
    <w:uiPriority w:val="0"/>
    <w:rPr>
      <w:rFonts w:ascii="仿宋" w:hAnsi="仿宋" w:eastAsia="楷体_GB2312" w:cs="仿宋"/>
      <w:b/>
      <w:snapToGrid w:val="0"/>
      <w:color w:val="0070C0"/>
      <w:kern w:val="0"/>
      <w:szCs w:val="32"/>
    </w:rPr>
  </w:style>
  <w:style w:type="paragraph" w:customStyle="1" w:styleId="49">
    <w:name w:val="标准文件_二级条标题"/>
    <w:next w:val="44"/>
    <w:qFormat/>
    <w:uiPriority w:val="0"/>
    <w:pPr>
      <w:widowControl w:val="0"/>
      <w:numPr>
        <w:ilvl w:val="3"/>
        <w:numId w:val="2"/>
      </w:numPr>
      <w:spacing w:before="50" w:beforeLines="50" w:after="50" w:afterLines="50"/>
      <w:ind w:left="142"/>
      <w:jc w:val="both"/>
      <w:outlineLvl w:val="2"/>
    </w:pPr>
    <w:rPr>
      <w:rFonts w:ascii="黑体" w:hAnsi="Times New Roman" w:eastAsia="黑体" w:cs="Times New Roman"/>
      <w:kern w:val="0"/>
      <w:sz w:val="21"/>
      <w:szCs w:val="20"/>
      <w:lang w:val="en-US" w:eastAsia="zh-CN" w:bidi="ar-SA"/>
    </w:rPr>
  </w:style>
  <w:style w:type="paragraph" w:customStyle="1" w:styleId="50">
    <w:name w:val="标准文件_三级条标题"/>
    <w:basedOn w:val="49"/>
    <w:next w:val="44"/>
    <w:qFormat/>
    <w:uiPriority w:val="0"/>
    <w:pPr>
      <w:widowControl/>
      <w:numPr>
        <w:ilvl w:val="4"/>
      </w:numPr>
      <w:outlineLvl w:val="3"/>
    </w:pPr>
  </w:style>
  <w:style w:type="paragraph" w:customStyle="1" w:styleId="51">
    <w:name w:val="标准文件_四级条标题"/>
    <w:next w:val="44"/>
    <w:qFormat/>
    <w:uiPriority w:val="0"/>
    <w:pPr>
      <w:widowControl w:val="0"/>
      <w:numPr>
        <w:ilvl w:val="5"/>
        <w:numId w:val="2"/>
      </w:numPr>
      <w:spacing w:before="50" w:beforeLines="50" w:after="50" w:afterLines="50"/>
      <w:jc w:val="both"/>
      <w:outlineLvl w:val="4"/>
    </w:pPr>
    <w:rPr>
      <w:rFonts w:ascii="黑体" w:hAnsi="Times New Roman" w:eastAsia="黑体" w:cs="Times New Roman"/>
      <w:kern w:val="0"/>
      <w:sz w:val="21"/>
      <w:szCs w:val="20"/>
      <w:lang w:val="en-US" w:eastAsia="zh-CN" w:bidi="ar-SA"/>
    </w:rPr>
  </w:style>
  <w:style w:type="paragraph" w:customStyle="1" w:styleId="52">
    <w:name w:val="标准文件_五级条标题"/>
    <w:next w:val="44"/>
    <w:qFormat/>
    <w:uiPriority w:val="0"/>
    <w:pPr>
      <w:widowControl w:val="0"/>
      <w:numPr>
        <w:ilvl w:val="6"/>
        <w:numId w:val="2"/>
      </w:numPr>
      <w:spacing w:before="50" w:beforeLines="50" w:after="50" w:afterLines="50"/>
      <w:jc w:val="both"/>
      <w:outlineLvl w:val="5"/>
    </w:pPr>
    <w:rPr>
      <w:rFonts w:ascii="黑体" w:hAnsi="Times New Roman" w:eastAsia="黑体" w:cs="Times New Roman"/>
      <w:kern w:val="0"/>
      <w:sz w:val="21"/>
      <w:szCs w:val="20"/>
      <w:lang w:val="en-US" w:eastAsia="zh-CN" w:bidi="ar-SA"/>
    </w:rPr>
  </w:style>
  <w:style w:type="paragraph" w:customStyle="1" w:styleId="53">
    <w:name w:val="标准文件_章标题"/>
    <w:next w:val="44"/>
    <w:qFormat/>
    <w:uiPriority w:val="0"/>
    <w:pPr>
      <w:numPr>
        <w:ilvl w:val="1"/>
        <w:numId w:val="2"/>
      </w:numPr>
      <w:spacing w:before="100" w:beforeLines="100" w:after="100" w:afterLines="100"/>
      <w:jc w:val="both"/>
      <w:outlineLvl w:val="0"/>
    </w:pPr>
    <w:rPr>
      <w:rFonts w:ascii="黑体" w:hAnsi="Times New Roman" w:eastAsia="黑体" w:cs="Times New Roman"/>
      <w:kern w:val="0"/>
      <w:sz w:val="21"/>
      <w:szCs w:val="20"/>
      <w:lang w:val="en-US" w:eastAsia="zh-CN" w:bidi="ar-SA"/>
    </w:rPr>
  </w:style>
  <w:style w:type="paragraph" w:customStyle="1" w:styleId="54">
    <w:name w:val="标准文件_一级条标题"/>
    <w:basedOn w:val="53"/>
    <w:next w:val="44"/>
    <w:qFormat/>
    <w:uiPriority w:val="0"/>
    <w:pPr>
      <w:numPr>
        <w:ilvl w:val="2"/>
      </w:numPr>
      <w:spacing w:before="50" w:beforeLines="50" w:after="50" w:afterLines="50"/>
      <w:outlineLvl w:val="1"/>
    </w:pPr>
  </w:style>
  <w:style w:type="paragraph" w:customStyle="1" w:styleId="55">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kern w:val="0"/>
      <w:sz w:val="32"/>
      <w:szCs w:val="20"/>
      <w:lang w:val="en-US" w:eastAsia="zh-CN" w:bidi="ar-SA"/>
    </w:rPr>
  </w:style>
  <w:style w:type="character" w:customStyle="1" w:styleId="56">
    <w:name w:val="标准文件_来源"/>
    <w:basedOn w:val="24"/>
    <w:qFormat/>
    <w:uiPriority w:val="1"/>
    <w:rPr>
      <w:rFonts w:eastAsia="宋体"/>
      <w:sz w:val="21"/>
    </w:rPr>
  </w:style>
  <w:style w:type="paragraph" w:customStyle="1" w:styleId="57">
    <w:name w:val="标准文件_术语条一"/>
    <w:basedOn w:val="1"/>
    <w:next w:val="44"/>
    <w:qFormat/>
    <w:uiPriority w:val="0"/>
    <w:pPr>
      <w:widowControl/>
      <w:adjustRightInd/>
      <w:spacing w:line="240" w:lineRule="auto"/>
    </w:pPr>
    <w:rPr>
      <w:rFonts w:ascii="宋体" w:hAnsi="Times New Roman"/>
      <w:kern w:val="0"/>
      <w:szCs w:val="20"/>
    </w:rPr>
  </w:style>
  <w:style w:type="paragraph" w:customStyle="1" w:styleId="58">
    <w:name w:val="引用出处-宋体-五号-缩进2"/>
    <w:basedOn w:val="1"/>
    <w:qFormat/>
    <w:uiPriority w:val="0"/>
    <w:pPr>
      <w:widowControl/>
      <w:kinsoku w:val="0"/>
      <w:autoSpaceDE w:val="0"/>
      <w:autoSpaceDN w:val="0"/>
      <w:snapToGrid w:val="0"/>
      <w:spacing w:line="360" w:lineRule="auto"/>
      <w:ind w:firstLine="420"/>
      <w:jc w:val="left"/>
      <w:textAlignment w:val="baseline"/>
    </w:pPr>
    <w:rPr>
      <w:rFonts w:ascii="仿宋" w:hAnsi="仿宋" w:cs="仿宋"/>
      <w:kern w:val="0"/>
    </w:rPr>
  </w:style>
  <w:style w:type="paragraph" w:customStyle="1" w:styleId="59">
    <w:name w:val="标准文件_注："/>
    <w:next w:val="44"/>
    <w:qFormat/>
    <w:uiPriority w:val="0"/>
    <w:pPr>
      <w:widowControl w:val="0"/>
      <w:numPr>
        <w:ilvl w:val="0"/>
        <w:numId w:val="3"/>
      </w:numPr>
      <w:autoSpaceDE w:val="0"/>
      <w:autoSpaceDN w:val="0"/>
      <w:jc w:val="both"/>
    </w:pPr>
    <w:rPr>
      <w:rFonts w:ascii="宋体" w:hAnsi="Times New Roman" w:eastAsia="宋体" w:cs="Times New Roman"/>
      <w:kern w:val="0"/>
      <w:sz w:val="18"/>
      <w:szCs w:val="18"/>
      <w:lang w:val="en-US" w:eastAsia="zh-CN" w:bidi="ar-SA"/>
    </w:rPr>
  </w:style>
  <w:style w:type="paragraph" w:customStyle="1" w:styleId="60">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61">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62">
    <w:name w:val="范本-封面第一行-宋体-一号"/>
    <w:basedOn w:val="1"/>
    <w:next w:val="1"/>
    <w:link w:val="63"/>
    <w:qFormat/>
    <w:uiPriority w:val="0"/>
    <w:pPr>
      <w:spacing w:line="240" w:lineRule="auto"/>
      <w:jc w:val="center"/>
    </w:pPr>
    <w:rPr>
      <w:rFonts w:hint="eastAsia" w:ascii="仿宋_GB2312" w:hAnsi="仿宋_GB2312" w:cs="仿宋_GB2312"/>
      <w:snapToGrid w:val="0"/>
      <w:color w:val="000000"/>
      <w:kern w:val="0"/>
      <w:sz w:val="52"/>
      <w:szCs w:val="28"/>
    </w:rPr>
  </w:style>
  <w:style w:type="character" w:customStyle="1" w:styleId="63">
    <w:name w:val="蚌埠范本-封面第一行-宋体-一号 Char"/>
    <w:link w:val="62"/>
    <w:qFormat/>
    <w:uiPriority w:val="0"/>
    <w:rPr>
      <w:rFonts w:hint="eastAsia" w:ascii="仿宋_GB2312" w:hAnsi="仿宋_GB2312" w:eastAsia="宋体" w:cs="仿宋_GB2312"/>
      <w:snapToGrid w:val="0"/>
      <w:color w:val="000000"/>
      <w:kern w:val="0"/>
      <w:sz w:val="52"/>
      <w:szCs w:val="28"/>
    </w:rPr>
  </w:style>
  <w:style w:type="paragraph" w:customStyle="1" w:styleId="64">
    <w:name w:val="范本-封面第二行-黑体-初号"/>
    <w:basedOn w:val="1"/>
    <w:next w:val="1"/>
    <w:qFormat/>
    <w:uiPriority w:val="0"/>
    <w:pPr>
      <w:spacing w:line="240" w:lineRule="auto"/>
      <w:jc w:val="center"/>
    </w:pPr>
    <w:rPr>
      <w:rFonts w:hint="eastAsia" w:ascii="仿宋_GB2312" w:hAnsi="仿宋_GB2312" w:eastAsia="黑体" w:cs="仿宋_GB2312"/>
      <w:snapToGrid w:val="0"/>
      <w:color w:val="000000"/>
      <w:kern w:val="0"/>
      <w:sz w:val="84"/>
      <w:szCs w:val="28"/>
    </w:rPr>
  </w:style>
  <w:style w:type="paragraph" w:customStyle="1" w:styleId="65">
    <w:name w:val="范本-封面第三行-楷体-小一"/>
    <w:basedOn w:val="1"/>
    <w:next w:val="1"/>
    <w:qFormat/>
    <w:uiPriority w:val="0"/>
    <w:pPr>
      <w:spacing w:line="240" w:lineRule="auto"/>
      <w:jc w:val="center"/>
    </w:pPr>
    <w:rPr>
      <w:rFonts w:hint="eastAsia" w:ascii="楷体_GB2312" w:hAnsi="楷体_GB2312" w:eastAsia="楷体_GB2312"/>
      <w:snapToGrid w:val="0"/>
      <w:color w:val="000000"/>
      <w:sz w:val="48"/>
      <w:szCs w:val="48"/>
    </w:rPr>
  </w:style>
  <w:style w:type="paragraph" w:customStyle="1" w:styleId="66">
    <w:name w:val="范本-使用说明标题-黑体-三号-居中"/>
    <w:basedOn w:val="1"/>
    <w:next w:val="1"/>
    <w:link w:val="67"/>
    <w:qFormat/>
    <w:uiPriority w:val="0"/>
    <w:pPr>
      <w:spacing w:line="500" w:lineRule="exact"/>
      <w:jc w:val="center"/>
    </w:pPr>
    <w:rPr>
      <w:rFonts w:hint="eastAsia" w:ascii="黑体" w:hAnsi="黑体" w:eastAsia="黑体"/>
      <w:snapToGrid w:val="0"/>
      <w:color w:val="000000"/>
      <w:sz w:val="32"/>
      <w:szCs w:val="32"/>
    </w:rPr>
  </w:style>
  <w:style w:type="character" w:customStyle="1" w:styleId="67">
    <w:name w:val="蚌埠范本-使用说明标题-黑体-三号-居中 Char"/>
    <w:link w:val="66"/>
    <w:qFormat/>
    <w:uiPriority w:val="0"/>
    <w:rPr>
      <w:rFonts w:hint="eastAsia" w:ascii="黑体" w:hAnsi="黑体" w:eastAsia="黑体"/>
      <w:snapToGrid w:val="0"/>
      <w:color w:val="000000"/>
      <w:sz w:val="32"/>
      <w:szCs w:val="32"/>
    </w:rPr>
  </w:style>
  <w:style w:type="paragraph" w:customStyle="1" w:styleId="68">
    <w:name w:val="范本-使用说明正文-仿宋-四号-首行缩进2字符-两端对齐"/>
    <w:basedOn w:val="1"/>
    <w:qFormat/>
    <w:uiPriority w:val="0"/>
    <w:pPr>
      <w:adjustRightInd/>
      <w:spacing w:line="500" w:lineRule="exact"/>
      <w:ind w:firstLine="560" w:firstLineChars="200"/>
    </w:pPr>
    <w:rPr>
      <w:rFonts w:hint="eastAsia" w:ascii="Times New Roman" w:hAnsi="Times New Roman" w:eastAsia="仿宋_GB2312"/>
      <w:snapToGrid w:val="0"/>
      <w:color w:val="000000"/>
      <w:sz w:val="28"/>
      <w:szCs w:val="28"/>
    </w:rPr>
  </w:style>
  <w:style w:type="paragraph" w:customStyle="1" w:styleId="69">
    <w:name w:val="范本-封面落款-黑体-四号-居中-单倍行距"/>
    <w:basedOn w:val="1"/>
    <w:qFormat/>
    <w:uiPriority w:val="0"/>
    <w:pPr>
      <w:adjustRightInd/>
      <w:spacing w:line="240" w:lineRule="auto"/>
      <w:jc w:val="center"/>
    </w:pPr>
    <w:rPr>
      <w:rFonts w:hint="eastAsia" w:ascii="黑体" w:hAnsi="黑体" w:eastAsia="黑体"/>
      <w:snapToGrid w:val="0"/>
      <w:color w:val="000000"/>
      <w:sz w:val="28"/>
      <w:szCs w:val="28"/>
    </w:rPr>
  </w:style>
  <w:style w:type="paragraph" w:customStyle="1" w:styleId="70">
    <w:name w:val="范本-标题-黑体-二号-居中-单倍行距"/>
    <w:basedOn w:val="1"/>
    <w:link w:val="71"/>
    <w:qFormat/>
    <w:uiPriority w:val="0"/>
    <w:pPr>
      <w:spacing w:line="240" w:lineRule="auto"/>
      <w:jc w:val="center"/>
    </w:pPr>
    <w:rPr>
      <w:rFonts w:hint="eastAsia" w:ascii="黑体" w:hAnsi="黑体" w:eastAsia="黑体"/>
      <w:snapToGrid w:val="0"/>
      <w:color w:val="000000"/>
      <w:sz w:val="44"/>
      <w:szCs w:val="44"/>
    </w:rPr>
  </w:style>
  <w:style w:type="character" w:customStyle="1" w:styleId="71">
    <w:name w:val="蚌埠范本-标题-黑体-二号-居中-单倍行距 Char"/>
    <w:link w:val="70"/>
    <w:qFormat/>
    <w:uiPriority w:val="0"/>
    <w:rPr>
      <w:rFonts w:hint="eastAsia" w:ascii="黑体" w:hAnsi="黑体" w:eastAsia="黑体"/>
      <w:snapToGrid w:val="0"/>
      <w:color w:val="000000"/>
      <w:sz w:val="44"/>
      <w:szCs w:val="44"/>
    </w:rPr>
  </w:style>
  <w:style w:type="paragraph" w:customStyle="1" w:styleId="72">
    <w:name w:val="范本-标题-黑体-四号-居中-固定值20磅"/>
    <w:basedOn w:val="1"/>
    <w:link w:val="73"/>
    <w:qFormat/>
    <w:uiPriority w:val="0"/>
    <w:pPr>
      <w:adjustRightInd/>
      <w:spacing w:line="400" w:lineRule="exact"/>
      <w:jc w:val="center"/>
    </w:pPr>
    <w:rPr>
      <w:rFonts w:hint="eastAsia" w:ascii="黑体" w:hAnsi="黑体" w:eastAsia="黑体"/>
      <w:snapToGrid w:val="0"/>
      <w:color w:val="000000"/>
      <w:sz w:val="28"/>
      <w:szCs w:val="28"/>
    </w:rPr>
  </w:style>
  <w:style w:type="character" w:customStyle="1" w:styleId="73">
    <w:name w:val="蚌埠范本-标题-黑体-四号-居中-固定值20磅 Char"/>
    <w:link w:val="72"/>
    <w:qFormat/>
    <w:uiPriority w:val="0"/>
    <w:rPr>
      <w:rFonts w:hint="eastAsia" w:ascii="黑体" w:hAnsi="黑体" w:eastAsia="黑体"/>
      <w:snapToGrid w:val="0"/>
      <w:color w:val="000000"/>
      <w:sz w:val="28"/>
      <w:szCs w:val="28"/>
    </w:rPr>
  </w:style>
  <w:style w:type="paragraph" w:customStyle="1" w:styleId="74">
    <w:name w:val="范本-目录一级-黑体-五号"/>
    <w:basedOn w:val="1"/>
    <w:qFormat/>
    <w:uiPriority w:val="0"/>
    <w:pPr>
      <w:adjustRightInd/>
      <w:spacing w:line="240" w:lineRule="auto"/>
      <w:jc w:val="left"/>
    </w:pPr>
    <w:rPr>
      <w:rFonts w:hint="eastAsia" w:ascii="黑体" w:hAnsi="黑体" w:eastAsia="黑体"/>
      <w:bCs/>
      <w:snapToGrid w:val="0"/>
      <w:color w:val="000000"/>
      <w:sz w:val="21"/>
      <w:szCs w:val="24"/>
    </w:rPr>
  </w:style>
  <w:style w:type="paragraph" w:customStyle="1" w:styleId="75">
    <w:name w:val="范本-目录二级-宋体-五号-文本之前缩进2字符"/>
    <w:basedOn w:val="1"/>
    <w:qFormat/>
    <w:uiPriority w:val="0"/>
    <w:pPr>
      <w:snapToGrid w:val="0"/>
      <w:spacing w:line="240" w:lineRule="auto"/>
      <w:ind w:left="480" w:leftChars="200"/>
      <w:jc w:val="left"/>
    </w:pPr>
    <w:rPr>
      <w:rFonts w:hint="eastAsia" w:ascii="宋体" w:hAnsi="宋体" w:cs="宋体"/>
      <w:snapToGrid w:val="0"/>
      <w:color w:val="000000"/>
      <w:kern w:val="0"/>
      <w:sz w:val="21"/>
    </w:rPr>
  </w:style>
  <w:style w:type="paragraph" w:customStyle="1" w:styleId="76">
    <w:name w:val="范本-目录三级-宋体-五号-文本之前缩进4字符"/>
    <w:basedOn w:val="1"/>
    <w:qFormat/>
    <w:uiPriority w:val="0"/>
    <w:pPr>
      <w:snapToGrid w:val="0"/>
      <w:spacing w:line="240" w:lineRule="auto"/>
      <w:ind w:left="960" w:leftChars="400"/>
      <w:jc w:val="left"/>
    </w:pPr>
    <w:rPr>
      <w:rFonts w:hint="eastAsia" w:ascii="宋体" w:hAnsi="宋体" w:cs="宋体"/>
      <w:snapToGrid w:val="0"/>
      <w:color w:val="000000"/>
      <w:kern w:val="0"/>
      <w:sz w:val="21"/>
    </w:rPr>
  </w:style>
  <w:style w:type="paragraph" w:customStyle="1" w:styleId="77">
    <w:name w:val="范本-标题-二级-黑体-四号-左对齐"/>
    <w:basedOn w:val="1"/>
    <w:link w:val="78"/>
    <w:qFormat/>
    <w:uiPriority w:val="0"/>
    <w:pPr>
      <w:keepNext/>
      <w:keepLines/>
      <w:numPr>
        <w:ilvl w:val="0"/>
        <w:numId w:val="0"/>
      </w:numPr>
      <w:spacing w:before="100"/>
      <w:jc w:val="left"/>
      <w:outlineLvl w:val="1"/>
    </w:pPr>
    <w:rPr>
      <w:rFonts w:ascii="黑体" w:hAnsi="黑体" w:eastAsia="黑体" w:cs="黑体"/>
      <w:snapToGrid w:val="0"/>
      <w:color w:val="000000"/>
      <w:sz w:val="28"/>
      <w:szCs w:val="28"/>
    </w:rPr>
  </w:style>
  <w:style w:type="character" w:customStyle="1" w:styleId="78">
    <w:name w:val="蚌埠范本-标题-二级-黑体-四号-左对齐 Char"/>
    <w:link w:val="77"/>
    <w:qFormat/>
    <w:uiPriority w:val="0"/>
    <w:rPr>
      <w:rFonts w:ascii="黑体" w:hAnsi="黑体" w:eastAsia="黑体" w:cs="黑体"/>
      <w:snapToGrid w:val="0"/>
      <w:color w:val="000000"/>
      <w:sz w:val="28"/>
      <w:szCs w:val="28"/>
    </w:rPr>
  </w:style>
  <w:style w:type="paragraph" w:customStyle="1" w:styleId="79">
    <w:name w:val="范本-正文-宋体-五号-首行缩进2字符"/>
    <w:basedOn w:val="1"/>
    <w:link w:val="80"/>
    <w:qFormat/>
    <w:uiPriority w:val="0"/>
    <w:pPr>
      <w:adjustRightInd/>
      <w:ind w:firstLine="643" w:firstLineChars="200"/>
      <w:jc w:val="left"/>
      <w:outlineLvl w:val="9"/>
    </w:pPr>
    <w:rPr>
      <w:rFonts w:hint="eastAsia" w:ascii="黑体" w:hAnsi="黑体" w:cs="黑体"/>
      <w:bCs/>
      <w:snapToGrid w:val="0"/>
      <w:color w:val="auto"/>
      <w:sz w:val="21"/>
      <w:szCs w:val="32"/>
    </w:rPr>
  </w:style>
  <w:style w:type="character" w:customStyle="1" w:styleId="80">
    <w:name w:val="蚌埠范本-正文-宋体-五号-首行缩进2字符 Char"/>
    <w:link w:val="79"/>
    <w:qFormat/>
    <w:uiPriority w:val="0"/>
    <w:rPr>
      <w:rFonts w:hint="eastAsia" w:ascii="黑体" w:hAnsi="黑体" w:eastAsia="宋体" w:cs="黑体"/>
      <w:bCs/>
      <w:snapToGrid w:val="0"/>
      <w:color w:val="auto"/>
      <w:sz w:val="21"/>
      <w:szCs w:val="32"/>
    </w:rPr>
  </w:style>
  <w:style w:type="paragraph" w:customStyle="1" w:styleId="81">
    <w:name w:val="范本-表格-标题行-宋体加粗-五号-固定值20磅"/>
    <w:basedOn w:val="1"/>
    <w:link w:val="82"/>
    <w:qFormat/>
    <w:uiPriority w:val="0"/>
    <w:pPr>
      <w:spacing w:line="400" w:lineRule="exact"/>
      <w:jc w:val="center"/>
    </w:pPr>
    <w:rPr>
      <w:b/>
      <w:sz w:val="21"/>
    </w:rPr>
  </w:style>
  <w:style w:type="character" w:customStyle="1" w:styleId="82">
    <w:name w:val="蚌埠范本-表格-标题行-宋体加粗-五号-固定值20磅 Char"/>
    <w:link w:val="81"/>
    <w:qFormat/>
    <w:uiPriority w:val="0"/>
    <w:rPr>
      <w:rFonts w:eastAsia="宋体"/>
      <w:b/>
      <w:sz w:val="21"/>
    </w:rPr>
  </w:style>
  <w:style w:type="paragraph" w:customStyle="1" w:styleId="83">
    <w:name w:val="范本-表格-宋体-五号-居中"/>
    <w:basedOn w:val="1"/>
    <w:qFormat/>
    <w:uiPriority w:val="0"/>
    <w:pPr>
      <w:spacing w:line="400" w:lineRule="exact"/>
      <w:jc w:val="center"/>
    </w:pPr>
    <w:rPr>
      <w:sz w:val="21"/>
    </w:rPr>
  </w:style>
  <w:style w:type="paragraph" w:customStyle="1" w:styleId="84">
    <w:name w:val="范本-标题-三级-黑体-五号-左对齐"/>
    <w:basedOn w:val="1"/>
    <w:link w:val="85"/>
    <w:qFormat/>
    <w:uiPriority w:val="0"/>
    <w:pPr>
      <w:keepNext/>
      <w:keepLines/>
      <w:outlineLvl w:val="2"/>
    </w:pPr>
    <w:rPr>
      <w:rFonts w:hint="eastAsia" w:ascii="黑体" w:hAnsi="黑体" w:eastAsia="黑体" w:cs="黑体"/>
      <w:snapToGrid w:val="0"/>
      <w:color w:val="000000"/>
      <w:sz w:val="21"/>
    </w:rPr>
  </w:style>
  <w:style w:type="character" w:customStyle="1" w:styleId="85">
    <w:name w:val="蚌埠范本-标题-三级-黑体-五号-左对齐 Char"/>
    <w:link w:val="84"/>
    <w:qFormat/>
    <w:uiPriority w:val="0"/>
    <w:rPr>
      <w:rFonts w:hint="eastAsia" w:ascii="黑体" w:hAnsi="黑体" w:eastAsia="黑体" w:cs="黑体"/>
      <w:snapToGrid w:val="0"/>
      <w:color w:val="000000"/>
      <w:sz w:val="21"/>
    </w:rPr>
  </w:style>
  <w:style w:type="paragraph" w:customStyle="1" w:styleId="86">
    <w:name w:val="范本-正文-宋体-五号-首行缩进4字符"/>
    <w:basedOn w:val="1"/>
    <w:qFormat/>
    <w:uiPriority w:val="0"/>
    <w:pPr>
      <w:keepNext/>
      <w:keepLines/>
      <w:ind w:firstLine="1285" w:firstLineChars="400"/>
      <w:outlineLvl w:val="2"/>
    </w:pPr>
    <w:rPr>
      <w:rFonts w:hint="eastAsia" w:ascii="Times New Roman" w:hAnsi="Times New Roman" w:cs="宋体"/>
      <w:snapToGrid w:val="0"/>
      <w:color w:val="000000"/>
      <w:sz w:val="21"/>
      <w:szCs w:val="20"/>
    </w:rPr>
  </w:style>
  <w:style w:type="paragraph" w:customStyle="1" w:styleId="87">
    <w:name w:val="范本-正文-宋体-五号-居中-单倍行距"/>
    <w:basedOn w:val="1"/>
    <w:link w:val="88"/>
    <w:qFormat/>
    <w:uiPriority w:val="0"/>
    <w:pPr>
      <w:adjustRightInd/>
      <w:spacing w:line="240" w:lineRule="auto"/>
      <w:ind w:firstLine="0" w:firstLineChars="0"/>
      <w:jc w:val="center"/>
      <w:outlineLvl w:val="0"/>
    </w:pPr>
    <w:rPr>
      <w:rFonts w:hint="eastAsia" w:ascii="黑体" w:hAnsi="黑体" w:cs="黑体"/>
      <w:bCs/>
      <w:snapToGrid w:val="0"/>
      <w:color w:val="auto"/>
      <w:sz w:val="21"/>
      <w:szCs w:val="32"/>
    </w:rPr>
  </w:style>
  <w:style w:type="character" w:customStyle="1" w:styleId="88">
    <w:name w:val="蚌埠范本-正文-宋体-五号-居中-单倍行距 Char"/>
    <w:link w:val="87"/>
    <w:qFormat/>
    <w:uiPriority w:val="0"/>
    <w:rPr>
      <w:rFonts w:hint="eastAsia" w:ascii="黑体" w:hAnsi="黑体" w:eastAsia="宋体" w:cs="黑体"/>
      <w:bCs/>
      <w:snapToGrid w:val="0"/>
      <w:color w:val="auto"/>
      <w:sz w:val="21"/>
      <w:szCs w:val="32"/>
    </w:rPr>
  </w:style>
  <w:style w:type="paragraph" w:customStyle="1" w:styleId="89">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正文_2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标题 2_0"/>
    <w:basedOn w:val="92"/>
    <w:next w:val="93"/>
    <w:qFormat/>
    <w:uiPriority w:val="0"/>
    <w:pPr>
      <w:keepNext/>
      <w:keepLines/>
      <w:spacing w:before="260" w:after="260" w:line="500" w:lineRule="exact"/>
      <w:jc w:val="center"/>
      <w:outlineLvl w:val="1"/>
    </w:pPr>
    <w:rPr>
      <w:rFonts w:ascii="黑体" w:hAnsi="宋体" w:eastAsia="黑体"/>
      <w:b/>
      <w:smallCaps/>
      <w:snapToGrid w:val="0"/>
      <w:kern w:val="0"/>
      <w:sz w:val="36"/>
    </w:rPr>
  </w:style>
  <w:style w:type="paragraph" w:customStyle="1" w:styleId="92">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Normal_0"/>
    <w:qFormat/>
    <w:uiPriority w:val="0"/>
    <w:rPr>
      <w:rFonts w:ascii="Times New Roman" w:hAnsi="Times New Roman" w:eastAsia="宋体" w:cs="Times New Roman"/>
      <w:sz w:val="24"/>
      <w:szCs w:val="24"/>
      <w:lang w:val="en-US" w:eastAsia="zh-CN" w:bidi="ar-SA"/>
    </w:rPr>
  </w:style>
  <w:style w:type="paragraph" w:styleId="95">
    <w:name w:val="List Paragraph"/>
    <w:basedOn w:val="1"/>
    <w:qFormat/>
    <w:uiPriority w:val="34"/>
    <w:pPr>
      <w:ind w:firstLine="420" w:firstLineChars="200"/>
    </w:pPr>
    <w:rPr>
      <w:rFonts w:ascii="Calibri" w:hAnsi="Calibri"/>
      <w:szCs w:val="22"/>
    </w:rPr>
  </w:style>
  <w:style w:type="character" w:customStyle="1" w:styleId="96">
    <w:name w:val="正文文本 (2) + Sylfaen2"/>
    <w:qFormat/>
    <w:uiPriority w:val="99"/>
    <w:rPr>
      <w:rFonts w:ascii="Sylfaen" w:hAnsi="Sylfaen" w:eastAsia="MingLiU" w:cs="Sylfaen"/>
      <w:spacing w:val="0"/>
      <w:sz w:val="23"/>
      <w:szCs w:val="23"/>
      <w:shd w:val="clear" w:color="auto" w:fill="FFFFFF"/>
      <w:lang w:val="en-US" w:eastAsia="en-US"/>
    </w:rPr>
  </w:style>
  <w:style w:type="paragraph" w:customStyle="1" w:styleId="97">
    <w:name w:val="Table Paragraph"/>
    <w:basedOn w:val="1"/>
    <w:qFormat/>
    <w:uiPriority w:val="1"/>
    <w:rPr>
      <w:rFonts w:ascii="宋体" w:hAnsi="宋体" w:eastAsia="宋体" w:cs="宋体"/>
      <w:lang w:val="zh-CN" w:eastAsia="zh-CN" w:bidi="zh-CN"/>
    </w:rPr>
  </w:style>
  <w:style w:type="paragraph" w:customStyle="1" w:styleId="98">
    <w:name w:val="正文1"/>
    <w:next w:val="1"/>
    <w:autoRedefine/>
    <w:qFormat/>
    <w:uiPriority w:val="99"/>
    <w:pPr>
      <w:widowControl w:val="0"/>
      <w:adjustRightInd w:val="0"/>
      <w:spacing w:line="312" w:lineRule="atLeast"/>
      <w:jc w:val="center"/>
    </w:pPr>
    <w:rPr>
      <w:rFonts w:ascii="宋体" w:hAnsi="宋体"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header" Target="header2.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276</Pages>
  <Words>3789</Words>
  <Characters>4267</Characters>
  <Lines>1</Lines>
  <Paragraphs>1</Paragraphs>
  <TotalTime>1</TotalTime>
  <ScaleCrop>false</ScaleCrop>
  <LinksUpToDate>false</LinksUpToDate>
  <CharactersWithSpaces>4711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2023-06-19T08:30:00Z</dcterms:created>
  <dc:creator>发光</dc:creator>
  <cp:lastModifiedBy>F</cp:lastModifiedBy>
  <dcterms:modified xsi:type="dcterms:W3CDTF">2026-04-24T09:54:00Z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2110135944A9ABE08C82E969C09B7E56_43</vt:lpwstr>
  </property>
  <property fmtid="{D5CDD505-2E9C-101B-9397-08002B2CF9AE}" pid="4" name="KSOTemplateDocerSaveRecord">
    <vt:lpwstr>eyJoZGlkIjoiMWYzMjA3NTg5ZjM3NjI1ZWE1YzNlN2FmODQ4ZjcwNDQiLCJ1c2VySWQiOiIyNTYxMjAwNDkifQ==</vt:lpwstr>
  </property>
</Properties>
</file>